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EB93" w14:textId="77777777" w:rsidR="00C315A5" w:rsidRDefault="00570C2B">
      <w:pPr>
        <w:keepNext/>
        <w:spacing w:after="40"/>
        <w:jc w:val="center"/>
      </w:pPr>
      <w:r>
        <w:rPr>
          <w:b/>
          <w:sz w:val="32"/>
        </w:rPr>
        <w:t>AI-Driven Early Warning System for Urban Air Quality</w:t>
      </w:r>
    </w:p>
    <w:p w14:paraId="541D280A" w14:textId="77777777" w:rsidR="00C315A5" w:rsidRDefault="00570C2B">
      <w:pPr>
        <w:keepNext/>
        <w:keepLines/>
        <w:spacing w:after="100"/>
        <w:jc w:val="center"/>
      </w:pPr>
      <w:r>
        <w:rPr>
          <w:rFonts w:eastAsia="Times New Roman"/>
          <w:i/>
          <w:sz w:val="24"/>
        </w:rPr>
        <w:t>Evaluation of Short-Horizon Daily AQI Forecast Baselines on a Multi-City Indian Dataset</w:t>
      </w:r>
    </w:p>
    <w:p w14:paraId="7D95FCF8" w14:textId="77777777" w:rsidR="00C315A5" w:rsidRDefault="00570C2B">
      <w:pPr>
        <w:keepNext/>
        <w:spacing w:after="160"/>
        <w:jc w:val="center"/>
      </w:pPr>
      <w:r>
        <w:rPr>
          <w:rFonts w:eastAsia="Times New Roman"/>
          <w:sz w:val="19"/>
        </w:rPr>
        <w:t>Poonam Tanwar, Krishna Bhatia, Prateek Singh, Snehaal Mukherjee</w:t>
      </w:r>
    </w:p>
    <w:p w14:paraId="7E16A12A" w14:textId="77777777" w:rsidR="00C315A5" w:rsidRDefault="00570C2B">
      <w:pPr>
        <w:keepLines/>
        <w:spacing w:after="50"/>
        <w:ind w:firstLine="173"/>
        <w:jc w:val="both"/>
      </w:pPr>
      <w:r>
        <w:rPr>
          <w:rFonts w:eastAsia="Times New Roman"/>
          <w:b/>
          <w:i/>
          <w:sz w:val="17"/>
        </w:rPr>
        <w:t xml:space="preserve">Abstract— </w:t>
      </w:r>
      <w:r>
        <w:rPr>
          <w:rFonts w:eastAsia="Times New Roman"/>
          <w:sz w:val="17"/>
        </w:rPr>
        <w:t>Short-horizon air-quality-index (AQI) forecast comparisons depend on exact target dates, origin-time data availability, temporal model selection, and observation eligibility. This study retrospectively evaluates direct 1-, 3-, and 7-calendar-day predictions of the recorded AQI field in a 29,531-row, 26-city Indian city-day dataset. Five methods are compared: persistence, annual seasonal-naïve, training-only city/month climatology, weekly seasonal-naïve, and standardized Ridge regression. The protocol uses e</w:t>
      </w:r>
      <w:r>
        <w:rPr>
          <w:rFonts w:eastAsia="Times New Roman"/>
          <w:sz w:val="17"/>
        </w:rPr>
        <w:t>xact-date AQI lags and target-date calendar features, with separate `exclude` and `cap` policies. Target dates in 2015–2018 are used for training, 2019 for development and selection, and 2020-01-01 through 2020-07-01 for a locked test. The saved run selected Ridge alpha 0.1 in all six policy/horizon settings. On 2019 common eligible cases, pooled mean absolute error (MAE) ranged from 22.605 to 51.896 AQI points and root mean squared error (RMSE) from 34.860 to 76.919 points. These are selection-stage descri</w:t>
      </w:r>
      <w:r>
        <w:rPr>
          <w:rFonts w:eastAsia="Times New Roman"/>
          <w:sz w:val="17"/>
        </w:rPr>
        <w:t>ptions because 2019 also contributed to alpha selection. The policies use different transformed targets and eligible populations. No locked-test predictions or scores have been generated; the retrospective comparison does not evaluate operational warning efficacy.</w:t>
      </w:r>
    </w:p>
    <w:p w14:paraId="4531B7D3" w14:textId="77777777" w:rsidR="00C315A5" w:rsidRDefault="00570C2B">
      <w:pPr>
        <w:keepLines/>
        <w:spacing w:after="50"/>
        <w:ind w:firstLine="173"/>
        <w:jc w:val="both"/>
      </w:pPr>
      <w:r>
        <w:rPr>
          <w:rFonts w:eastAsia="Times New Roman"/>
          <w:b/>
          <w:i/>
          <w:sz w:val="17"/>
        </w:rPr>
        <w:t xml:space="preserve">Index Terms— </w:t>
      </w:r>
      <w:r>
        <w:rPr>
          <w:rFonts w:eastAsia="Times New Roman"/>
          <w:sz w:val="17"/>
        </w:rPr>
        <w:t>Air quality index, daily forecasting, temporal validation, forecast coverage, multi-city environmental data, reproducible research.</w:t>
      </w:r>
    </w:p>
    <w:p w14:paraId="1F660554" w14:textId="77777777" w:rsidR="00C315A5" w:rsidRDefault="00C315A5">
      <w:pPr>
        <w:spacing w:line="20" w:lineRule="exact"/>
        <w:sectPr w:rsidR="00C315A5">
          <w:footerReference w:type="default" r:id="rId8"/>
          <w:pgSz w:w="12240" w:h="15840"/>
          <w:pgMar w:top="979" w:right="979" w:bottom="979" w:left="979" w:header="720" w:footer="720" w:gutter="0"/>
          <w:cols w:space="360"/>
          <w:docGrid w:linePitch="360"/>
        </w:sectPr>
      </w:pPr>
    </w:p>
    <w:p w14:paraId="27E71BAB" w14:textId="77777777" w:rsidR="00C315A5" w:rsidRDefault="00570C2B">
      <w:pPr>
        <w:pStyle w:val="Heading1"/>
      </w:pPr>
      <w:r>
        <w:rPr>
          <w:rFonts w:ascii="Times New Roman" w:eastAsia="Times New Roman" w:hAnsi="Times New Roman"/>
          <w:sz w:val="19"/>
        </w:rPr>
        <w:t>I. INTRODUCTION</w:t>
      </w:r>
    </w:p>
    <w:p w14:paraId="681D32C7" w14:textId="77777777" w:rsidR="00C315A5" w:rsidRDefault="00570C2B">
      <w:pPr>
        <w:pStyle w:val="BodyText"/>
        <w:spacing w:after="50"/>
        <w:ind w:firstLine="173"/>
      </w:pPr>
      <w:r>
        <w:rPr>
          <w:rFonts w:eastAsia="Times New Roman"/>
          <w:sz w:val="17"/>
        </w:rPr>
        <w:t>Daily air-quality data do not by themselves define a forecast task. A comparison requires an explicit target date and forecast origin, a statement of which observations are available at that origin, and a temporal design that separates model development from evaluation. In a city-day panel, missing calendar dates and method-specific prediction availability also affect which targets can be forecast and how error summaries should be interpreted.</w:t>
      </w:r>
    </w:p>
    <w:p w14:paraId="4331FD52" w14:textId="77777777" w:rsidR="00C315A5" w:rsidRDefault="00570C2B">
      <w:pPr>
        <w:pStyle w:val="BodyText"/>
        <w:spacing w:after="50"/>
        <w:ind w:firstLine="173"/>
      </w:pPr>
      <w:r>
        <w:rPr>
          <w:rFonts w:eastAsia="Times New Roman"/>
          <w:sz w:val="17"/>
        </w:rPr>
        <w:t>This study documents a project-specific comparison of direct 1-, 3-, and 7-calendar-day baselines for the recorded AQI field. It uses exact city/date joins, target-date partitions, two declared target policies, and both native prediction coverage and paired common-case errors. The objective is to make the comparison and the populations underlying its metrics explicit; it is not to establish a field-wide research gap, model superiority, or operational utility.</w:t>
      </w:r>
    </w:p>
    <w:p w14:paraId="6FD00462" w14:textId="77777777" w:rsidR="00C315A5" w:rsidRDefault="00570C2B">
      <w:pPr>
        <w:pStyle w:val="BodyText"/>
        <w:spacing w:after="50"/>
        <w:ind w:firstLine="173"/>
      </w:pPr>
      <w:r>
        <w:rPr>
          <w:rFonts w:eastAsia="Times New Roman"/>
          <w:sz w:val="17"/>
        </w:rPr>
        <w:t>The repository contains separate production and research components. The production AQI calculator converts pollutant concentrations to sub-indices and an overall value using a Central Pollution Control Board (CPCB)-labelled method. A separate production regression maps same-time pollutant readings to AQI. The application also generates a deterministic 24-hour profile from fixed multipliers and seeded noise, and compares recent readings with a selected threshold. These application components are distinct fr</w:t>
      </w:r>
      <w:r>
        <w:rPr>
          <w:rFonts w:eastAsia="Times New Roman"/>
          <w:sz w:val="17"/>
        </w:rPr>
        <w:t>om the direct-horizon retrospective baseline experiment evaluated here. None of the production features is evaluated as an operational early-warning system.</w:t>
      </w:r>
    </w:p>
    <w:p w14:paraId="1A451C63" w14:textId="77777777" w:rsidR="00C315A5" w:rsidRDefault="00570C2B">
      <w:pPr>
        <w:pStyle w:val="BodyText"/>
        <w:spacing w:after="50"/>
        <w:ind w:firstLine="173"/>
      </w:pPr>
      <w:r>
        <w:rPr>
          <w:rFonts w:eastAsia="Times New Roman"/>
          <w:sz w:val="17"/>
        </w:rPr>
        <w:t>The paper first summarizes related forecasting and evaluation work and states the study questions. It then describes the dataset, target construction, methods, and temporal design, before presenting the saved development results and their limitations.</w:t>
      </w:r>
    </w:p>
    <w:p w14:paraId="685ED44F" w14:textId="77777777" w:rsidR="00C315A5" w:rsidRDefault="00570C2B">
      <w:pPr>
        <w:pStyle w:val="Heading1"/>
      </w:pPr>
      <w:r>
        <w:rPr>
          <w:rFonts w:ascii="Times New Roman" w:eastAsia="Times New Roman" w:hAnsi="Times New Roman"/>
          <w:sz w:val="19"/>
        </w:rPr>
        <w:t>II. RELATED WORK</w:t>
      </w:r>
    </w:p>
    <w:p w14:paraId="1903CC71" w14:textId="77777777" w:rsidR="00C315A5" w:rsidRDefault="00570C2B">
      <w:pPr>
        <w:pStyle w:val="Heading2"/>
        <w:spacing w:before="80" w:after="40"/>
      </w:pPr>
      <w:r>
        <w:rPr>
          <w:rFonts w:ascii="Times New Roman" w:eastAsia="Times New Roman" w:hAnsi="Times New Roman"/>
          <w:sz w:val="17"/>
        </w:rPr>
        <w:t>A. AQI forecasting</w:t>
      </w:r>
    </w:p>
    <w:p w14:paraId="41C6DA8D" w14:textId="77777777" w:rsidR="00C315A5" w:rsidRDefault="00570C2B">
      <w:pPr>
        <w:pStyle w:val="BodyText"/>
        <w:spacing w:after="50"/>
        <w:ind w:firstLine="173"/>
      </w:pPr>
      <w:r>
        <w:rPr>
          <w:rFonts w:eastAsia="Times New Roman"/>
          <w:sz w:val="17"/>
        </w:rPr>
        <w:t>The reviewed records and abstracts describe Indian AQI forecasting using statistical and machine-learning methods: seasonal autoregressive integrated moving average (ARIMA) and principal-component regression for Delhi [1], Prophet for Delhi and Bengaluru [2], seasonal autoregressive integrated moving average with exogenous variables (SARIMAX) [3], and recurrent-neural or other machine-learning comparisons for Delhi [4], [5]. A graph-based nationwide city study provides adjacent spatial-forecasting context [</w:t>
      </w:r>
      <w:r>
        <w:rPr>
          <w:rFonts w:eastAsia="Times New Roman"/>
          <w:sz w:val="17"/>
        </w:rPr>
        <w:t>6]. These sources establish that AQI forecasting and multiple method families have been studied; they do not establish novelty for the present protocol.</w:t>
      </w:r>
    </w:p>
    <w:p w14:paraId="04BB225A" w14:textId="77777777" w:rsidR="00C315A5" w:rsidRDefault="00570C2B">
      <w:pPr>
        <w:pStyle w:val="BodyText"/>
        <w:spacing w:after="50"/>
        <w:ind w:firstLine="173"/>
      </w:pPr>
      <w:r>
        <w:rPr>
          <w:rFonts w:eastAsia="Times New Roman"/>
          <w:sz w:val="17"/>
        </w:rPr>
        <w:t>Evidence depth varies among the cited studies. For [1], the abstract describes statistical methods, but the exact forecast lead, data dates, split, and numerical results have not been verified from full text. The abstract for [2] describes the data and use of Prophet but does not establish the exact horizon, source lineage, or a city-holdout design. The bibliographic metadata and publisher abstract for [3] were checked, but its full article and detailed methods/results were not reviewed. The abstract for [4</w:t>
      </w:r>
      <w:r>
        <w:rPr>
          <w:rFonts w:eastAsia="Times New Roman"/>
          <w:sz w:val="17"/>
        </w:rPr>
        <w:t xml:space="preserve">] reports model results not independently checked against full-text tables; its exact lead, dates, data source, and split remain unresolved. The full text and relevant table for [5] were unavailable, and </w:t>
      </w:r>
      <w:r>
        <w:rPr>
          <w:rFonts w:eastAsia="Times New Roman"/>
          <w:sz w:val="17"/>
        </w:rPr>
        <w:t>a reported mean-squared-error (MSE)/RMSE concern remains unresolved; no corrected values are inferred here. The abstract for [6] does not by itself establish unseen-city evaluation. The review is focused and non-systematic, and source-specific evidence qualifications are stated above and reflected in the re</w:t>
      </w:r>
      <w:r>
        <w:rPr>
          <w:rFonts w:eastAsia="Times New Roman"/>
          <w:sz w:val="17"/>
        </w:rPr>
        <w:t>ference notes below.</w:t>
      </w:r>
    </w:p>
    <w:p w14:paraId="1A2182FB" w14:textId="77777777" w:rsidR="00C315A5" w:rsidRDefault="00570C2B">
      <w:pPr>
        <w:pStyle w:val="Heading2"/>
        <w:spacing w:before="80" w:after="40"/>
      </w:pPr>
      <w:r>
        <w:rPr>
          <w:rFonts w:ascii="Times New Roman" w:eastAsia="Times New Roman" w:hAnsi="Times New Roman"/>
          <w:sz w:val="17"/>
        </w:rPr>
        <w:t>B. Forecast evaluation</w:t>
      </w:r>
    </w:p>
    <w:p w14:paraId="12AA9813" w14:textId="77777777" w:rsidR="00C315A5" w:rsidRDefault="00570C2B">
      <w:pPr>
        <w:pStyle w:val="BodyText"/>
        <w:spacing w:after="50"/>
        <w:ind w:firstLine="173"/>
      </w:pPr>
      <w:r>
        <w:rPr>
          <w:rFonts w:eastAsia="Times New Roman"/>
          <w:sz w:val="17"/>
        </w:rPr>
        <w:t xml:space="preserve">General literature addresses out-of-sample forecasting evaluation [7], [9] and validation under temporal or spatial structure [8]. The accessible third-edition chapter of </w:t>
      </w:r>
      <w:r>
        <w:rPr>
          <w:rFonts w:eastAsia="Times New Roman"/>
          <w:i/>
          <w:sz w:val="17"/>
        </w:rPr>
        <w:t>Forecasting: Principles and Practice</w:t>
      </w:r>
      <w:r>
        <w:rPr>
          <w:rFonts w:eastAsia="Times New Roman"/>
          <w:sz w:val="17"/>
        </w:rPr>
        <w:t xml:space="preserve"> describes rolling-origin evaluation [10]. These references provide methodological context. The available review does not establish that the present temporal design is novel or optimal, and no detailed findings are attributed to works whose full text was not reviewed.</w:t>
      </w:r>
    </w:p>
    <w:p w14:paraId="3598CFEB" w14:textId="77777777" w:rsidR="00C315A5" w:rsidRDefault="00570C2B">
      <w:pPr>
        <w:pStyle w:val="Heading2"/>
        <w:spacing w:before="80" w:after="40"/>
      </w:pPr>
      <w:r>
        <w:rPr>
          <w:rFonts w:ascii="Times New Roman" w:eastAsia="Times New Roman" w:hAnsi="Times New Roman"/>
          <w:sz w:val="17"/>
        </w:rPr>
        <w:t>C. Study motivation and contribution boundary</w:t>
      </w:r>
    </w:p>
    <w:p w14:paraId="426D3AFE" w14:textId="77777777" w:rsidR="00C315A5" w:rsidRDefault="00570C2B">
      <w:pPr>
        <w:pStyle w:val="BodyText"/>
        <w:spacing w:after="50"/>
        <w:ind w:firstLine="173"/>
      </w:pPr>
      <w:r>
        <w:rPr>
          <w:rFonts w:eastAsia="Times New Roman"/>
          <w:sz w:val="17"/>
        </w:rPr>
        <w:t xml:space="preserve">The reviewed literature does not demonstrate that prior work lacks the combination of exact-date sample construction, temporal partitions, prediction-coverage reporting, common-case comparison, and target-policy sensitivity implemented here. The motivation is narrower: for this hosted dataset and protocol, making those choices explicit improves the interpretability of the reported comparison. A field-wide gap claim would require a reproducible search and full-text comparison of target definitions, forecast </w:t>
      </w:r>
      <w:r>
        <w:rPr>
          <w:rFonts w:eastAsia="Times New Roman"/>
          <w:sz w:val="17"/>
        </w:rPr>
        <w:t>leads, input timing, data provenance, split designs, and coverage reporting. That work has not been completed.</w:t>
      </w:r>
    </w:p>
    <w:p w14:paraId="737D0D31" w14:textId="77777777" w:rsidR="00C315A5" w:rsidRDefault="00570C2B">
      <w:pPr>
        <w:pStyle w:val="Heading1"/>
      </w:pPr>
      <w:r>
        <w:rPr>
          <w:rFonts w:ascii="Times New Roman" w:eastAsia="Times New Roman" w:hAnsi="Times New Roman"/>
          <w:sz w:val="19"/>
        </w:rPr>
        <w:t>III. RESEARCH QUESTIONS AND STUDY CONTRIBUTIONS</w:t>
      </w:r>
    </w:p>
    <w:p w14:paraId="1F7018B9" w14:textId="77777777" w:rsidR="00C315A5" w:rsidRDefault="00570C2B">
      <w:pPr>
        <w:pStyle w:val="Heading2"/>
        <w:spacing w:before="80" w:after="40"/>
      </w:pPr>
      <w:r>
        <w:rPr>
          <w:rFonts w:ascii="Times New Roman" w:eastAsia="Times New Roman" w:hAnsi="Times New Roman"/>
          <w:sz w:val="17"/>
        </w:rPr>
        <w:t>A. Research questions</w:t>
      </w:r>
    </w:p>
    <w:p w14:paraId="2A7137DE" w14:textId="77777777" w:rsidR="00C315A5" w:rsidRDefault="00570C2B">
      <w:pPr>
        <w:pStyle w:val="BodyText"/>
        <w:spacing w:after="50"/>
        <w:ind w:firstLine="173"/>
      </w:pPr>
      <w:r>
        <w:rPr>
          <w:rFonts w:eastAsia="Times New Roman"/>
          <w:b/>
          <w:sz w:val="17"/>
        </w:rPr>
        <w:t>RQ1:</w:t>
      </w:r>
      <w:r>
        <w:rPr>
          <w:rFonts w:eastAsia="Times New Roman"/>
          <w:sz w:val="17"/>
        </w:rPr>
        <w:t xml:space="preserve"> What 2019 development/model-selection error and native-coverage profiles are recorded for the specified baselines by horizon and target policy, and how do their errors compare on shared eligible city/date cases?</w:t>
      </w:r>
    </w:p>
    <w:p w14:paraId="5478FE23" w14:textId="77777777" w:rsidR="00C315A5" w:rsidRDefault="00570C2B">
      <w:pPr>
        <w:pStyle w:val="BodyText"/>
        <w:spacing w:after="50"/>
        <w:ind w:firstLine="173"/>
      </w:pPr>
      <w:r>
        <w:rPr>
          <w:rFonts w:eastAsia="Times New Roman"/>
          <w:sz w:val="17"/>
        </w:rPr>
        <w:t>This question is answered descriptively from the saved validation metrics, valid-target denominators, and common-case counts. Because 2019 contributes to Ridge alpha selection, these results are selection-stage descriptions rather than independent final estimates.</w:t>
      </w:r>
    </w:p>
    <w:p w14:paraId="40BA7149" w14:textId="77777777" w:rsidR="00C315A5" w:rsidRDefault="00570C2B">
      <w:pPr>
        <w:pStyle w:val="BodyText"/>
        <w:spacing w:after="50"/>
        <w:ind w:firstLine="173"/>
      </w:pPr>
      <w:r>
        <w:rPr>
          <w:rFonts w:eastAsia="Times New Roman"/>
          <w:b/>
          <w:sz w:val="17"/>
        </w:rPr>
        <w:t>RQ2:</w:t>
      </w:r>
      <w:r>
        <w:rPr>
          <w:rFonts w:eastAsia="Times New Roman"/>
          <w:sz w:val="17"/>
        </w:rPr>
        <w:t xml:space="preserve"> How do eligibility, native prediction coverage, and 2019 selection-stage errors differ descriptively between the exclude and cap policies?</w:t>
      </w:r>
    </w:p>
    <w:p w14:paraId="4B98DEED" w14:textId="77777777" w:rsidR="00C315A5" w:rsidRDefault="00570C2B">
      <w:pPr>
        <w:pStyle w:val="BodyText"/>
        <w:spacing w:after="50"/>
        <w:ind w:firstLine="173"/>
      </w:pPr>
      <w:r>
        <w:rPr>
          <w:rFonts w:eastAsia="Times New Roman"/>
          <w:sz w:val="17"/>
        </w:rPr>
        <w:t>The saved run reports the two policy-specific populations and results. The policies transform targets differently and induce different eligible cases; their differences are descriptive, not a causal contrast.</w:t>
      </w:r>
    </w:p>
    <w:p w14:paraId="42AD0908" w14:textId="77777777" w:rsidR="00C315A5" w:rsidRDefault="00570C2B">
      <w:pPr>
        <w:pStyle w:val="BodyText"/>
        <w:spacing w:after="50"/>
        <w:ind w:firstLine="173"/>
      </w:pPr>
      <w:r>
        <w:rPr>
          <w:rFonts w:eastAsia="Times New Roman"/>
          <w:sz w:val="17"/>
        </w:rPr>
        <w:t>These are the only active research questions. The study does not ask or answer questions about nonlinear-model value, warning efficacy, event detection, false alarms, health impacts, causal effects, unseen-city generalization, or final-test performance.</w:t>
      </w:r>
    </w:p>
    <w:p w14:paraId="03405712" w14:textId="77777777" w:rsidR="00C315A5" w:rsidRDefault="00570C2B">
      <w:pPr>
        <w:pStyle w:val="Heading2"/>
        <w:spacing w:before="80" w:after="40"/>
      </w:pPr>
      <w:r>
        <w:rPr>
          <w:rFonts w:ascii="Times New Roman" w:eastAsia="Times New Roman" w:hAnsi="Times New Roman"/>
          <w:sz w:val="17"/>
        </w:rPr>
        <w:t>B. Project-specific contributions</w:t>
      </w:r>
    </w:p>
    <w:p w14:paraId="5658F4E0" w14:textId="77777777" w:rsidR="00C315A5" w:rsidRDefault="00570C2B">
      <w:pPr>
        <w:pStyle w:val="BodyText"/>
        <w:spacing w:after="50"/>
        <w:ind w:firstLine="173"/>
      </w:pPr>
      <w:r>
        <w:rPr>
          <w:rFonts w:eastAsia="Times New Roman"/>
          <w:sz w:val="17"/>
        </w:rPr>
        <w:t>This study documents the following implementation and reporting elements without asserting that they are novel:</w:t>
      </w:r>
    </w:p>
    <w:p w14:paraId="2DB71D14" w14:textId="77777777" w:rsidR="00C315A5" w:rsidRDefault="00570C2B">
      <w:pPr>
        <w:pStyle w:val="BodyText"/>
        <w:spacing w:after="50"/>
        <w:ind w:left="230" w:hanging="230"/>
      </w:pPr>
      <w:r>
        <w:rPr>
          <w:rFonts w:eastAsia="Times New Roman"/>
          <w:sz w:val="17"/>
        </w:rPr>
        <w:lastRenderedPageBreak/>
        <w:t>1. Direct calendar-day targets with exact city/date target and lag joins and checks that AQI input timestamps do not exceed the forecast origin.</w:t>
      </w:r>
    </w:p>
    <w:p w14:paraId="64E361BA" w14:textId="77777777" w:rsidR="00C315A5" w:rsidRDefault="00570C2B">
      <w:pPr>
        <w:pStyle w:val="BodyText"/>
        <w:spacing w:after="50"/>
        <w:ind w:left="230" w:hanging="230"/>
      </w:pPr>
      <w:r>
        <w:rPr>
          <w:rFonts w:eastAsia="Times New Roman"/>
          <w:sz w:val="17"/>
        </w:rPr>
        <w:t>2. Target-date partitions and expanding development folds, with 2019 treated as a model-selection period.</w:t>
      </w:r>
    </w:p>
    <w:p w14:paraId="02291822" w14:textId="77777777" w:rsidR="00C315A5" w:rsidRDefault="00570C2B">
      <w:pPr>
        <w:pStyle w:val="BodyText"/>
        <w:spacing w:after="50"/>
        <w:ind w:left="230" w:hanging="230"/>
      </w:pPr>
      <w:r>
        <w:rPr>
          <w:rFonts w:eastAsia="Times New Roman"/>
          <w:sz w:val="17"/>
        </w:rPr>
        <w:t>3. Method-specific native prediction coverage alongside errors on shared eligible city/date cases.</w:t>
      </w:r>
    </w:p>
    <w:p w14:paraId="7D8F719E" w14:textId="77777777" w:rsidR="00C315A5" w:rsidRDefault="00570C2B">
      <w:pPr>
        <w:pStyle w:val="BodyText"/>
        <w:spacing w:after="50"/>
        <w:ind w:left="230" w:hanging="230"/>
      </w:pPr>
      <w:r>
        <w:rPr>
          <w:rFonts w:eastAsia="Times New Roman"/>
          <w:sz w:val="17"/>
        </w:rPr>
        <w:t>4. Separate exclude and cap</w:t>
      </w:r>
      <w:r>
        <w:rPr>
          <w:rFonts w:eastAsia="Times New Roman"/>
          <w:sz w:val="17"/>
        </w:rPr>
        <w:t xml:space="preserve"> analyses with run/data identity and explicit provenance limitations.</w:t>
      </w:r>
    </w:p>
    <w:p w14:paraId="0306AD1F" w14:textId="77777777" w:rsidR="00C315A5" w:rsidRDefault="00570C2B">
      <w:pPr>
        <w:pStyle w:val="BodyText"/>
        <w:spacing w:after="50"/>
        <w:ind w:firstLine="173"/>
      </w:pPr>
      <w:r>
        <w:rPr>
          <w:rFonts w:eastAsia="Times New Roman"/>
          <w:sz w:val="17"/>
        </w:rPr>
        <w:t>These statements describe the project-specific implementation and saved development comparison. They are not claims of field-level novelty, state-of-the-art performance, or demonstrated operational effectiveness.</w:t>
      </w:r>
    </w:p>
    <w:p w14:paraId="322C25E6" w14:textId="77777777" w:rsidR="00C315A5" w:rsidRDefault="00570C2B">
      <w:pPr>
        <w:pStyle w:val="Heading1"/>
      </w:pPr>
      <w:r>
        <w:rPr>
          <w:rFonts w:ascii="Times New Roman" w:eastAsia="Times New Roman" w:hAnsi="Times New Roman"/>
          <w:sz w:val="19"/>
        </w:rPr>
        <w:t>IV. DATASET AND PROVENANCE</w:t>
      </w:r>
    </w:p>
    <w:p w14:paraId="62B6C5C4" w14:textId="77777777" w:rsidR="00C315A5" w:rsidRDefault="00570C2B">
      <w:pPr>
        <w:pStyle w:val="Heading2"/>
        <w:spacing w:before="80" w:after="40"/>
      </w:pPr>
      <w:r>
        <w:rPr>
          <w:rFonts w:ascii="Times New Roman" w:eastAsia="Times New Roman" w:hAnsi="Times New Roman"/>
          <w:sz w:val="17"/>
        </w:rPr>
        <w:t>A. Local dataset</w:t>
      </w:r>
    </w:p>
    <w:p w14:paraId="18CDDF8D" w14:textId="77777777" w:rsidR="00C315A5" w:rsidRDefault="00570C2B">
      <w:pPr>
        <w:pStyle w:val="BodyText"/>
        <w:spacing w:after="50"/>
        <w:ind w:firstLine="173"/>
      </w:pPr>
      <w:r>
        <w:rPr>
          <w:rFonts w:eastAsia="Times New Roman"/>
          <w:sz w:val="17"/>
        </w:rPr>
        <w:t>The input is the local city-day comma-separated values (CSV) file of 2,574,056 bytes with SHA-256 0d84b21c3e4878bbad8df362f2ab05f61ad959538dddf5918e714077ed3c1847</w:t>
      </w:r>
      <w:r>
        <w:rPr>
          <w:rFonts w:eastAsia="Times New Roman"/>
          <w:sz w:val="17"/>
        </w:rPr>
        <w:t>. It contains 29,531 rows, 16 columns, 26 city labels, and observed dates from 2015-01-01 through 2020-07-01. Its columns are City, Date, twelve pollutant fields (PM2.5, PM10, NO, NO2, NOx, NH3, CO, SO2, O3, Benzene, Toluene, Xylene), AQI, and AQI_Bucket. There are 4,681 missing values in the AQI column.</w:t>
      </w:r>
    </w:p>
    <w:p w14:paraId="2D05D48E" w14:textId="77777777" w:rsidR="00C315A5" w:rsidRDefault="00570C2B">
      <w:pPr>
        <w:pStyle w:val="BodyText"/>
        <w:spacing w:after="50"/>
        <w:ind w:firstLine="173"/>
      </w:pPr>
      <w:r>
        <w:rPr>
          <w:rFonts w:eastAsia="Times New Roman"/>
          <w:sz w:val="17"/>
        </w:rPr>
        <w:t>The local file was previously verified byte-for-byte against city_day.csv</w:t>
      </w:r>
      <w:r>
        <w:rPr>
          <w:rFonts w:eastAsia="Times New Roman"/>
          <w:sz w:val="17"/>
        </w:rPr>
        <w:t xml:space="preserve"> in Kaggle dataset version 12, “Air Quality Data in India (2015–2020)” [12]. Kaggle's record attributes the data to CPCB and displays a “CC0: Public Domain” license label. This identifies the hosted artifact and records its stated attribution and license label; it does not establish the original CPCB source snapshot, a complete upstream chain of custody, or the uploader's authority to license upstream material.</w:t>
      </w:r>
    </w:p>
    <w:p w14:paraId="53B80521" w14:textId="77777777" w:rsidR="00C315A5" w:rsidRDefault="00570C2B">
      <w:pPr>
        <w:pStyle w:val="Heading2"/>
        <w:spacing w:before="80" w:after="40"/>
      </w:pPr>
      <w:r>
        <w:rPr>
          <w:rFonts w:ascii="Times New Roman" w:eastAsia="Times New Roman" w:hAnsi="Times New Roman"/>
          <w:sz w:val="17"/>
        </w:rPr>
        <w:t>B. AQI values and generation uncertainty</w:t>
      </w:r>
    </w:p>
    <w:p w14:paraId="55A9B002" w14:textId="77777777" w:rsidR="00C315A5" w:rsidRDefault="00570C2B">
      <w:pPr>
        <w:pStyle w:val="BodyText"/>
        <w:spacing w:after="50"/>
        <w:ind w:firstLine="173"/>
      </w:pPr>
      <w:r>
        <w:rPr>
          <w:rFonts w:eastAsia="Times New Roman"/>
          <w:sz w:val="17"/>
        </w:rPr>
        <w:t xml:space="preserve">The local file contains 543 AQI values above 500, ranging from 501 to 2049; each is labelled Severe in the file. CPCB's </w:t>
      </w:r>
      <w:r>
        <w:rPr>
          <w:rFonts w:eastAsia="Times New Roman"/>
          <w:i/>
          <w:sz w:val="17"/>
        </w:rPr>
        <w:t>National Air Quality Index: Final Report</w:t>
      </w:r>
      <w:r>
        <w:rPr>
          <w:rFonts w:eastAsia="Times New Roman"/>
          <w:sz w:val="17"/>
        </w:rPr>
        <w:t xml:space="preserve"> describes pollutant sub-indices based on concentration breakpoints and an overall AQI based on the maximum sub-index [11]. The current production implementation in src/data/india_aqi.py</w:t>
      </w:r>
      <w:r>
        <w:rPr>
          <w:rFonts w:eastAsia="Times New Roman"/>
          <w:sz w:val="17"/>
        </w:rPr>
        <w:t xml:space="preserve"> uses a CPCB-labelled calculation bounded at 500. Neither the CPCB methodology reference nor the current application implementation establishes how the historical CSV's AQI field was generated.</w:t>
      </w:r>
    </w:p>
    <w:p w14:paraId="69D22194" w14:textId="77777777" w:rsidR="00C315A5" w:rsidRDefault="00570C2B">
      <w:pPr>
        <w:pStyle w:val="BodyText"/>
        <w:spacing w:after="50"/>
        <w:ind w:firstLine="173"/>
      </w:pPr>
      <w:r>
        <w:rPr>
          <w:rFonts w:eastAsia="Times New Roman"/>
          <w:sz w:val="17"/>
        </w:rPr>
        <w:t>The values above 500 may reflect extrapolation, a different historical calculation, another transformation, or data errors; the available evidence does not resolve which. The historical AQI-generation procedure, aggregation, station coverage, and meaning of missing observations also remain unresolved. Accordingly, this study forecasts the dataset's recorded AQI field and does not claim to reconstruct historical CPCB AQI.</w:t>
      </w:r>
      <w:r>
        <w:rPr>
          <w:rFonts w:eastAsia="Times New Roman"/>
          <w:sz w:val="17"/>
        </w:rPr>
      </w:r>
    </w:p>
    <w:p w14:paraId="3D5F1756" w14:textId="77777777" w:rsidR="00C315A5" w:rsidRDefault="00570C2B">
      <w:pPr>
        <w:pStyle w:val="Heading1"/>
      </w:pPr>
      <w:r>
        <w:rPr>
          <w:rFonts w:ascii="Times New Roman" w:eastAsia="Times New Roman" w:hAnsi="Times New Roman"/>
          <w:sz w:val="19"/>
        </w:rPr>
        <w:t>V. FORECASTING TASK AND SAMPLE CONSTRUCTION</w:t>
      </w:r>
    </w:p>
    <w:p w14:paraId="040F1FA7" w14:textId="77777777" w:rsidR="00C315A5" w:rsidRDefault="00570C2B">
      <w:pPr>
        <w:pStyle w:val="BodyText"/>
        <w:spacing w:after="50"/>
        <w:ind w:firstLine="173"/>
      </w:pPr>
      <w:r>
        <w:rPr>
          <w:rFonts w:eastAsia="Times New Roman"/>
          <w:sz w:val="17"/>
        </w:rPr>
        <w:t>For city c, forecast-origin date t, and horizon h ∈ 1,3,7, the target date is t+h calendar days. The outcome is the policy-transformed AQI value for city c on that exact target date. Samples are assigned to partitions by target date.</w:t>
      </w:r>
    </w:p>
    <w:p w14:paraId="533E023D" w14:textId="77777777" w:rsidR="00C315A5" w:rsidRDefault="00570C2B">
      <w:pPr>
        <w:pStyle w:val="BodyText"/>
        <w:spacing w:after="50"/>
        <w:ind w:firstLine="173"/>
      </w:pPr>
      <w:r>
        <w:rPr>
          <w:rFonts w:eastAsia="Times New Roman"/>
          <w:sz w:val="17"/>
        </w:rPr>
        <w:t>The primary model's seven predictors are three same-city AQI observations at t, t-1, and t-7 calendar days, and four deterministic encodings of target month and target weekday. Each AQI lag is retrieved by an exact city/date join; a neighboring row does not substitute for an absent calendar date. The sample builder checks that the input timestamps are no later than the forecast origin. The four calendar features are sine and cosine encodings known from the target date. Pollutant concentrations, city identif</w:t>
      </w:r>
      <w:r>
        <w:rPr>
          <w:rFonts w:eastAsia="Times New Roman"/>
          <w:sz w:val="17"/>
        </w:rPr>
        <w:t>iers, and target-derived fields are not included in the Ridge feature schema.</w:t>
      </w:r>
    </w:p>
    <w:p w14:paraId="0CE8BD53" w14:textId="77777777" w:rsidR="00C315A5" w:rsidRDefault="00570C2B">
      <w:pPr>
        <w:pStyle w:val="Heading1"/>
      </w:pPr>
      <w:r>
        <w:rPr>
          <w:rFonts w:ascii="Times New Roman" w:eastAsia="Times New Roman" w:hAnsi="Times New Roman"/>
          <w:sz w:val="19"/>
        </w:rPr>
        <w:t>VI. TARGET POLICIES AND FORECASTING METHODS</w:t>
      </w:r>
    </w:p>
    <w:p w14:paraId="57B3C07D" w14:textId="77777777" w:rsidR="00C315A5" w:rsidRDefault="00570C2B">
      <w:pPr>
        <w:pStyle w:val="Heading2"/>
        <w:spacing w:before="80" w:after="40"/>
      </w:pPr>
      <w:r>
        <w:rPr>
          <w:rFonts w:ascii="Times New Roman" w:eastAsia="Times New Roman" w:hAnsi="Times New Roman"/>
          <w:sz w:val="17"/>
        </w:rPr>
        <w:t>A. Target policies</w:t>
      </w:r>
    </w:p>
    <w:p w14:paraId="25EC631D" w14:textId="77777777" w:rsidR="00C315A5" w:rsidRDefault="00570C2B">
      <w:pPr>
        <w:pStyle w:val="BodyText"/>
        <w:spacing w:after="50"/>
        <w:ind w:firstLine="173"/>
      </w:pPr>
      <w:r>
        <w:rPr>
          <w:rFonts w:eastAsia="Times New Roman"/>
          <w:sz w:val="17"/>
        </w:rPr>
        <w:t>The study uses two distinct policies:</w:t>
      </w:r>
    </w:p>
    <w:p w14:paraId="78A311FE" w14:textId="77777777" w:rsidR="00C315A5" w:rsidRDefault="00570C2B">
      <w:pPr>
        <w:pStyle w:val="BodyText"/>
        <w:spacing w:after="50"/>
        <w:ind w:left="230" w:hanging="230"/>
      </w:pPr>
      <w:r>
        <w:rPr>
          <w:rFonts w:eastAsia="Times New Roman"/>
          <w:sz w:val="17"/>
        </w:rPr>
        <w:t xml:space="preserve">• </w:t>
      </w:r>
      <w:r>
        <w:rPr>
          <w:rFonts w:eastAsia="Times New Roman"/>
          <w:b/>
          <w:sz w:val="17"/>
        </w:rPr>
        <w:t>`exclude`:</w:t>
      </w:r>
      <w:r>
        <w:rPr>
          <w:rFonts w:eastAsia="Times New Roman"/>
          <w:sz w:val="17"/>
        </w:rPr>
        <w:t xml:space="preserve"> raw AQI values outside the inclusive interval [0, 500] are invalid as targets or AQI lags.</w:t>
      </w:r>
    </w:p>
    <w:p w14:paraId="22F641E6" w14:textId="77777777" w:rsidR="00C315A5" w:rsidRDefault="00570C2B">
      <w:pPr>
        <w:pStyle w:val="BodyText"/>
        <w:spacing w:after="50"/>
        <w:ind w:left="230" w:hanging="230"/>
      </w:pPr>
      <w:r>
        <w:rPr>
          <w:rFonts w:eastAsia="Times New Roman"/>
          <w:sz w:val="17"/>
        </w:rPr>
        <w:t xml:space="preserve">• </w:t>
      </w:r>
      <w:r>
        <w:rPr>
          <w:rFonts w:eastAsia="Times New Roman"/>
          <w:b/>
          <w:sz w:val="17"/>
        </w:rPr>
        <w:t>`cap`:</w:t>
      </w:r>
      <w:r>
        <w:rPr>
          <w:rFonts w:eastAsia="Times New Roman"/>
          <w:sz w:val="17"/>
        </w:rPr>
        <w:t xml:space="preserve"> raw AQI values above 500 are mapped to 500; negative and missing values remain invalid.</w:t>
      </w:r>
    </w:p>
    <w:p w14:paraId="5C4ADB83" w14:textId="77777777" w:rsidR="00C315A5" w:rsidRDefault="00570C2B">
      <w:pPr>
        <w:pStyle w:val="BodyText"/>
        <w:spacing w:after="50"/>
        <w:ind w:firstLine="173"/>
      </w:pPr>
      <w:r>
        <w:rPr>
          <w:rFonts w:eastAsia="Times New Roman"/>
          <w:sz w:val="17"/>
        </w:rPr>
        <w:t>Raw values and statuses are retained for audit. These policies are sensitivity analyses, not claims that either treatment reproduces the historical AQI calculation. Because they produce different transformed targets and eligible populations, their results are reported separately and are not interpreted as a causal effect.</w:t>
      </w:r>
    </w:p>
    <w:p w14:paraId="3ED40AF4" w14:textId="77777777" w:rsidR="00C315A5" w:rsidRDefault="00570C2B">
      <w:pPr>
        <w:pStyle w:val="Heading2"/>
        <w:spacing w:before="80" w:after="40"/>
      </w:pPr>
      <w:r>
        <w:rPr>
          <w:rFonts w:ascii="Times New Roman" w:eastAsia="Times New Roman" w:hAnsi="Times New Roman"/>
          <w:sz w:val="17"/>
        </w:rPr>
        <w:t>B. Baseline methods</w:t>
      </w:r>
    </w:p>
    <w:p w14:paraId="67B50EBA" w14:textId="77777777" w:rsidR="00C315A5" w:rsidRDefault="00570C2B">
      <w:pPr>
        <w:pStyle w:val="BodyText"/>
        <w:spacing w:after="50"/>
        <w:ind w:left="230" w:hanging="230"/>
      </w:pPr>
      <w:r>
        <w:rPr>
          <w:rFonts w:eastAsia="Times New Roman"/>
          <w:sz w:val="17"/>
        </w:rPr>
        <w:t xml:space="preserve">1. </w:t>
      </w:r>
      <w:r>
        <w:rPr>
          <w:rFonts w:eastAsia="Times New Roman"/>
          <w:b/>
          <w:sz w:val="17"/>
        </w:rPr>
        <w:t>Persistence</w:t>
      </w:r>
      <w:r>
        <w:rPr>
          <w:rFonts w:eastAsia="Times New Roman"/>
          <w:sz w:val="17"/>
        </w:rPr>
        <w:t xml:space="preserve"> predicts the policy-transformed AQI at the exact forecast origin. If that input is unavailable or invalid, the prediction remains unavailable.</w:t>
      </w:r>
    </w:p>
    <w:p w14:paraId="2802D87A" w14:textId="77777777" w:rsidR="00C315A5" w:rsidRDefault="00570C2B">
      <w:pPr>
        <w:pStyle w:val="BodyText"/>
        <w:spacing w:after="50"/>
        <w:ind w:left="230" w:hanging="230"/>
      </w:pPr>
      <w:r>
        <w:rPr>
          <w:rFonts w:eastAsia="Times New Roman"/>
          <w:sz w:val="17"/>
        </w:rPr>
        <w:t xml:space="preserve">2. </w:t>
      </w:r>
      <w:r>
        <w:rPr>
          <w:rFonts w:eastAsia="Times New Roman"/>
          <w:b/>
          <w:sz w:val="17"/>
        </w:rPr>
        <w:t>Annual seasonal-naïve</w:t>
      </w:r>
      <w:r>
        <w:rPr>
          <w:rFonts w:eastAsia="Times New Roman"/>
          <w:sz w:val="17"/>
        </w:rPr>
        <w:t xml:space="preserve"> uses the same city's value at the exact calendar date one year before the target, only if it is available by the forecast origin and valid under the policy. February 29 maps to February 28 in the preceding year; no nearby date is substituted.</w:t>
      </w:r>
    </w:p>
    <w:p w14:paraId="1037912C" w14:textId="77777777" w:rsidR="00C315A5" w:rsidRDefault="00570C2B">
      <w:pPr>
        <w:pStyle w:val="BodyText"/>
        <w:spacing w:after="50"/>
        <w:ind w:left="230" w:hanging="230"/>
      </w:pPr>
      <w:r>
        <w:rPr>
          <w:rFonts w:eastAsia="Times New Roman"/>
          <w:sz w:val="17"/>
        </w:rPr>
        <w:t xml:space="preserve">3. </w:t>
      </w:r>
      <w:r>
        <w:rPr>
          <w:rFonts w:eastAsia="Times New Roman"/>
          <w:b/>
          <w:sz w:val="17"/>
        </w:rPr>
        <w:t>Training-only city/month climatology</w:t>
      </w:r>
      <w:r>
        <w:rPr>
          <w:rFonts w:eastAsia="Times New Roman"/>
          <w:sz w:val="17"/>
        </w:rPr>
        <w:t xml:space="preserve"> predicts the training-target mean for the same city and target month, with the pooled training mean for that month as fallback. It is fitted using training targets only.</w:t>
      </w:r>
    </w:p>
    <w:p w14:paraId="3EC8F816" w14:textId="77777777" w:rsidR="00C315A5" w:rsidRDefault="00570C2B">
      <w:pPr>
        <w:pStyle w:val="BodyText"/>
        <w:spacing w:after="50"/>
        <w:ind w:left="230" w:hanging="230"/>
      </w:pPr>
      <w:r>
        <w:rPr>
          <w:rFonts w:eastAsia="Times New Roman"/>
          <w:sz w:val="17"/>
        </w:rPr>
        <w:t xml:space="preserve">4. </w:t>
      </w:r>
      <w:r>
        <w:rPr>
          <w:rFonts w:eastAsia="Times New Roman"/>
          <w:b/>
          <w:sz w:val="17"/>
        </w:rPr>
        <w:t>Standardized Ridge regression</w:t>
      </w:r>
      <w:r>
        <w:rPr>
          <w:rFonts w:eastAsia="Times New Roman"/>
          <w:sz w:val="17"/>
        </w:rPr>
        <w:t xml:space="preserve"> fits a StandardScaler followed by Ridge regression on the seven approved predictors, separately for each policy/horizon setting.</w:t>
      </w:r>
    </w:p>
    <w:p w14:paraId="3EE23930" w14:textId="77777777" w:rsidR="00C315A5" w:rsidRDefault="00570C2B">
      <w:pPr>
        <w:pStyle w:val="BodyText"/>
        <w:spacing w:after="50"/>
        <w:ind w:left="230" w:hanging="230"/>
      </w:pPr>
      <w:r>
        <w:rPr>
          <w:rFonts w:eastAsia="Times New Roman"/>
          <w:sz w:val="17"/>
        </w:rPr>
        <w:t xml:space="preserve">5. </w:t>
      </w:r>
      <w:r>
        <w:rPr>
          <w:rFonts w:eastAsia="Times New Roman"/>
          <w:b/>
          <w:sz w:val="17"/>
        </w:rPr>
        <w:t>Weekly seasonal-naïve</w:t>
      </w:r>
      <w:r>
        <w:rPr>
          <w:rFonts w:eastAsia="Times New Roman"/>
          <w:sz w:val="17"/>
        </w:rPr>
        <w:t xml:space="preserve"> uses the exact same-city value at target date minus seven days, subject to origin availability and policy. It is reported at horizons 1 and 3. At horizon 7 it is identical to persistence and is not a distinct comparator.</w:t>
      </w:r>
    </w:p>
    <w:p w14:paraId="07B8AE13" w14:textId="77777777" w:rsidR="00C315A5" w:rsidRDefault="00570C2B">
      <w:pPr>
        <w:pStyle w:val="BodyText"/>
        <w:spacing w:after="50"/>
        <w:ind w:firstLine="173"/>
      </w:pPr>
      <w:r>
        <w:rPr>
          <w:rFonts w:eastAsia="Times New Roman"/>
          <w:sz w:val="17"/>
        </w:rPr>
        <w:t>No tree-based or additional model family was evaluated.</w:t>
      </w:r>
    </w:p>
    <w:p w14:paraId="52FAB4E4" w14:textId="77777777" w:rsidR="00C315A5" w:rsidRDefault="00570C2B">
      <w:pPr>
        <w:pStyle w:val="Heading1"/>
      </w:pPr>
      <w:r>
        <w:rPr>
          <w:rFonts w:ascii="Times New Roman" w:eastAsia="Times New Roman" w:hAnsi="Times New Roman"/>
          <w:sz w:val="19"/>
        </w:rPr>
        <w:t>VII. EXPERIMENTAL DESIGN</w:t>
      </w:r>
    </w:p>
    <w:p w14:paraId="76FA6C30" w14:textId="77777777" w:rsidR="00C315A5" w:rsidRDefault="00570C2B">
      <w:pPr>
        <w:pStyle w:val="Heading2"/>
        <w:spacing w:before="80" w:after="40"/>
      </w:pPr>
      <w:r>
        <w:rPr>
          <w:rFonts w:ascii="Times New Roman" w:eastAsia="Times New Roman" w:hAnsi="Times New Roman"/>
          <w:sz w:val="17"/>
        </w:rPr>
        <w:t>A. Temporal partitions</w:t>
      </w:r>
    </w:p>
    <w:p w14:paraId="001553B8" w14:textId="77777777" w:rsidR="00C315A5" w:rsidRDefault="00570C2B">
      <w:pPr>
        <w:pStyle w:val="BodyText"/>
        <w:spacing w:after="50"/>
        <w:ind w:firstLine="173"/>
      </w:pPr>
      <w:r>
        <w:rPr>
          <w:rFonts w:eastAsia="Times New Roman"/>
          <w:sz w:val="17"/>
        </w:rPr>
        <w:t>The approved inclusive target-date partitions are shown in Table I.</w:t>
      </w:r>
    </w:p>
    <w:p w14:paraId="4D396B12" w14:textId="77777777" w:rsidR="00C315A5" w:rsidRDefault="00C315A5">
      <w:pPr>
        <w:spacing w:line="20" w:lineRule="exact"/>
        <w:sectPr w:rsidR="00C315A5">
          <w:type w:val="continuous"/>
          <w:pgSz w:w="12240" w:h="15840"/>
          <w:pgMar w:top="979" w:right="979" w:bottom="979" w:left="979" w:header="720" w:footer="720" w:gutter="0"/>
          <w:cols w:num="2" w:space="360"/>
          <w:docGrid w:linePitch="360"/>
        </w:sectPr>
      </w:pPr>
    </w:p>
    <w:p w14:paraId="2ECD7858" w14:textId="77777777" w:rsidR="00C315A5" w:rsidRDefault="00570C2B">
      <w:pPr>
        <w:keepNext/>
        <w:keepLines/>
        <w:spacing w:before="80" w:after="60"/>
        <w:jc w:val="center"/>
      </w:pPr>
      <w:r>
        <w:rPr>
          <w:rFonts w:eastAsia="Times New Roman"/>
          <w:b/>
          <w:sz w:val="16"/>
        </w:rPr>
        <w:t>TABLE I. TARGET-DATE PARTITIONS</w:t>
      </w:r>
    </w:p>
    <w:tbl>
      <w:tblPr>
        <w:tblStyle w:val="TableGrid"/>
        <w:tblW w:w="0" w:type="auto"/>
        <w:jc w:val="center"/>
        <w:tblLayout w:type="fixed"/>
        <w:tblLook w:val="04A0" w:firstRow="1" w:lastRow="0" w:firstColumn="1" w:lastColumn="0" w:noHBand="0" w:noVBand="1"/>
      </w:tblPr>
      <w:tblGrid>
        <w:gridCol w:w="2232"/>
        <w:gridCol w:w="3024"/>
        <w:gridCol w:w="4824"/>
      </w:tblGrid>
      <w:tr w:rsidR="00C315A5" w14:paraId="03CF8FA2" w14:textId="77777777">
        <w:trPr>
          <w:cantSplit/>
          <w:tblHeader/>
          <w:jc w:val="center"/>
        </w:trPr>
        <w:tc>
          <w:tcPr>
            <w:tcW w:w="2232" w:type="dxa"/>
            <w:shd w:val="clear" w:color="auto" w:fill="1F4E78"/>
            <w:tcMar>
              <w:top w:w="35" w:type="dxa"/>
              <w:left w:w="40" w:type="dxa"/>
              <w:bottom w:w="35" w:type="dxa"/>
              <w:right w:w="40" w:type="dxa"/>
            </w:tcMar>
            <w:vAlign w:val="center"/>
          </w:tcPr>
          <w:p w14:paraId="1B8E912D" w14:textId="77777777" w:rsidR="00C315A5" w:rsidRDefault="00570C2B">
            <w:pPr>
              <w:jc w:val="center"/>
            </w:pPr>
            <w:r>
              <w:rPr>
                <w:rFonts w:eastAsia="Times New Roman"/>
                <w:b/>
                <w:color w:val="FFFFFF"/>
                <w:sz w:val="15"/>
              </w:rPr>
              <w:t>Partition</w:t>
            </w:r>
          </w:p>
        </w:tc>
        <w:tc>
          <w:tcPr>
            <w:tcW w:w="3024" w:type="dxa"/>
            <w:shd w:val="clear" w:color="auto" w:fill="1F4E78"/>
            <w:tcMar>
              <w:top w:w="35" w:type="dxa"/>
              <w:left w:w="40" w:type="dxa"/>
              <w:bottom w:w="35" w:type="dxa"/>
              <w:right w:w="40" w:type="dxa"/>
            </w:tcMar>
            <w:vAlign w:val="center"/>
          </w:tcPr>
          <w:p w14:paraId="47643095" w14:textId="77777777" w:rsidR="00C315A5" w:rsidRDefault="00570C2B">
            <w:pPr>
              <w:jc w:val="center"/>
            </w:pPr>
            <w:r>
              <w:rPr>
                <w:rFonts w:eastAsia="Times New Roman"/>
                <w:b/>
                <w:color w:val="FFFFFF"/>
                <w:sz w:val="15"/>
              </w:rPr>
              <w:t>Inclusive target-date range</w:t>
            </w:r>
          </w:p>
        </w:tc>
        <w:tc>
          <w:tcPr>
            <w:tcW w:w="4824" w:type="dxa"/>
            <w:shd w:val="clear" w:color="auto" w:fill="1F4E78"/>
            <w:tcMar>
              <w:top w:w="35" w:type="dxa"/>
              <w:left w:w="40" w:type="dxa"/>
              <w:bottom w:w="35" w:type="dxa"/>
              <w:right w:w="40" w:type="dxa"/>
            </w:tcMar>
            <w:vAlign w:val="center"/>
          </w:tcPr>
          <w:p w14:paraId="69A897AC" w14:textId="77777777" w:rsidR="00C315A5" w:rsidRDefault="00570C2B">
            <w:pPr>
              <w:jc w:val="center"/>
            </w:pPr>
            <w:r>
              <w:rPr>
                <w:rFonts w:eastAsia="Times New Roman"/>
                <w:b/>
                <w:color w:val="FFFFFF"/>
                <w:sz w:val="15"/>
              </w:rPr>
              <w:t>Role</w:t>
            </w:r>
          </w:p>
        </w:tc>
      </w:tr>
      <w:tr w:rsidR="00C315A5" w14:paraId="177A5F76" w14:textId="77777777">
        <w:trPr>
          <w:cantSplit/>
          <w:jc w:val="center"/>
        </w:trPr>
        <w:tc>
          <w:tcPr>
            <w:tcW w:w="2232" w:type="dxa"/>
            <w:tcMar>
              <w:top w:w="35" w:type="dxa"/>
              <w:left w:w="40" w:type="dxa"/>
              <w:bottom w:w="35" w:type="dxa"/>
              <w:right w:w="40" w:type="dxa"/>
            </w:tcMar>
            <w:vAlign w:val="center"/>
          </w:tcPr>
          <w:p w14:paraId="4CC5EDC7" w14:textId="77777777" w:rsidR="00C315A5" w:rsidRDefault="00570C2B">
            <w:pPr>
              <w:jc w:val="center"/>
            </w:pPr>
            <w:r>
              <w:rPr>
                <w:rFonts w:eastAsia="Times New Roman"/>
                <w:sz w:val="15"/>
              </w:rPr>
              <w:t>Training</w:t>
            </w:r>
          </w:p>
        </w:tc>
        <w:tc>
          <w:tcPr>
            <w:tcW w:w="3024" w:type="dxa"/>
            <w:tcMar>
              <w:top w:w="35" w:type="dxa"/>
              <w:left w:w="40" w:type="dxa"/>
              <w:bottom w:w="35" w:type="dxa"/>
              <w:right w:w="40" w:type="dxa"/>
            </w:tcMar>
            <w:vAlign w:val="center"/>
          </w:tcPr>
          <w:p w14:paraId="603FC069" w14:textId="77777777" w:rsidR="00C315A5" w:rsidRDefault="00570C2B">
            <w:pPr>
              <w:jc w:val="center"/>
            </w:pPr>
            <w:r>
              <w:rPr>
                <w:rFonts w:eastAsia="Times New Roman"/>
                <w:sz w:val="15"/>
              </w:rPr>
              <w:t>2015-01-01–2018-12-31</w:t>
            </w:r>
          </w:p>
        </w:tc>
        <w:tc>
          <w:tcPr>
            <w:tcW w:w="4824" w:type="dxa"/>
            <w:tcMar>
              <w:top w:w="35" w:type="dxa"/>
              <w:left w:w="40" w:type="dxa"/>
              <w:bottom w:w="35" w:type="dxa"/>
              <w:right w:w="40" w:type="dxa"/>
            </w:tcMar>
            <w:vAlign w:val="center"/>
          </w:tcPr>
          <w:p w14:paraId="08C5632D" w14:textId="77777777" w:rsidR="00C315A5" w:rsidRDefault="00570C2B">
            <w:pPr>
              <w:jc w:val="center"/>
            </w:pPr>
            <w:r>
              <w:rPr>
                <w:rFonts w:eastAsia="Times New Roman"/>
                <w:sz w:val="15"/>
              </w:rPr>
              <w:t>Fit forecasting methods</w:t>
            </w:r>
          </w:p>
        </w:tc>
      </w:tr>
      <w:tr w:rsidR="00C315A5" w14:paraId="1AC79ED6" w14:textId="77777777">
        <w:trPr>
          <w:cantSplit/>
          <w:jc w:val="center"/>
        </w:trPr>
        <w:tc>
          <w:tcPr>
            <w:tcW w:w="2232" w:type="dxa"/>
            <w:shd w:val="clear" w:color="auto" w:fill="EAF0F6"/>
            <w:tcMar>
              <w:top w:w="35" w:type="dxa"/>
              <w:left w:w="40" w:type="dxa"/>
              <w:bottom w:w="35" w:type="dxa"/>
              <w:right w:w="40" w:type="dxa"/>
            </w:tcMar>
            <w:vAlign w:val="center"/>
          </w:tcPr>
          <w:p w14:paraId="4CACE87D" w14:textId="77777777" w:rsidR="00C315A5" w:rsidRDefault="00570C2B">
            <w:pPr>
              <w:jc w:val="center"/>
            </w:pPr>
            <w:r>
              <w:rPr>
                <w:rFonts w:eastAsia="Times New Roman"/>
                <w:sz w:val="15"/>
              </w:rPr>
              <w:t>Development/model selection</w:t>
            </w:r>
          </w:p>
        </w:tc>
        <w:tc>
          <w:tcPr>
            <w:tcW w:w="3024" w:type="dxa"/>
            <w:shd w:val="clear" w:color="auto" w:fill="EAF0F6"/>
            <w:tcMar>
              <w:top w:w="35" w:type="dxa"/>
              <w:left w:w="40" w:type="dxa"/>
              <w:bottom w:w="35" w:type="dxa"/>
              <w:right w:w="40" w:type="dxa"/>
            </w:tcMar>
            <w:vAlign w:val="center"/>
          </w:tcPr>
          <w:p w14:paraId="205FED36" w14:textId="77777777" w:rsidR="00C315A5" w:rsidRDefault="00570C2B">
            <w:pPr>
              <w:jc w:val="center"/>
            </w:pPr>
            <w:r>
              <w:rPr>
                <w:rFonts w:eastAsia="Times New Roman"/>
                <w:sz w:val="15"/>
              </w:rPr>
              <w:t>2019-01-01–2019-12-31</w:t>
            </w:r>
          </w:p>
        </w:tc>
        <w:tc>
          <w:tcPr>
            <w:tcW w:w="4824" w:type="dxa"/>
            <w:shd w:val="clear" w:color="auto" w:fill="EAF0F6"/>
            <w:tcMar>
              <w:top w:w="35" w:type="dxa"/>
              <w:left w:w="40" w:type="dxa"/>
              <w:bottom w:w="35" w:type="dxa"/>
              <w:right w:w="40" w:type="dxa"/>
            </w:tcMar>
            <w:vAlign w:val="center"/>
          </w:tcPr>
          <w:p w14:paraId="1B1BF661" w14:textId="77777777" w:rsidR="00C315A5" w:rsidRDefault="00570C2B">
            <w:pPr>
              <w:jc w:val="center"/>
            </w:pPr>
            <w:r>
              <w:rPr>
                <w:rFonts w:eastAsia="Times New Roman"/>
                <w:sz w:val="15"/>
              </w:rPr>
              <w:t>Select Ridge alpha and report development results</w:t>
            </w:r>
          </w:p>
        </w:tc>
      </w:tr>
      <w:tr w:rsidR="00C315A5" w14:paraId="13778479" w14:textId="77777777">
        <w:trPr>
          <w:cantSplit/>
          <w:jc w:val="center"/>
        </w:trPr>
        <w:tc>
          <w:tcPr>
            <w:tcW w:w="2232" w:type="dxa"/>
            <w:tcMar>
              <w:top w:w="35" w:type="dxa"/>
              <w:left w:w="40" w:type="dxa"/>
              <w:bottom w:w="35" w:type="dxa"/>
              <w:right w:w="40" w:type="dxa"/>
            </w:tcMar>
            <w:vAlign w:val="center"/>
          </w:tcPr>
          <w:p w14:paraId="77254909" w14:textId="77777777" w:rsidR="00C315A5" w:rsidRDefault="00570C2B">
            <w:pPr>
              <w:jc w:val="center"/>
            </w:pPr>
            <w:r>
              <w:rPr>
                <w:rFonts w:eastAsia="Times New Roman"/>
                <w:sz w:val="15"/>
              </w:rPr>
              <w:t>Locked final test</w:t>
            </w:r>
          </w:p>
        </w:tc>
        <w:tc>
          <w:tcPr>
            <w:tcW w:w="3024" w:type="dxa"/>
            <w:tcMar>
              <w:top w:w="35" w:type="dxa"/>
              <w:left w:w="40" w:type="dxa"/>
              <w:bottom w:w="35" w:type="dxa"/>
              <w:right w:w="40" w:type="dxa"/>
            </w:tcMar>
            <w:vAlign w:val="center"/>
          </w:tcPr>
          <w:p w14:paraId="6C6FE18B" w14:textId="77777777" w:rsidR="00C315A5" w:rsidRDefault="00570C2B">
            <w:pPr>
              <w:jc w:val="center"/>
            </w:pPr>
            <w:r>
              <w:rPr>
                <w:rFonts w:eastAsia="Times New Roman"/>
                <w:sz w:val="15"/>
              </w:rPr>
              <w:t>2020-01-01–2020-07-01</w:t>
            </w:r>
          </w:p>
        </w:tc>
        <w:tc>
          <w:tcPr>
            <w:tcW w:w="4824" w:type="dxa"/>
            <w:tcMar>
              <w:top w:w="35" w:type="dxa"/>
              <w:left w:w="40" w:type="dxa"/>
              <w:bottom w:w="35" w:type="dxa"/>
              <w:right w:w="40" w:type="dxa"/>
            </w:tcMar>
            <w:vAlign w:val="center"/>
          </w:tcPr>
          <w:p w14:paraId="1B2C7454" w14:textId="77777777" w:rsidR="00C315A5" w:rsidRDefault="00570C2B">
            <w:pPr>
              <w:jc w:val="center"/>
            </w:pPr>
            <w:r>
              <w:rPr>
                <w:rFonts w:eastAsia="Times New Roman"/>
                <w:sz w:val="15"/>
              </w:rPr>
              <w:t>Reserved; not scored</w:t>
            </w:r>
          </w:p>
        </w:tc>
      </w:tr>
    </w:tbl>
    <w:p w14:paraId="6B21D425" w14:textId="77777777" w:rsidR="00C315A5" w:rsidRDefault="00C315A5">
      <w:pPr>
        <w:spacing w:line="20" w:lineRule="exact"/>
        <w:sectPr w:rsidR="00C315A5">
          <w:type w:val="continuous"/>
          <w:pgSz w:w="12240" w:h="15840"/>
          <w:pgMar w:top="979" w:right="979" w:bottom="979" w:left="979" w:header="720" w:footer="720" w:gutter="0"/>
          <w:cols w:space="360"/>
          <w:docGrid w:linePitch="360"/>
        </w:sectPr>
      </w:pPr>
    </w:p>
    <w:p w14:paraId="0BD48682" w14:textId="77777777" w:rsidR="00C315A5" w:rsidRDefault="00570C2B">
      <w:pPr>
        <w:pStyle w:val="BodyText"/>
        <w:spacing w:after="50"/>
        <w:ind w:firstLine="173"/>
      </w:pPr>
      <w:r>
        <w:rPr>
          <w:rFonts w:eastAsia="Times New Roman"/>
          <w:sz w:val="17"/>
        </w:rPr>
        <w:t>Three expanding development folds are used: training through 2016 with validation in 2017; training through 2017 with validation in 2018; and training through 2018 with validation in 2019. Fold construction and the main partitions use target dates.</w:t>
      </w:r>
    </w:p>
    <w:p w14:paraId="7338CE77" w14:textId="77777777" w:rsidR="00C315A5" w:rsidRDefault="00570C2B">
      <w:pPr>
        <w:pStyle w:val="Heading2"/>
        <w:spacing w:before="80" w:after="40"/>
      </w:pPr>
      <w:r>
        <w:rPr>
          <w:rFonts w:ascii="Times New Roman" w:eastAsia="Times New Roman" w:hAnsi="Times New Roman"/>
          <w:sz w:val="17"/>
        </w:rPr>
        <w:t>B. Ridge model selection</w:t>
      </w:r>
    </w:p>
    <w:p w14:paraId="65558FA2" w14:textId="77777777" w:rsidR="00C315A5" w:rsidRDefault="00570C2B">
      <w:pPr>
        <w:pStyle w:val="BodyText"/>
        <w:spacing w:after="50"/>
        <w:ind w:firstLine="173"/>
      </w:pPr>
      <w:r>
        <w:rPr>
          <w:rFonts w:eastAsia="Times New Roman"/>
          <w:sz w:val="17"/>
        </w:rPr>
        <w:t xml:space="preserve">The candidate Ridge regularization parameters are α ∈ 0.1, 1.0, 10.0. For each target policy and horizon, selection minimizes the equal-weight mean validation MAE over the 2017, 2018, and 2019 folds. Exact ties are resolved in favor of the larger alpha. The saved run selected α=0.1 in all six policy/horizon settings. Since the 2019 fold participates in </w:t>
      </w:r>
      <w:r>
        <w:rPr>
          <w:rFonts w:eastAsia="Times New Roman"/>
          <w:sz w:val="17"/>
        </w:rPr>
        <w:lastRenderedPageBreak/>
        <w:t>selection, all 2019 performance summaries are selection-stage results and are not independent estimates.</w:t>
      </w:r>
    </w:p>
    <w:p w14:paraId="1E7422FA" w14:textId="77777777" w:rsidR="00C315A5" w:rsidRDefault="00570C2B">
      <w:pPr>
        <w:pStyle w:val="Heading2"/>
        <w:spacing w:before="80" w:after="40"/>
      </w:pPr>
      <w:r>
        <w:rPr>
          <w:rFonts w:ascii="Times New Roman" w:eastAsia="Times New Roman" w:hAnsi="Times New Roman"/>
          <w:sz w:val="17"/>
        </w:rPr>
        <w:t>C. Saved-run isolation qualification</w:t>
      </w:r>
    </w:p>
    <w:p w14:paraId="686EA497" w14:textId="77777777" w:rsidR="00C315A5" w:rsidRDefault="00570C2B">
      <w:pPr>
        <w:pStyle w:val="BodyText"/>
        <w:spacing w:after="50"/>
        <w:ind w:firstLine="173"/>
      </w:pPr>
      <w:r>
        <w:rPr>
          <w:rFonts w:eastAsia="Times New Roman"/>
          <w:sz w:val="17"/>
        </w:rPr>
        <w:t xml:space="preserve">The saved run </w:t>
      </w:r>
      <w:r>
        <w:rPr>
          <w:rFonts w:eastAsia="Times New Roman"/>
          <w:sz w:val="17"/>
        </w:rPr>
        <w:t>20261010T101227Z-50924ef9974e</w:t>
      </w:r>
      <w:r>
        <w:rPr>
          <w:rFonts w:eastAsia="Times New Roman"/>
          <w:sz w:val="17"/>
        </w:rPr>
        <w:t xml:space="preserve"> predates a later hardening change that limits the development runner's baseline-history handoff to rows ending 2019-12-31. In the saved run, the full CSV was loaded for the data audit and date parsing, and the full history object was passed to baseline evaluation. The inspected baseline lookup code applies forecast-origin restrictions; Ridge selection rejects targets on or after 2020-01-01; climatology is fitted only on training targets. The current runner passes only pre-2020 history to the development ba</w:t>
      </w:r>
      <w:r>
        <w:rPr>
          <w:rFonts w:eastAsia="Times New Roman"/>
          <w:sz w:val="17"/>
        </w:rPr>
        <w:t>seline entry point, and a mocked test verifies that handoff. This subsequent change did not rerun or alter the saved experiment.</w:t>
      </w:r>
    </w:p>
    <w:p w14:paraId="77AD118A" w14:textId="77777777" w:rsidR="00C315A5" w:rsidRDefault="00570C2B">
      <w:pPr>
        <w:pStyle w:val="BodyText"/>
        <w:spacing w:after="50"/>
        <w:ind w:firstLine="173"/>
      </w:pPr>
      <w:r>
        <w:rPr>
          <w:rFonts w:eastAsia="Times New Roman"/>
          <w:sz w:val="17"/>
        </w:rPr>
        <w:t>The saved record states that final-test outcomes were not used for selection, no final-test predictions were generated, and no final-test scoring occurred. Test-period rows were nevertheless present in the full CSV read for audit/date parsing. Thus, absence of final-test scoring must not be conflated with non-access to the test-period rows.</w:t>
      </w:r>
    </w:p>
    <w:p w14:paraId="4586CF6C" w14:textId="77777777" w:rsidR="00C315A5" w:rsidRDefault="00C315A5">
      <w:pPr>
        <w:spacing w:line="20" w:lineRule="exact"/>
        <w:sectPr w:rsidR="00C315A5">
          <w:type w:val="continuous"/>
          <w:pgSz w:w="12240" w:h="15840"/>
          <w:pgMar w:top="979" w:right="979" w:bottom="979" w:left="979" w:header="720" w:footer="720" w:gutter="0"/>
          <w:cols w:num="2" w:space="360"/>
          <w:docGrid w:linePitch="360"/>
        </w:sectPr>
      </w:pPr>
    </w:p>
    <w:p w14:paraId="5FD0387A" w14:textId="77777777" w:rsidR="00C315A5" w:rsidRDefault="00570C2B" w:rsidP="00AB3462">
      <w:pPr>
        <w:keepNext/>
        <w:keepLines/>
        <w:shd w:val="clear" w:color="auto" w:fill="F2F2F2"/>
        <w:spacing w:before="40" w:after="20"/>
        <w:jc w:val="center"/>
      </w:pPr>
      <w:r>
        <w:rPr>
          <w:noProof/>
        </w:rPr>
        <w:lastRenderedPageBreak/>
        <w:drawing>
          <wp:inline distT="0" distB="0" distL="0" distR="0" wp14:anchorId="0C350FD7" wp14:editId="6AAD66AC">
            <wp:extent cx="6309360"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309360" cy="2606040"/>
                    </a:xfrm>
                    <a:prstGeom prst="rect">
                      <a:avLst/>
                    </a:prstGeom>
                  </pic:spPr>
                </pic:pic>
              </a:graphicData>
            </a:graphic>
          </wp:inline>
        </w:drawing>
      </w:r>
    </w:p>
    <w:p w14:paraId="52137CC8" w14:textId="77777777" w:rsidR="00C315A5" w:rsidRDefault="00570C2B" w:rsidP="00AB3462">
      <w:pPr>
        <w:keepLines/>
        <w:spacing w:after="80"/>
        <w:jc w:val="center"/>
        <w:sectPr w:rsidR="00C315A5">
          <w:footerReference w:type="default" r:id="rId10"/>
          <w:pgSz w:w="12240" w:h="15840"/>
          <w:pgMar w:top="979" w:right="979" w:bottom="979" w:left="979" w:header="720" w:footer="720" w:gutter="0"/>
          <w:cols w:space="360"/>
          <w:docGrid w:linePitch="360"/>
        </w:sectPr>
      </w:pPr>
      <w:r>
        <w:rPr>
          <w:rFonts w:eastAsia="Times New Roman"/>
          <w:b/>
          <w:sz w:val="16"/>
        </w:rPr>
        <w:t>Fig. 1. Forecast protocol, saved-run history handoff, and subsequent runner hardening. The locked test remains unscored.</w:t>
      </w:r>
    </w:p>
    <w:p w14:paraId="50A6E40A" w14:textId="77777777" w:rsidR="00C315A5" w:rsidRDefault="00570C2B" w:rsidP="00AB3462">
      <w:pPr>
        <w:pStyle w:val="Heading1"/>
      </w:pPr>
      <w:r>
        <w:rPr>
          <w:rFonts w:ascii="Times New Roman" w:eastAsia="Times New Roman" w:hAnsi="Times New Roman"/>
          <w:sz w:val="19"/>
        </w:rPr>
        <w:t>VIII. EVALUATION METRICS</w:t>
      </w:r>
    </w:p>
    <w:p w14:paraId="2D87363D" w14:textId="77777777" w:rsidR="00C315A5" w:rsidRDefault="00570C2B" w:rsidP="00AB3462">
      <w:pPr>
        <w:pStyle w:val="BodyText"/>
        <w:keepNext/>
        <w:keepLines/>
        <w:spacing w:after="50"/>
        <w:ind w:firstLine="173"/>
      </w:pPr>
      <w:r>
        <w:rPr>
          <w:rFonts w:eastAsia="Times New Roman"/>
          <w:sz w:val="17"/>
        </w:rPr>
        <w:t xml:space="preserve">For method m, policy p, horizon h, and partition q, </w:t>
      </w:r>
      <w:r>
        <w:rPr>
          <w:rFonts w:eastAsia="Times New Roman"/>
          <w:b/>
          <w:sz w:val="17"/>
        </w:rPr>
        <w:t>native prediction coverage</w:t>
      </w:r>
      <w:r>
        <w:rPr>
          <w:rFonts w:eastAsia="Times New Roman"/>
          <w:sz w:val="17"/>
        </w:rPr>
        <w:t xml:space="preserve"> is</w:t>
      </w:r>
    </w:p>
    <w:p w14:paraId="37389D80" w14:textId="77777777" w:rsidR="00C315A5" w:rsidRDefault="00570C2B" w:rsidP="00AB3462">
      <w:pPr>
        <w:keepNext/>
        <w:keepLines/>
        <w:spacing w:before="20"/>
        <w:jc w:val="center"/>
      </w:pPr>
      <w:r>
        <w:rPr>
          <w:rFonts w:eastAsia="Times New Roman"/>
          <w:i/>
          <w:sz w:val="17"/>
        </w:rPr>
        <w:t>Coverage</w:t>
      </w:r>
      <w:r>
        <w:rPr>
          <w:rFonts w:eastAsia="Times New Roman"/>
          <w:i/>
          <w:sz w:val="14"/>
          <w:vertAlign w:val="subscript"/>
        </w:rPr>
        <w:t>(m,p,h,q)</w:t>
      </w:r>
      <w:r>
        <w:rPr>
          <w:rFonts w:eastAsia="Times New Roman"/>
          <w:sz w:val="17"/>
        </w:rPr>
        <w:t xml:space="preserve"> =</w:t>
      </w:r>
    </w:p>
    <w:tbl>
      <w:tblPr>
        <w:tblW w:w="4608" w:type="dxa"/>
        <w:jc w:val="center"/>
        <w:tblBorders>
          <w:top w:val="nil"/>
          <w:left w:val="nil"/>
          <w:bottom w:val="nil"/>
          <w:right w:val="nil"/>
          <w:insideH w:val="nil"/>
          <w:insideV w:val="nil"/>
        </w:tblBorders>
        <w:tblLayout w:type="fixed"/>
        <w:tblLook w:val="04A0" w:firstRow="1" w:lastRow="0" w:firstColumn="1" w:lastColumn="0" w:noHBand="0" w:noVBand="1"/>
      </w:tblPr>
      <w:tblGrid>
        <w:gridCol w:w="4608"/>
      </w:tblGrid>
      <w:tr w:rsidR="00C315A5" w14:paraId="7DF34EAF" w14:textId="77777777">
        <w:trPr>
          <w:cantSplit/>
          <w:jc w:val="center"/>
        </w:trPr>
        <w:tc>
          <w:tcPr>
            <w:tcW w:w="4608" w:type="dxa"/>
            <w:tcBorders>
              <w:bottom w:val="single" w:sz="8" w:space="0" w:color="000000"/>
            </w:tcBorders>
            <w:tcMar>
              <w:top w:w="15" w:type="dxa"/>
              <w:left w:w="20" w:type="dxa"/>
              <w:bottom w:w="15" w:type="dxa"/>
              <w:right w:w="20" w:type="dxa"/>
            </w:tcMar>
            <w:vAlign w:val="center"/>
          </w:tcPr>
          <w:p w14:paraId="11FEFB17" w14:textId="77777777" w:rsidR="00C315A5" w:rsidRDefault="00570C2B">
            <w:pPr>
              <w:jc w:val="center"/>
            </w:pPr>
            <w:r>
              <w:rPr>
                <w:rFonts w:eastAsia="Times New Roman"/>
                <w:sz w:val="15"/>
              </w:rPr>
              <w:t>number of available predictions among valid target cases</w:t>
            </w:r>
          </w:p>
        </w:tc>
      </w:tr>
      <w:tr w:rsidR="00C315A5" w14:paraId="00E07E15" w14:textId="77777777">
        <w:trPr>
          <w:cantSplit/>
          <w:jc w:val="center"/>
        </w:trPr>
        <w:tc>
          <w:tcPr>
            <w:tcW w:w="4608" w:type="dxa"/>
            <w:tcMar>
              <w:top w:w="15" w:type="dxa"/>
              <w:left w:w="20" w:type="dxa"/>
              <w:bottom w:w="15" w:type="dxa"/>
              <w:right w:w="20" w:type="dxa"/>
            </w:tcMar>
            <w:vAlign w:val="center"/>
          </w:tcPr>
          <w:p w14:paraId="7A1E8BA7" w14:textId="77777777" w:rsidR="00C315A5" w:rsidRDefault="00570C2B">
            <w:pPr>
              <w:jc w:val="center"/>
            </w:pPr>
            <w:r>
              <w:rPr>
                <w:rFonts w:eastAsia="Times New Roman"/>
                <w:sz w:val="15"/>
              </w:rPr>
              <w:t>number of valid target cases</w:t>
            </w:r>
          </w:p>
        </w:tc>
      </w:tr>
    </w:tbl>
    <w:p w14:paraId="3F519B35" w14:textId="77777777" w:rsidR="00C315A5" w:rsidRDefault="00570C2B" w:rsidP="00AB3462">
      <w:pPr>
        <w:pStyle w:val="BodyText"/>
        <w:keepLines/>
        <w:spacing w:after="50"/>
        <w:ind w:firstLine="173"/>
      </w:pPr>
      <w:r>
        <w:rPr>
          <w:rFonts w:eastAsia="Times New Roman"/>
          <w:sz w:val="17"/>
        </w:rPr>
        <w:t>Its denominator is the number of valid target labels for that policy, horizon, and partition. The numerator counts the cases for which the method returns an available prediction among those valid targets. Unavailable predictions are not imputed. Consequently, native error summaries may be based on different subsets across methods.</w:t>
      </w:r>
    </w:p>
    <w:p w14:paraId="38BC2735" w14:textId="77777777" w:rsidR="00C315A5" w:rsidRDefault="00570C2B">
      <w:pPr>
        <w:pStyle w:val="BodyText"/>
        <w:spacing w:after="50"/>
        <w:ind w:firstLine="173"/>
      </w:pPr>
      <w:r>
        <w:rPr>
          <w:rFonts w:eastAsia="Times New Roman"/>
          <w:b/>
          <w:sz w:val="17"/>
        </w:rPr>
        <w:t>Common-case metrics</w:t>
      </w:r>
      <w:r>
        <w:rPr>
          <w:rFonts w:eastAsia="Times New Roman"/>
          <w:sz w:val="17"/>
        </w:rPr>
        <w:t xml:space="preserve"> use the intersection of eligible city/date cases for which every method in a given policy/horizon comparison has both a valid target and an available prediction. Each method in a row is therefore evaluated on the same cases. MAE and RMSE are reported in AQI points. The saved analysis reports descriptive point metrics; it does not report inferential tests, confidence intervals, or other uncertainty estimates.</w:t>
      </w:r>
    </w:p>
    <w:p w14:paraId="2538F139" w14:textId="77777777" w:rsidR="00C315A5" w:rsidRDefault="00570C2B" w:rsidP="00AB3462">
      <w:pPr>
        <w:pStyle w:val="Heading1"/>
      </w:pPr>
      <w:r>
        <w:rPr>
          <w:rFonts w:ascii="Times New Roman" w:eastAsia="Times New Roman" w:hAnsi="Times New Roman"/>
          <w:sz w:val="19"/>
        </w:rPr>
        <w:t>IX. RUN RECORD AND REPRODUCIBILITY</w:t>
      </w:r>
    </w:p>
    <w:p w14:paraId="148AF0CD" w14:textId="77777777" w:rsidR="00C315A5" w:rsidRDefault="00570C2B">
      <w:pPr>
        <w:pStyle w:val="BodyText"/>
        <w:keepLines/>
        <w:spacing w:after="50"/>
        <w:ind w:firstLine="173"/>
      </w:pPr>
      <w:r>
        <w:rPr>
          <w:rFonts w:eastAsia="Times New Roman"/>
          <w:sz w:val="17"/>
        </w:rPr>
        <w:t xml:space="preserve">The saved record and associated log correspond to run </w:t>
      </w:r>
      <w:r>
        <w:rPr>
          <w:rFonts w:eastAsia="Times New Roman"/>
          <w:sz w:val="17"/>
        </w:rPr>
        <w:t>20261010T101227Z-50924ef9974e. The run started at 2026-10-10T10:12:27.954998+00:00 and completed at 2026-10-10T10:12:40.163426+00:00. The structured record has SHA-256 a7eac260052a596e1b03848e72a56269e2ce695ead9f6f4326a8d0d6287186c5; the log has SHA-256 f3b94b28ed5e29e75df7bf53d64fbef75f06582be55c8b5461663000ea00d935. The record reports Git revision b3e5a3b0df921c4aff0e4460674e75eedffda5ad and a 24-file research-source fingerprint 6435c3f1528530fba9dad3cab33a282ebbf0f749a72b8c60664a384f9d594312.</w:t>
      </w:r>
    </w:p>
    <w:p w14:paraId="31449AD3" w14:textId="77777777" w:rsidR="00C315A5" w:rsidRDefault="00570C2B">
      <w:pPr>
        <w:pStyle w:val="BodyText"/>
        <w:keepLines/>
        <w:spacing w:after="50"/>
        <w:ind w:firstLine="173"/>
      </w:pPr>
      <w:r>
        <w:rPr>
          <w:rFonts w:eastAsia="Times New Roman"/>
          <w:sz w:val="17"/>
        </w:rPr>
        <w:t>The saved run used CPython 3.13.3 on Windows 11, pandas 2.3.3, NumPy 2.4.4, scikit-learn 1.8.0, SciPy 1.17.1, joblib 1.5.3, and threadpoolctl 3.6.0. Repository configuration declares Python 3.11, whose compatibility remains unverified. Research files were untracked at execution, and the exact historical source tree is not preserved as an immutable bundle. The recorded fingerprint describes the source state observed during that run; it does not by itself make that source tree recoverable.</w:t>
      </w:r>
    </w:p>
    <w:p w14:paraId="2FF46CE4" w14:textId="77777777" w:rsidR="00C315A5" w:rsidRDefault="00570C2B" w:rsidP="00AB3462">
      <w:pPr>
        <w:pStyle w:val="Heading1"/>
      </w:pPr>
      <w:r>
        <w:rPr>
          <w:rFonts w:ascii="Times New Roman" w:eastAsia="Times New Roman" w:hAnsi="Times New Roman"/>
          <w:sz w:val="19"/>
        </w:rPr>
        <w:t>X. RESULTS</w:t>
      </w:r>
    </w:p>
    <w:p w14:paraId="4F02314E" w14:textId="77777777" w:rsidR="00C315A5" w:rsidRDefault="00570C2B">
      <w:pPr>
        <w:pStyle w:val="BodyText"/>
        <w:spacing w:after="50"/>
        <w:ind w:firstLine="173"/>
      </w:pPr>
      <w:r>
        <w:rPr>
          <w:rFonts w:eastAsia="Times New Roman"/>
          <w:sz w:val="17"/>
        </w:rPr>
        <w:t>All results in this section are from the saved 2019 development/model-selection run. They are selection-stage descriptions, not final-test results or independent performance estimates.</w:t>
      </w:r>
    </w:p>
    <w:p w14:paraId="222A6C4F" w14:textId="77777777" w:rsidR="00C315A5" w:rsidRDefault="00570C2B">
      <w:pPr>
        <w:pStyle w:val="Heading2"/>
        <w:spacing w:before="80" w:after="40"/>
      </w:pPr>
      <w:r>
        <w:rPr>
          <w:rFonts w:ascii="Times New Roman" w:eastAsia="Times New Roman" w:hAnsi="Times New Roman"/>
          <w:sz w:val="17"/>
        </w:rPr>
        <w:t>A. Ridge alpha selection</w:t>
      </w:r>
    </w:p>
    <w:p w14:paraId="5089C68D" w14:textId="77777777" w:rsidR="00C315A5" w:rsidRDefault="00570C2B">
      <w:pPr>
        <w:pStyle w:val="BodyText"/>
        <w:spacing w:after="50"/>
        <w:ind w:firstLine="173"/>
      </w:pPr>
      <w:r>
        <w:rPr>
          <w:rFonts w:eastAsia="Times New Roman"/>
          <w:sz w:val="17"/>
        </w:rPr>
        <w:t>Table II gives the selected alpha and the selected candidate's fold MAE in AQI points. The 2019 fold participates in the selection rule.</w:t>
      </w:r>
    </w:p>
    <w:p w14:paraId="5092DD5F" w14:textId="77777777" w:rsidR="00C315A5" w:rsidRDefault="00C315A5">
      <w:pPr>
        <w:spacing w:line="20" w:lineRule="exact"/>
        <w:sectPr w:rsidR="00C315A5">
          <w:type w:val="continuous"/>
          <w:pgSz w:w="12240" w:h="15840"/>
          <w:pgMar w:top="979" w:right="979" w:bottom="979" w:left="979" w:header="720" w:footer="720" w:gutter="0"/>
          <w:cols w:num="2" w:space="360"/>
          <w:docGrid w:linePitch="360"/>
        </w:sectPr>
      </w:pPr>
    </w:p>
    <w:p w14:paraId="2D4370A9" w14:textId="77777777" w:rsidR="00C315A5" w:rsidRDefault="00570C2B">
      <w:pPr>
        <w:keepNext/>
        <w:keepLines/>
        <w:spacing w:before="80" w:after="60"/>
        <w:jc w:val="center"/>
      </w:pPr>
      <w:r>
        <w:rPr>
          <w:rFonts w:eastAsia="Times New Roman"/>
          <w:b/>
          <w:sz w:val="16"/>
        </w:rPr>
        <w:t>TABLE II. SELECTED RIDGE ALPHA AND FOLD MAE (AQI POINTS)</w:t>
      </w:r>
    </w:p>
    <w:tbl>
      <w:tblPr>
        <w:tblStyle w:val="TableGrid"/>
        <w:tblW w:w="0" w:type="auto"/>
        <w:jc w:val="center"/>
        <w:tblLayout w:type="fixed"/>
        <w:tblLook w:val="04A0" w:firstRow="1" w:lastRow="0" w:firstColumn="1" w:lastColumn="0" w:noHBand="0" w:noVBand="1"/>
      </w:tblPr>
      <w:tblGrid>
        <w:gridCol w:w="1123"/>
        <w:gridCol w:w="1296"/>
        <w:gridCol w:w="1296"/>
        <w:gridCol w:w="2146"/>
        <w:gridCol w:w="2146"/>
        <w:gridCol w:w="2146"/>
      </w:tblGrid>
      <w:tr w:rsidR="00C315A5" w14:paraId="2D08CF07" w14:textId="77777777">
        <w:trPr>
          <w:cantSplit/>
          <w:tblHeader/>
          <w:jc w:val="center"/>
        </w:trPr>
        <w:tc>
          <w:tcPr>
            <w:tcW w:w="1123" w:type="dxa"/>
            <w:shd w:val="clear" w:color="auto" w:fill="1F4E78"/>
            <w:tcMar>
              <w:top w:w="35" w:type="dxa"/>
              <w:left w:w="40" w:type="dxa"/>
              <w:bottom w:w="35" w:type="dxa"/>
              <w:right w:w="40" w:type="dxa"/>
            </w:tcMar>
            <w:vAlign w:val="center"/>
          </w:tcPr>
          <w:p w14:paraId="0F45D37F" w14:textId="77777777" w:rsidR="00C315A5" w:rsidRDefault="00570C2B">
            <w:pPr>
              <w:jc w:val="center"/>
            </w:pPr>
            <w:r>
              <w:rPr>
                <w:rFonts w:eastAsia="Times New Roman"/>
                <w:b/>
                <w:color w:val="FFFFFF"/>
                <w:sz w:val="15"/>
              </w:rPr>
              <w:t>Policy</w:t>
            </w:r>
          </w:p>
        </w:tc>
        <w:tc>
          <w:tcPr>
            <w:tcW w:w="1296" w:type="dxa"/>
            <w:shd w:val="clear" w:color="auto" w:fill="1F4E78"/>
            <w:tcMar>
              <w:top w:w="35" w:type="dxa"/>
              <w:left w:w="40" w:type="dxa"/>
              <w:bottom w:w="35" w:type="dxa"/>
              <w:right w:w="40" w:type="dxa"/>
            </w:tcMar>
            <w:vAlign w:val="center"/>
          </w:tcPr>
          <w:p w14:paraId="04CF6949" w14:textId="77777777" w:rsidR="00C315A5" w:rsidRDefault="00570C2B">
            <w:pPr>
              <w:jc w:val="center"/>
            </w:pPr>
            <w:r>
              <w:rPr>
                <w:rFonts w:eastAsia="Times New Roman"/>
                <w:b/>
                <w:color w:val="FFFFFF"/>
                <w:sz w:val="15"/>
              </w:rPr>
              <w:t>Horizon</w:t>
            </w:r>
          </w:p>
        </w:tc>
        <w:tc>
          <w:tcPr>
            <w:tcW w:w="1296" w:type="dxa"/>
            <w:shd w:val="clear" w:color="auto" w:fill="1F4E78"/>
            <w:tcMar>
              <w:top w:w="35" w:type="dxa"/>
              <w:left w:w="40" w:type="dxa"/>
              <w:bottom w:w="35" w:type="dxa"/>
              <w:right w:w="40" w:type="dxa"/>
            </w:tcMar>
            <w:vAlign w:val="center"/>
          </w:tcPr>
          <w:p w14:paraId="2406C733" w14:textId="77777777" w:rsidR="00C315A5" w:rsidRDefault="00570C2B">
            <w:pPr>
              <w:jc w:val="center"/>
            </w:pPr>
            <w:r>
              <w:rPr>
                <w:rFonts w:eastAsia="Times New Roman"/>
                <w:b/>
                <w:color w:val="FFFFFF"/>
                <w:sz w:val="15"/>
              </w:rPr>
              <w:t>Selected α</w:t>
            </w:r>
          </w:p>
        </w:tc>
        <w:tc>
          <w:tcPr>
            <w:tcW w:w="2146" w:type="dxa"/>
            <w:shd w:val="clear" w:color="auto" w:fill="1F4E78"/>
            <w:tcMar>
              <w:top w:w="35" w:type="dxa"/>
              <w:left w:w="40" w:type="dxa"/>
              <w:bottom w:w="35" w:type="dxa"/>
              <w:right w:w="40" w:type="dxa"/>
            </w:tcMar>
            <w:vAlign w:val="center"/>
          </w:tcPr>
          <w:p w14:paraId="3314B36A" w14:textId="77777777" w:rsidR="00C315A5" w:rsidRDefault="00570C2B">
            <w:pPr>
              <w:jc w:val="center"/>
            </w:pPr>
            <w:r>
              <w:rPr>
                <w:rFonts w:eastAsia="Times New Roman"/>
                <w:b/>
                <w:color w:val="FFFFFF"/>
                <w:sz w:val="15"/>
              </w:rPr>
              <w:t>2017 fold MAE</w:t>
            </w:r>
          </w:p>
        </w:tc>
        <w:tc>
          <w:tcPr>
            <w:tcW w:w="2146" w:type="dxa"/>
            <w:shd w:val="clear" w:color="auto" w:fill="1F4E78"/>
            <w:tcMar>
              <w:top w:w="35" w:type="dxa"/>
              <w:left w:w="40" w:type="dxa"/>
              <w:bottom w:w="35" w:type="dxa"/>
              <w:right w:w="40" w:type="dxa"/>
            </w:tcMar>
            <w:vAlign w:val="center"/>
          </w:tcPr>
          <w:p w14:paraId="3C33B2B7" w14:textId="77777777" w:rsidR="00C315A5" w:rsidRDefault="00570C2B">
            <w:pPr>
              <w:jc w:val="center"/>
            </w:pPr>
            <w:r>
              <w:rPr>
                <w:rFonts w:eastAsia="Times New Roman"/>
                <w:b/>
                <w:color w:val="FFFFFF"/>
                <w:sz w:val="15"/>
              </w:rPr>
              <w:t>2018 fold MAE</w:t>
            </w:r>
          </w:p>
        </w:tc>
        <w:tc>
          <w:tcPr>
            <w:tcW w:w="2146" w:type="dxa"/>
            <w:shd w:val="clear" w:color="auto" w:fill="1F4E78"/>
            <w:tcMar>
              <w:top w:w="35" w:type="dxa"/>
              <w:left w:w="40" w:type="dxa"/>
              <w:bottom w:w="35" w:type="dxa"/>
              <w:right w:w="40" w:type="dxa"/>
            </w:tcMar>
            <w:vAlign w:val="center"/>
          </w:tcPr>
          <w:p w14:paraId="265BDBB7" w14:textId="77777777" w:rsidR="00C315A5" w:rsidRDefault="00570C2B">
            <w:pPr>
              <w:jc w:val="center"/>
            </w:pPr>
            <w:r>
              <w:rPr>
                <w:rFonts w:eastAsia="Times New Roman"/>
                <w:b/>
                <w:color w:val="FFFFFF"/>
                <w:sz w:val="15"/>
              </w:rPr>
              <w:t>2019 fold MAE</w:t>
            </w:r>
          </w:p>
        </w:tc>
      </w:tr>
      <w:tr w:rsidR="00C315A5" w14:paraId="6F593D97" w14:textId="77777777">
        <w:trPr>
          <w:cantSplit/>
          <w:jc w:val="center"/>
        </w:trPr>
        <w:tc>
          <w:tcPr>
            <w:tcW w:w="1123" w:type="dxa"/>
            <w:tcMar>
              <w:top w:w="35" w:type="dxa"/>
              <w:left w:w="40" w:type="dxa"/>
              <w:bottom w:w="35" w:type="dxa"/>
              <w:right w:w="40" w:type="dxa"/>
            </w:tcMar>
            <w:vAlign w:val="center"/>
          </w:tcPr>
          <w:p w14:paraId="45FB0753" w14:textId="77777777" w:rsidR="00C315A5" w:rsidRDefault="00570C2B">
            <w:pPr>
              <w:jc w:val="center"/>
            </w:pPr>
            <w:r>
              <w:rPr>
                <w:rFonts w:eastAsia="Times New Roman"/>
                <w:sz w:val="15"/>
              </w:rPr>
              <w:t>exclude</w:t>
            </w:r>
          </w:p>
        </w:tc>
        <w:tc>
          <w:tcPr>
            <w:tcW w:w="1296" w:type="dxa"/>
            <w:tcMar>
              <w:top w:w="35" w:type="dxa"/>
              <w:left w:w="40" w:type="dxa"/>
              <w:bottom w:w="35" w:type="dxa"/>
              <w:right w:w="40" w:type="dxa"/>
            </w:tcMar>
            <w:vAlign w:val="center"/>
          </w:tcPr>
          <w:p w14:paraId="4A54D571" w14:textId="77777777" w:rsidR="00C315A5" w:rsidRDefault="00570C2B">
            <w:pPr>
              <w:jc w:val="center"/>
            </w:pPr>
            <w:r>
              <w:rPr>
                <w:rFonts w:eastAsia="Times New Roman"/>
                <w:sz w:val="15"/>
              </w:rPr>
              <w:t>1 day</w:t>
            </w:r>
          </w:p>
        </w:tc>
        <w:tc>
          <w:tcPr>
            <w:tcW w:w="1296" w:type="dxa"/>
            <w:tcMar>
              <w:top w:w="35" w:type="dxa"/>
              <w:left w:w="40" w:type="dxa"/>
              <w:bottom w:w="35" w:type="dxa"/>
              <w:right w:w="40" w:type="dxa"/>
            </w:tcMar>
            <w:vAlign w:val="center"/>
          </w:tcPr>
          <w:p w14:paraId="338D252C" w14:textId="77777777" w:rsidR="00C315A5" w:rsidRDefault="00570C2B">
            <w:pPr>
              <w:jc w:val="center"/>
            </w:pPr>
            <w:r>
              <w:rPr>
                <w:rFonts w:eastAsia="Times New Roman"/>
                <w:sz w:val="15"/>
              </w:rPr>
              <w:t>0.1</w:t>
            </w:r>
          </w:p>
        </w:tc>
        <w:tc>
          <w:tcPr>
            <w:tcW w:w="2146" w:type="dxa"/>
            <w:tcMar>
              <w:top w:w="35" w:type="dxa"/>
              <w:left w:w="40" w:type="dxa"/>
              <w:bottom w:w="35" w:type="dxa"/>
              <w:right w:w="40" w:type="dxa"/>
            </w:tcMar>
            <w:vAlign w:val="center"/>
          </w:tcPr>
          <w:p w14:paraId="48D7C9A6" w14:textId="77777777" w:rsidR="00C315A5" w:rsidRDefault="00570C2B">
            <w:pPr>
              <w:jc w:val="center"/>
            </w:pPr>
            <w:r>
              <w:rPr>
                <w:rFonts w:eastAsia="Times New Roman"/>
                <w:sz w:val="15"/>
              </w:rPr>
              <w:t>29.099</w:t>
            </w:r>
          </w:p>
        </w:tc>
        <w:tc>
          <w:tcPr>
            <w:tcW w:w="2146" w:type="dxa"/>
            <w:tcMar>
              <w:top w:w="35" w:type="dxa"/>
              <w:left w:w="40" w:type="dxa"/>
              <w:bottom w:w="35" w:type="dxa"/>
              <w:right w:w="40" w:type="dxa"/>
            </w:tcMar>
            <w:vAlign w:val="center"/>
          </w:tcPr>
          <w:p w14:paraId="195FB5C8" w14:textId="77777777" w:rsidR="00C315A5" w:rsidRDefault="00570C2B">
            <w:pPr>
              <w:jc w:val="center"/>
            </w:pPr>
            <w:r>
              <w:rPr>
                <w:rFonts w:eastAsia="Times New Roman"/>
                <w:sz w:val="15"/>
              </w:rPr>
              <w:t>23.442</w:t>
            </w:r>
          </w:p>
        </w:tc>
        <w:tc>
          <w:tcPr>
            <w:tcW w:w="2146" w:type="dxa"/>
            <w:tcMar>
              <w:top w:w="35" w:type="dxa"/>
              <w:left w:w="40" w:type="dxa"/>
              <w:bottom w:w="35" w:type="dxa"/>
              <w:right w:w="40" w:type="dxa"/>
            </w:tcMar>
            <w:vAlign w:val="center"/>
          </w:tcPr>
          <w:p w14:paraId="07CD7048" w14:textId="77777777" w:rsidR="00C315A5" w:rsidRDefault="00570C2B">
            <w:pPr>
              <w:jc w:val="center"/>
            </w:pPr>
            <w:r>
              <w:rPr>
                <w:rFonts w:eastAsia="Times New Roman"/>
                <w:sz w:val="15"/>
              </w:rPr>
              <w:t>23.360</w:t>
            </w:r>
          </w:p>
        </w:tc>
      </w:tr>
      <w:tr w:rsidR="00C315A5" w14:paraId="00C70D3A" w14:textId="77777777">
        <w:trPr>
          <w:cantSplit/>
          <w:jc w:val="center"/>
        </w:trPr>
        <w:tc>
          <w:tcPr>
            <w:tcW w:w="1123" w:type="dxa"/>
            <w:shd w:val="clear" w:color="auto" w:fill="EAF0F6"/>
            <w:tcMar>
              <w:top w:w="35" w:type="dxa"/>
              <w:left w:w="40" w:type="dxa"/>
              <w:bottom w:w="35" w:type="dxa"/>
              <w:right w:w="40" w:type="dxa"/>
            </w:tcMar>
            <w:vAlign w:val="center"/>
          </w:tcPr>
          <w:p w14:paraId="4D9CB5FA" w14:textId="77777777" w:rsidR="00C315A5" w:rsidRDefault="00570C2B">
            <w:pPr>
              <w:jc w:val="center"/>
            </w:pPr>
            <w:r>
              <w:rPr>
                <w:rFonts w:eastAsia="Times New Roman"/>
                <w:sz w:val="15"/>
              </w:rPr>
              <w:t>exclude</w:t>
            </w:r>
          </w:p>
        </w:tc>
        <w:tc>
          <w:tcPr>
            <w:tcW w:w="1296" w:type="dxa"/>
            <w:shd w:val="clear" w:color="auto" w:fill="EAF0F6"/>
            <w:tcMar>
              <w:top w:w="35" w:type="dxa"/>
              <w:left w:w="40" w:type="dxa"/>
              <w:bottom w:w="35" w:type="dxa"/>
              <w:right w:w="40" w:type="dxa"/>
            </w:tcMar>
            <w:vAlign w:val="center"/>
          </w:tcPr>
          <w:p w14:paraId="0FFE15DC" w14:textId="77777777" w:rsidR="00C315A5" w:rsidRDefault="00570C2B">
            <w:pPr>
              <w:jc w:val="center"/>
            </w:pPr>
            <w:r>
              <w:rPr>
                <w:rFonts w:eastAsia="Times New Roman"/>
                <w:sz w:val="15"/>
              </w:rPr>
              <w:t>3 days</w:t>
            </w:r>
          </w:p>
        </w:tc>
        <w:tc>
          <w:tcPr>
            <w:tcW w:w="1296" w:type="dxa"/>
            <w:shd w:val="clear" w:color="auto" w:fill="EAF0F6"/>
            <w:tcMar>
              <w:top w:w="35" w:type="dxa"/>
              <w:left w:w="40" w:type="dxa"/>
              <w:bottom w:w="35" w:type="dxa"/>
              <w:right w:w="40" w:type="dxa"/>
            </w:tcMar>
            <w:vAlign w:val="center"/>
          </w:tcPr>
          <w:p w14:paraId="21994AD4" w14:textId="77777777" w:rsidR="00C315A5" w:rsidRDefault="00570C2B">
            <w:pPr>
              <w:jc w:val="center"/>
            </w:pPr>
            <w:r>
              <w:rPr>
                <w:rFonts w:eastAsia="Times New Roman"/>
                <w:sz w:val="15"/>
              </w:rPr>
              <w:t>0.1</w:t>
            </w:r>
          </w:p>
        </w:tc>
        <w:tc>
          <w:tcPr>
            <w:tcW w:w="2146" w:type="dxa"/>
            <w:shd w:val="clear" w:color="auto" w:fill="EAF0F6"/>
            <w:tcMar>
              <w:top w:w="35" w:type="dxa"/>
              <w:left w:w="40" w:type="dxa"/>
              <w:bottom w:w="35" w:type="dxa"/>
              <w:right w:w="40" w:type="dxa"/>
            </w:tcMar>
            <w:vAlign w:val="center"/>
          </w:tcPr>
          <w:p w14:paraId="10D85972" w14:textId="77777777" w:rsidR="00C315A5" w:rsidRDefault="00570C2B">
            <w:pPr>
              <w:jc w:val="center"/>
            </w:pPr>
            <w:r>
              <w:rPr>
                <w:rFonts w:eastAsia="Times New Roman"/>
                <w:sz w:val="15"/>
              </w:rPr>
              <w:t>41.563</w:t>
            </w:r>
          </w:p>
        </w:tc>
        <w:tc>
          <w:tcPr>
            <w:tcW w:w="2146" w:type="dxa"/>
            <w:shd w:val="clear" w:color="auto" w:fill="EAF0F6"/>
            <w:tcMar>
              <w:top w:w="35" w:type="dxa"/>
              <w:left w:w="40" w:type="dxa"/>
              <w:bottom w:w="35" w:type="dxa"/>
              <w:right w:w="40" w:type="dxa"/>
            </w:tcMar>
            <w:vAlign w:val="center"/>
          </w:tcPr>
          <w:p w14:paraId="56EC2741" w14:textId="77777777" w:rsidR="00C315A5" w:rsidRDefault="00570C2B">
            <w:pPr>
              <w:jc w:val="center"/>
            </w:pPr>
            <w:r>
              <w:rPr>
                <w:rFonts w:eastAsia="Times New Roman"/>
                <w:sz w:val="15"/>
              </w:rPr>
              <w:t>34.027</w:t>
            </w:r>
          </w:p>
        </w:tc>
        <w:tc>
          <w:tcPr>
            <w:tcW w:w="2146" w:type="dxa"/>
            <w:shd w:val="clear" w:color="auto" w:fill="EAF0F6"/>
            <w:tcMar>
              <w:top w:w="35" w:type="dxa"/>
              <w:left w:w="40" w:type="dxa"/>
              <w:bottom w:w="35" w:type="dxa"/>
              <w:right w:w="40" w:type="dxa"/>
            </w:tcMar>
            <w:vAlign w:val="center"/>
          </w:tcPr>
          <w:p w14:paraId="3CAAD556" w14:textId="77777777" w:rsidR="00C315A5" w:rsidRDefault="00570C2B">
            <w:pPr>
              <w:jc w:val="center"/>
            </w:pPr>
            <w:r>
              <w:rPr>
                <w:rFonts w:eastAsia="Times New Roman"/>
                <w:sz w:val="15"/>
              </w:rPr>
              <w:t>35.079</w:t>
            </w:r>
          </w:p>
        </w:tc>
      </w:tr>
      <w:tr w:rsidR="00C315A5" w14:paraId="4808B341" w14:textId="77777777">
        <w:trPr>
          <w:cantSplit/>
          <w:jc w:val="center"/>
        </w:trPr>
        <w:tc>
          <w:tcPr>
            <w:tcW w:w="1123" w:type="dxa"/>
            <w:tcMar>
              <w:top w:w="35" w:type="dxa"/>
              <w:left w:w="40" w:type="dxa"/>
              <w:bottom w:w="35" w:type="dxa"/>
              <w:right w:w="40" w:type="dxa"/>
            </w:tcMar>
            <w:vAlign w:val="center"/>
          </w:tcPr>
          <w:p w14:paraId="6F531A66" w14:textId="77777777" w:rsidR="00C315A5" w:rsidRDefault="00570C2B">
            <w:pPr>
              <w:jc w:val="center"/>
            </w:pPr>
            <w:r>
              <w:rPr>
                <w:rFonts w:eastAsia="Times New Roman"/>
                <w:sz w:val="15"/>
              </w:rPr>
              <w:t>exclude</w:t>
            </w:r>
          </w:p>
        </w:tc>
        <w:tc>
          <w:tcPr>
            <w:tcW w:w="1296" w:type="dxa"/>
            <w:tcMar>
              <w:top w:w="35" w:type="dxa"/>
              <w:left w:w="40" w:type="dxa"/>
              <w:bottom w:w="35" w:type="dxa"/>
              <w:right w:w="40" w:type="dxa"/>
            </w:tcMar>
            <w:vAlign w:val="center"/>
          </w:tcPr>
          <w:p w14:paraId="62289AF6" w14:textId="77777777" w:rsidR="00C315A5" w:rsidRDefault="00570C2B">
            <w:pPr>
              <w:jc w:val="center"/>
            </w:pPr>
            <w:r>
              <w:rPr>
                <w:rFonts w:eastAsia="Times New Roman"/>
                <w:sz w:val="15"/>
              </w:rPr>
              <w:t>7 days</w:t>
            </w:r>
          </w:p>
        </w:tc>
        <w:tc>
          <w:tcPr>
            <w:tcW w:w="1296" w:type="dxa"/>
            <w:tcMar>
              <w:top w:w="35" w:type="dxa"/>
              <w:left w:w="40" w:type="dxa"/>
              <w:bottom w:w="35" w:type="dxa"/>
              <w:right w:w="40" w:type="dxa"/>
            </w:tcMar>
            <w:vAlign w:val="center"/>
          </w:tcPr>
          <w:p w14:paraId="4ACDC7ED" w14:textId="77777777" w:rsidR="00C315A5" w:rsidRDefault="00570C2B">
            <w:pPr>
              <w:jc w:val="center"/>
            </w:pPr>
            <w:r>
              <w:rPr>
                <w:rFonts w:eastAsia="Times New Roman"/>
                <w:sz w:val="15"/>
              </w:rPr>
              <w:t>0.1</w:t>
            </w:r>
          </w:p>
        </w:tc>
        <w:tc>
          <w:tcPr>
            <w:tcW w:w="2146" w:type="dxa"/>
            <w:tcMar>
              <w:top w:w="35" w:type="dxa"/>
              <w:left w:w="40" w:type="dxa"/>
              <w:bottom w:w="35" w:type="dxa"/>
              <w:right w:w="40" w:type="dxa"/>
            </w:tcMar>
            <w:vAlign w:val="center"/>
          </w:tcPr>
          <w:p w14:paraId="537BB2E7" w14:textId="77777777" w:rsidR="00C315A5" w:rsidRDefault="00570C2B">
            <w:pPr>
              <w:jc w:val="center"/>
            </w:pPr>
            <w:r>
              <w:rPr>
                <w:rFonts w:eastAsia="Times New Roman"/>
                <w:sz w:val="15"/>
              </w:rPr>
              <w:t>46.589</w:t>
            </w:r>
          </w:p>
        </w:tc>
        <w:tc>
          <w:tcPr>
            <w:tcW w:w="2146" w:type="dxa"/>
            <w:tcMar>
              <w:top w:w="35" w:type="dxa"/>
              <w:left w:w="40" w:type="dxa"/>
              <w:bottom w:w="35" w:type="dxa"/>
              <w:right w:w="40" w:type="dxa"/>
            </w:tcMar>
            <w:vAlign w:val="center"/>
          </w:tcPr>
          <w:p w14:paraId="4B8B1FA9" w14:textId="77777777" w:rsidR="00C315A5" w:rsidRDefault="00570C2B">
            <w:pPr>
              <w:jc w:val="center"/>
            </w:pPr>
            <w:r>
              <w:rPr>
                <w:rFonts w:eastAsia="Times New Roman"/>
                <w:sz w:val="15"/>
              </w:rPr>
              <w:t>37.662</w:t>
            </w:r>
          </w:p>
        </w:tc>
        <w:tc>
          <w:tcPr>
            <w:tcW w:w="2146" w:type="dxa"/>
            <w:tcMar>
              <w:top w:w="35" w:type="dxa"/>
              <w:left w:w="40" w:type="dxa"/>
              <w:bottom w:w="35" w:type="dxa"/>
              <w:right w:w="40" w:type="dxa"/>
            </w:tcMar>
            <w:vAlign w:val="center"/>
          </w:tcPr>
          <w:p w14:paraId="334A64C5" w14:textId="77777777" w:rsidR="00C315A5" w:rsidRDefault="00570C2B">
            <w:pPr>
              <w:jc w:val="center"/>
            </w:pPr>
            <w:r>
              <w:rPr>
                <w:rFonts w:eastAsia="Times New Roman"/>
                <w:sz w:val="15"/>
              </w:rPr>
              <w:t>38.689</w:t>
            </w:r>
          </w:p>
        </w:tc>
      </w:tr>
      <w:tr w:rsidR="00C315A5" w14:paraId="37E4A317" w14:textId="77777777">
        <w:trPr>
          <w:cantSplit/>
          <w:jc w:val="center"/>
        </w:trPr>
        <w:tc>
          <w:tcPr>
            <w:tcW w:w="1123" w:type="dxa"/>
            <w:shd w:val="clear" w:color="auto" w:fill="EAF0F6"/>
            <w:tcMar>
              <w:top w:w="35" w:type="dxa"/>
              <w:left w:w="40" w:type="dxa"/>
              <w:bottom w:w="35" w:type="dxa"/>
              <w:right w:w="40" w:type="dxa"/>
            </w:tcMar>
            <w:vAlign w:val="center"/>
          </w:tcPr>
          <w:p w14:paraId="10D1AEB7" w14:textId="77777777" w:rsidR="00C315A5" w:rsidRDefault="00570C2B">
            <w:pPr>
              <w:jc w:val="center"/>
            </w:pPr>
            <w:r>
              <w:rPr>
                <w:rFonts w:eastAsia="Times New Roman"/>
                <w:sz w:val="15"/>
              </w:rPr>
              <w:t>cap</w:t>
            </w:r>
          </w:p>
        </w:tc>
        <w:tc>
          <w:tcPr>
            <w:tcW w:w="1296" w:type="dxa"/>
            <w:shd w:val="clear" w:color="auto" w:fill="EAF0F6"/>
            <w:tcMar>
              <w:top w:w="35" w:type="dxa"/>
              <w:left w:w="40" w:type="dxa"/>
              <w:bottom w:w="35" w:type="dxa"/>
              <w:right w:w="40" w:type="dxa"/>
            </w:tcMar>
            <w:vAlign w:val="center"/>
          </w:tcPr>
          <w:p w14:paraId="57285DBF" w14:textId="77777777" w:rsidR="00C315A5" w:rsidRDefault="00570C2B">
            <w:pPr>
              <w:jc w:val="center"/>
            </w:pPr>
            <w:r>
              <w:rPr>
                <w:rFonts w:eastAsia="Times New Roman"/>
                <w:sz w:val="15"/>
              </w:rPr>
              <w:t>1 day</w:t>
            </w:r>
          </w:p>
        </w:tc>
        <w:tc>
          <w:tcPr>
            <w:tcW w:w="1296" w:type="dxa"/>
            <w:shd w:val="clear" w:color="auto" w:fill="EAF0F6"/>
            <w:tcMar>
              <w:top w:w="35" w:type="dxa"/>
              <w:left w:w="40" w:type="dxa"/>
              <w:bottom w:w="35" w:type="dxa"/>
              <w:right w:w="40" w:type="dxa"/>
            </w:tcMar>
            <w:vAlign w:val="center"/>
          </w:tcPr>
          <w:p w14:paraId="42A15C3A" w14:textId="77777777" w:rsidR="00C315A5" w:rsidRDefault="00570C2B">
            <w:pPr>
              <w:jc w:val="center"/>
            </w:pPr>
            <w:r>
              <w:rPr>
                <w:rFonts w:eastAsia="Times New Roman"/>
                <w:sz w:val="15"/>
              </w:rPr>
              <w:t>0.1</w:t>
            </w:r>
          </w:p>
        </w:tc>
        <w:tc>
          <w:tcPr>
            <w:tcW w:w="2146" w:type="dxa"/>
            <w:shd w:val="clear" w:color="auto" w:fill="EAF0F6"/>
            <w:tcMar>
              <w:top w:w="35" w:type="dxa"/>
              <w:left w:w="40" w:type="dxa"/>
              <w:bottom w:w="35" w:type="dxa"/>
              <w:right w:w="40" w:type="dxa"/>
            </w:tcMar>
            <w:vAlign w:val="center"/>
          </w:tcPr>
          <w:p w14:paraId="435BEFDE" w14:textId="77777777" w:rsidR="00C315A5" w:rsidRDefault="00570C2B">
            <w:pPr>
              <w:jc w:val="center"/>
            </w:pPr>
            <w:r>
              <w:rPr>
                <w:rFonts w:eastAsia="Times New Roman"/>
                <w:sz w:val="15"/>
              </w:rPr>
              <w:t>30.452</w:t>
            </w:r>
          </w:p>
        </w:tc>
        <w:tc>
          <w:tcPr>
            <w:tcW w:w="2146" w:type="dxa"/>
            <w:shd w:val="clear" w:color="auto" w:fill="EAF0F6"/>
            <w:tcMar>
              <w:top w:w="35" w:type="dxa"/>
              <w:left w:w="40" w:type="dxa"/>
              <w:bottom w:w="35" w:type="dxa"/>
              <w:right w:w="40" w:type="dxa"/>
            </w:tcMar>
            <w:vAlign w:val="center"/>
          </w:tcPr>
          <w:p w14:paraId="390DE679" w14:textId="77777777" w:rsidR="00C315A5" w:rsidRDefault="00570C2B">
            <w:pPr>
              <w:jc w:val="center"/>
            </w:pPr>
            <w:r>
              <w:rPr>
                <w:rFonts w:eastAsia="Times New Roman"/>
                <w:sz w:val="15"/>
              </w:rPr>
              <w:t>25.149</w:t>
            </w:r>
          </w:p>
        </w:tc>
        <w:tc>
          <w:tcPr>
            <w:tcW w:w="2146" w:type="dxa"/>
            <w:shd w:val="clear" w:color="auto" w:fill="EAF0F6"/>
            <w:tcMar>
              <w:top w:w="35" w:type="dxa"/>
              <w:left w:w="40" w:type="dxa"/>
              <w:bottom w:w="35" w:type="dxa"/>
              <w:right w:w="40" w:type="dxa"/>
            </w:tcMar>
            <w:vAlign w:val="center"/>
          </w:tcPr>
          <w:p w14:paraId="654F8D17" w14:textId="77777777" w:rsidR="00C315A5" w:rsidRDefault="00570C2B">
            <w:pPr>
              <w:jc w:val="center"/>
            </w:pPr>
            <w:r>
              <w:rPr>
                <w:rFonts w:eastAsia="Times New Roman"/>
                <w:sz w:val="15"/>
              </w:rPr>
              <w:t>25.264</w:t>
            </w:r>
          </w:p>
        </w:tc>
      </w:tr>
      <w:tr w:rsidR="00C315A5" w14:paraId="0D3AECC6" w14:textId="77777777">
        <w:trPr>
          <w:cantSplit/>
          <w:jc w:val="center"/>
        </w:trPr>
        <w:tc>
          <w:tcPr>
            <w:tcW w:w="1123" w:type="dxa"/>
            <w:tcMar>
              <w:top w:w="35" w:type="dxa"/>
              <w:left w:w="40" w:type="dxa"/>
              <w:bottom w:w="35" w:type="dxa"/>
              <w:right w:w="40" w:type="dxa"/>
            </w:tcMar>
            <w:vAlign w:val="center"/>
          </w:tcPr>
          <w:p w14:paraId="59518D3C" w14:textId="77777777" w:rsidR="00C315A5" w:rsidRDefault="00570C2B">
            <w:pPr>
              <w:jc w:val="center"/>
            </w:pPr>
            <w:r>
              <w:rPr>
                <w:rFonts w:eastAsia="Times New Roman"/>
                <w:sz w:val="15"/>
              </w:rPr>
              <w:t>cap</w:t>
            </w:r>
          </w:p>
        </w:tc>
        <w:tc>
          <w:tcPr>
            <w:tcW w:w="1296" w:type="dxa"/>
            <w:tcMar>
              <w:top w:w="35" w:type="dxa"/>
              <w:left w:w="40" w:type="dxa"/>
              <w:bottom w:w="35" w:type="dxa"/>
              <w:right w:w="40" w:type="dxa"/>
            </w:tcMar>
            <w:vAlign w:val="center"/>
          </w:tcPr>
          <w:p w14:paraId="28A41582" w14:textId="77777777" w:rsidR="00C315A5" w:rsidRDefault="00570C2B">
            <w:pPr>
              <w:jc w:val="center"/>
            </w:pPr>
            <w:r>
              <w:rPr>
                <w:rFonts w:eastAsia="Times New Roman"/>
                <w:sz w:val="15"/>
              </w:rPr>
              <w:t>3 days</w:t>
            </w:r>
          </w:p>
        </w:tc>
        <w:tc>
          <w:tcPr>
            <w:tcW w:w="1296" w:type="dxa"/>
            <w:tcMar>
              <w:top w:w="35" w:type="dxa"/>
              <w:left w:w="40" w:type="dxa"/>
              <w:bottom w:w="35" w:type="dxa"/>
              <w:right w:w="40" w:type="dxa"/>
            </w:tcMar>
            <w:vAlign w:val="center"/>
          </w:tcPr>
          <w:p w14:paraId="39D9E67B" w14:textId="77777777" w:rsidR="00C315A5" w:rsidRDefault="00570C2B">
            <w:pPr>
              <w:jc w:val="center"/>
            </w:pPr>
            <w:r>
              <w:rPr>
                <w:rFonts w:eastAsia="Times New Roman"/>
                <w:sz w:val="15"/>
              </w:rPr>
              <w:t>0.1</w:t>
            </w:r>
          </w:p>
        </w:tc>
        <w:tc>
          <w:tcPr>
            <w:tcW w:w="2146" w:type="dxa"/>
            <w:tcMar>
              <w:top w:w="35" w:type="dxa"/>
              <w:left w:w="40" w:type="dxa"/>
              <w:bottom w:w="35" w:type="dxa"/>
              <w:right w:w="40" w:type="dxa"/>
            </w:tcMar>
            <w:vAlign w:val="center"/>
          </w:tcPr>
          <w:p w14:paraId="776BD6BF" w14:textId="77777777" w:rsidR="00C315A5" w:rsidRDefault="00570C2B">
            <w:pPr>
              <w:jc w:val="center"/>
            </w:pPr>
            <w:r>
              <w:rPr>
                <w:rFonts w:eastAsia="Times New Roman"/>
                <w:sz w:val="15"/>
              </w:rPr>
              <w:t>44.808</w:t>
            </w:r>
          </w:p>
        </w:tc>
        <w:tc>
          <w:tcPr>
            <w:tcW w:w="2146" w:type="dxa"/>
            <w:tcMar>
              <w:top w:w="35" w:type="dxa"/>
              <w:left w:w="40" w:type="dxa"/>
              <w:bottom w:w="35" w:type="dxa"/>
              <w:right w:w="40" w:type="dxa"/>
            </w:tcMar>
            <w:vAlign w:val="center"/>
          </w:tcPr>
          <w:p w14:paraId="7F1A43F6" w14:textId="77777777" w:rsidR="00C315A5" w:rsidRDefault="00570C2B">
            <w:pPr>
              <w:jc w:val="center"/>
            </w:pPr>
            <w:r>
              <w:rPr>
                <w:rFonts w:eastAsia="Times New Roman"/>
                <w:sz w:val="15"/>
              </w:rPr>
              <w:t>37.282</w:t>
            </w:r>
          </w:p>
        </w:tc>
        <w:tc>
          <w:tcPr>
            <w:tcW w:w="2146" w:type="dxa"/>
            <w:tcMar>
              <w:top w:w="35" w:type="dxa"/>
              <w:left w:w="40" w:type="dxa"/>
              <w:bottom w:w="35" w:type="dxa"/>
              <w:right w:w="40" w:type="dxa"/>
            </w:tcMar>
            <w:vAlign w:val="center"/>
          </w:tcPr>
          <w:p w14:paraId="2DAE27D5" w14:textId="77777777" w:rsidR="00C315A5" w:rsidRDefault="00570C2B">
            <w:pPr>
              <w:jc w:val="center"/>
            </w:pPr>
            <w:r>
              <w:rPr>
                <w:rFonts w:eastAsia="Times New Roman"/>
                <w:sz w:val="15"/>
              </w:rPr>
              <w:t>38.161</w:t>
            </w:r>
          </w:p>
        </w:tc>
      </w:tr>
      <w:tr w:rsidR="00C315A5" w14:paraId="3716178A" w14:textId="77777777">
        <w:trPr>
          <w:cantSplit/>
          <w:jc w:val="center"/>
        </w:trPr>
        <w:tc>
          <w:tcPr>
            <w:tcW w:w="1123" w:type="dxa"/>
            <w:shd w:val="clear" w:color="auto" w:fill="EAF0F6"/>
            <w:tcMar>
              <w:top w:w="35" w:type="dxa"/>
              <w:left w:w="40" w:type="dxa"/>
              <w:bottom w:w="35" w:type="dxa"/>
              <w:right w:w="40" w:type="dxa"/>
            </w:tcMar>
            <w:vAlign w:val="center"/>
          </w:tcPr>
          <w:p w14:paraId="289A2BF7" w14:textId="77777777" w:rsidR="00C315A5" w:rsidRDefault="00570C2B">
            <w:pPr>
              <w:jc w:val="center"/>
            </w:pPr>
            <w:r>
              <w:rPr>
                <w:rFonts w:eastAsia="Times New Roman"/>
                <w:sz w:val="15"/>
              </w:rPr>
              <w:t>cap</w:t>
            </w:r>
          </w:p>
        </w:tc>
        <w:tc>
          <w:tcPr>
            <w:tcW w:w="1296" w:type="dxa"/>
            <w:shd w:val="clear" w:color="auto" w:fill="EAF0F6"/>
            <w:tcMar>
              <w:top w:w="35" w:type="dxa"/>
              <w:left w:w="40" w:type="dxa"/>
              <w:bottom w:w="35" w:type="dxa"/>
              <w:right w:w="40" w:type="dxa"/>
            </w:tcMar>
            <w:vAlign w:val="center"/>
          </w:tcPr>
          <w:p w14:paraId="3D9579DF" w14:textId="77777777" w:rsidR="00C315A5" w:rsidRDefault="00570C2B">
            <w:pPr>
              <w:jc w:val="center"/>
            </w:pPr>
            <w:r>
              <w:rPr>
                <w:rFonts w:eastAsia="Times New Roman"/>
                <w:sz w:val="15"/>
              </w:rPr>
              <w:t>7 days</w:t>
            </w:r>
          </w:p>
        </w:tc>
        <w:tc>
          <w:tcPr>
            <w:tcW w:w="1296" w:type="dxa"/>
            <w:shd w:val="clear" w:color="auto" w:fill="EAF0F6"/>
            <w:tcMar>
              <w:top w:w="35" w:type="dxa"/>
              <w:left w:w="40" w:type="dxa"/>
              <w:bottom w:w="35" w:type="dxa"/>
              <w:right w:w="40" w:type="dxa"/>
            </w:tcMar>
            <w:vAlign w:val="center"/>
          </w:tcPr>
          <w:p w14:paraId="2A71435E" w14:textId="77777777" w:rsidR="00C315A5" w:rsidRDefault="00570C2B">
            <w:pPr>
              <w:jc w:val="center"/>
            </w:pPr>
            <w:r>
              <w:rPr>
                <w:rFonts w:eastAsia="Times New Roman"/>
                <w:sz w:val="15"/>
              </w:rPr>
              <w:t>0.1</w:t>
            </w:r>
          </w:p>
        </w:tc>
        <w:tc>
          <w:tcPr>
            <w:tcW w:w="2146" w:type="dxa"/>
            <w:shd w:val="clear" w:color="auto" w:fill="EAF0F6"/>
            <w:tcMar>
              <w:top w:w="35" w:type="dxa"/>
              <w:left w:w="40" w:type="dxa"/>
              <w:bottom w:w="35" w:type="dxa"/>
              <w:right w:w="40" w:type="dxa"/>
            </w:tcMar>
            <w:vAlign w:val="center"/>
          </w:tcPr>
          <w:p w14:paraId="56324171" w14:textId="77777777" w:rsidR="00C315A5" w:rsidRDefault="00570C2B">
            <w:pPr>
              <w:jc w:val="center"/>
            </w:pPr>
            <w:r>
              <w:rPr>
                <w:rFonts w:eastAsia="Times New Roman"/>
                <w:sz w:val="15"/>
              </w:rPr>
              <w:t>50.792</w:t>
            </w:r>
          </w:p>
        </w:tc>
        <w:tc>
          <w:tcPr>
            <w:tcW w:w="2146" w:type="dxa"/>
            <w:shd w:val="clear" w:color="auto" w:fill="EAF0F6"/>
            <w:tcMar>
              <w:top w:w="35" w:type="dxa"/>
              <w:left w:w="40" w:type="dxa"/>
              <w:bottom w:w="35" w:type="dxa"/>
              <w:right w:w="40" w:type="dxa"/>
            </w:tcMar>
            <w:vAlign w:val="center"/>
          </w:tcPr>
          <w:p w14:paraId="61057327" w14:textId="77777777" w:rsidR="00C315A5" w:rsidRDefault="00570C2B">
            <w:pPr>
              <w:jc w:val="center"/>
            </w:pPr>
            <w:r>
              <w:rPr>
                <w:rFonts w:eastAsia="Times New Roman"/>
                <w:sz w:val="15"/>
              </w:rPr>
              <w:t>41.479</w:t>
            </w:r>
          </w:p>
        </w:tc>
        <w:tc>
          <w:tcPr>
            <w:tcW w:w="2146" w:type="dxa"/>
            <w:shd w:val="clear" w:color="auto" w:fill="EAF0F6"/>
            <w:tcMar>
              <w:top w:w="35" w:type="dxa"/>
              <w:left w:w="40" w:type="dxa"/>
              <w:bottom w:w="35" w:type="dxa"/>
              <w:right w:w="40" w:type="dxa"/>
            </w:tcMar>
            <w:vAlign w:val="center"/>
          </w:tcPr>
          <w:p w14:paraId="291F769C" w14:textId="77777777" w:rsidR="00C315A5" w:rsidRDefault="00570C2B">
            <w:pPr>
              <w:jc w:val="center"/>
            </w:pPr>
            <w:r>
              <w:rPr>
                <w:rFonts w:eastAsia="Times New Roman"/>
                <w:sz w:val="15"/>
              </w:rPr>
              <w:t>42.141</w:t>
            </w:r>
          </w:p>
        </w:tc>
      </w:tr>
    </w:tbl>
    <w:p w14:paraId="6591CCF1" w14:textId="77777777" w:rsidR="00C315A5" w:rsidRDefault="00C315A5">
      <w:pPr>
        <w:spacing w:line="20" w:lineRule="exact"/>
        <w:sectPr w:rsidR="00C315A5">
          <w:type w:val="continuous"/>
          <w:pgSz w:w="12240" w:h="15840"/>
          <w:pgMar w:top="979" w:right="979" w:bottom="979" w:left="979" w:header="720" w:footer="720" w:gutter="0"/>
          <w:cols w:space="360"/>
          <w:docGrid w:linePitch="360"/>
        </w:sectPr>
      </w:pPr>
    </w:p>
    <w:p w14:paraId="25702227" w14:textId="77777777" w:rsidR="00C315A5" w:rsidRDefault="00570C2B">
      <w:pPr>
        <w:pStyle w:val="Heading2"/>
        <w:spacing w:before="80" w:after="40"/>
      </w:pPr>
      <w:r>
        <w:rPr>
          <w:rFonts w:ascii="Times New Roman" w:eastAsia="Times New Roman" w:hAnsi="Times New Roman"/>
          <w:sz w:val="17"/>
        </w:rPr>
        <w:t>B. Common-case errors</w:t>
      </w:r>
    </w:p>
    <w:p w14:paraId="59DAFB86" w14:textId="77777777" w:rsidR="00C315A5" w:rsidRDefault="00570C2B">
      <w:pPr>
        <w:pStyle w:val="BodyText"/>
        <w:spacing w:after="50"/>
        <w:ind w:firstLine="173"/>
      </w:pPr>
      <w:r>
        <w:rPr>
          <w:rFonts w:eastAsia="Times New Roman"/>
          <w:sz w:val="17"/>
        </w:rPr>
        <w:t xml:space="preserve">Table III reports pooled MAE/RMSE in AQI points on the shared eligible cases for all methods in each policy/horizon comparison. The common-case count is shown explicitly. Weekly seasonal-naïve is </w:t>
      </w:r>
      <w:r>
        <w:rPr>
          <w:rFonts w:eastAsia="Times New Roman"/>
          <w:sz w:val="17"/>
        </w:rPr>
        <w:t>omitted at seven days because it is identical to persistence at that horizon.</w:t>
      </w:r>
    </w:p>
    <w:p w14:paraId="40F016DA" w14:textId="77777777" w:rsidR="00C315A5" w:rsidRDefault="00C315A5">
      <w:pPr>
        <w:spacing w:line="20" w:lineRule="exact"/>
        <w:sectPr w:rsidR="00C315A5">
          <w:type w:val="continuous"/>
          <w:pgSz w:w="12240" w:h="15840"/>
          <w:pgMar w:top="979" w:right="979" w:bottom="979" w:left="979" w:header="720" w:footer="720" w:gutter="0"/>
          <w:cols w:num="2" w:space="360"/>
          <w:docGrid w:linePitch="360"/>
        </w:sectPr>
      </w:pPr>
    </w:p>
    <w:p w14:paraId="55A9747F" w14:textId="77777777" w:rsidR="00C315A5" w:rsidRDefault="00570C2B">
      <w:pPr>
        <w:keepNext/>
        <w:keepLines/>
        <w:spacing w:before="80" w:after="60"/>
        <w:jc w:val="center"/>
      </w:pPr>
      <w:r>
        <w:rPr>
          <w:rFonts w:eastAsia="Times New Roman"/>
          <w:b/>
          <w:sz w:val="16"/>
        </w:rPr>
        <w:lastRenderedPageBreak/>
        <w:t>TABLE III. 2019 SELECTION-STAGE COMMON-CASE MAE/RMSE (AQI POINTS)</w:t>
      </w:r>
    </w:p>
    <w:tbl>
      <w:tblPr>
        <w:tblStyle w:val="TableGrid"/>
        <w:tblW w:w="0" w:type="auto"/>
        <w:jc w:val="center"/>
        <w:tblLayout w:type="fixed"/>
        <w:tblLook w:val="04A0" w:firstRow="1" w:lastRow="0" w:firstColumn="1" w:lastColumn="0" w:noHBand="0" w:noVBand="1"/>
      </w:tblPr>
      <w:tblGrid>
        <w:gridCol w:w="864"/>
        <w:gridCol w:w="792"/>
        <w:gridCol w:w="878"/>
        <w:gridCol w:w="1526"/>
        <w:gridCol w:w="1526"/>
        <w:gridCol w:w="1526"/>
        <w:gridCol w:w="1526"/>
        <w:gridCol w:w="1526"/>
      </w:tblGrid>
      <w:tr w:rsidR="00C315A5" w14:paraId="6442B3D7" w14:textId="77777777">
        <w:trPr>
          <w:cantSplit/>
          <w:tblHeader/>
          <w:jc w:val="center"/>
        </w:trPr>
        <w:tc>
          <w:tcPr>
            <w:tcW w:w="864" w:type="dxa"/>
            <w:shd w:val="clear" w:color="auto" w:fill="1F4E78"/>
            <w:tcMar>
              <w:top w:w="35" w:type="dxa"/>
              <w:left w:w="40" w:type="dxa"/>
              <w:bottom w:w="35" w:type="dxa"/>
              <w:right w:w="40" w:type="dxa"/>
            </w:tcMar>
            <w:vAlign w:val="center"/>
          </w:tcPr>
          <w:p w14:paraId="60E71B07" w14:textId="77777777" w:rsidR="00C315A5" w:rsidRDefault="00570C2B">
            <w:pPr>
              <w:jc w:val="center"/>
            </w:pPr>
            <w:r>
              <w:rPr>
                <w:rFonts w:eastAsia="Times New Roman"/>
                <w:b/>
                <w:color w:val="FFFFFF"/>
                <w:sz w:val="15"/>
              </w:rPr>
              <w:t>Policy</w:t>
            </w:r>
          </w:p>
        </w:tc>
        <w:tc>
          <w:tcPr>
            <w:tcW w:w="792" w:type="dxa"/>
            <w:shd w:val="clear" w:color="auto" w:fill="1F4E78"/>
            <w:tcMar>
              <w:top w:w="35" w:type="dxa"/>
              <w:left w:w="40" w:type="dxa"/>
              <w:bottom w:w="35" w:type="dxa"/>
              <w:right w:w="40" w:type="dxa"/>
            </w:tcMar>
            <w:vAlign w:val="center"/>
          </w:tcPr>
          <w:p w14:paraId="1D04D527" w14:textId="77777777" w:rsidR="00C315A5" w:rsidRDefault="00570C2B">
            <w:pPr>
              <w:jc w:val="center"/>
            </w:pPr>
            <w:r>
              <w:rPr>
                <w:rFonts w:eastAsia="Times New Roman"/>
                <w:b/>
                <w:color w:val="FFFFFF"/>
                <w:sz w:val="15"/>
              </w:rPr>
              <w:t>Horizon</w:t>
            </w:r>
          </w:p>
        </w:tc>
        <w:tc>
          <w:tcPr>
            <w:tcW w:w="878" w:type="dxa"/>
            <w:shd w:val="clear" w:color="auto" w:fill="1F4E78"/>
            <w:tcMar>
              <w:top w:w="35" w:type="dxa"/>
              <w:left w:w="40" w:type="dxa"/>
              <w:bottom w:w="35" w:type="dxa"/>
              <w:right w:w="40" w:type="dxa"/>
            </w:tcMar>
            <w:vAlign w:val="center"/>
          </w:tcPr>
          <w:p w14:paraId="5D720B70" w14:textId="77777777" w:rsidR="00C315A5" w:rsidRDefault="00570C2B">
            <w:pPr>
              <w:jc w:val="center"/>
            </w:pPr>
            <w:r>
              <w:rPr>
                <w:rFonts w:eastAsia="Times New Roman"/>
                <w:b/>
                <w:color w:val="FFFFFF"/>
                <w:sz w:val="15"/>
              </w:rPr>
              <w:t>Common cases</w:t>
            </w:r>
          </w:p>
        </w:tc>
        <w:tc>
          <w:tcPr>
            <w:tcW w:w="1526" w:type="dxa"/>
            <w:shd w:val="clear" w:color="auto" w:fill="1F4E78"/>
            <w:tcMar>
              <w:top w:w="35" w:type="dxa"/>
              <w:left w:w="40" w:type="dxa"/>
              <w:bottom w:w="35" w:type="dxa"/>
              <w:right w:w="40" w:type="dxa"/>
            </w:tcMar>
            <w:vAlign w:val="center"/>
          </w:tcPr>
          <w:p w14:paraId="7B2DB275" w14:textId="77777777" w:rsidR="00C315A5" w:rsidRDefault="00570C2B">
            <w:pPr>
              <w:jc w:val="center"/>
            </w:pPr>
            <w:r>
              <w:rPr>
                <w:rFonts w:eastAsia="Times New Roman"/>
                <w:b/>
                <w:color w:val="FFFFFF"/>
                <w:sz w:val="15"/>
              </w:rPr>
              <w:t>Persistence</w:t>
            </w:r>
          </w:p>
        </w:tc>
        <w:tc>
          <w:tcPr>
            <w:tcW w:w="1526" w:type="dxa"/>
            <w:shd w:val="clear" w:color="auto" w:fill="1F4E78"/>
            <w:tcMar>
              <w:top w:w="35" w:type="dxa"/>
              <w:left w:w="40" w:type="dxa"/>
              <w:bottom w:w="35" w:type="dxa"/>
              <w:right w:w="40" w:type="dxa"/>
            </w:tcMar>
            <w:vAlign w:val="center"/>
          </w:tcPr>
          <w:p w14:paraId="23242C7D" w14:textId="77777777" w:rsidR="00C315A5" w:rsidRDefault="00570C2B">
            <w:pPr>
              <w:jc w:val="center"/>
            </w:pPr>
            <w:r>
              <w:rPr>
                <w:rFonts w:eastAsia="Times New Roman"/>
                <w:b/>
                <w:color w:val="FFFFFF"/>
                <w:sz w:val="15"/>
              </w:rPr>
              <w:t>Annual seasonal-naïve</w:t>
            </w:r>
          </w:p>
        </w:tc>
        <w:tc>
          <w:tcPr>
            <w:tcW w:w="1526" w:type="dxa"/>
            <w:shd w:val="clear" w:color="auto" w:fill="1F4E78"/>
            <w:tcMar>
              <w:top w:w="35" w:type="dxa"/>
              <w:left w:w="40" w:type="dxa"/>
              <w:bottom w:w="35" w:type="dxa"/>
              <w:right w:w="40" w:type="dxa"/>
            </w:tcMar>
            <w:vAlign w:val="center"/>
          </w:tcPr>
          <w:p w14:paraId="3DCB8629" w14:textId="77777777" w:rsidR="00C315A5" w:rsidRDefault="00570C2B">
            <w:pPr>
              <w:jc w:val="center"/>
            </w:pPr>
            <w:r>
              <w:rPr>
                <w:rFonts w:eastAsia="Times New Roman"/>
                <w:b/>
                <w:color w:val="FFFFFF"/>
                <w:sz w:val="15"/>
              </w:rPr>
              <w:t>City/month climatology</w:t>
            </w:r>
          </w:p>
        </w:tc>
        <w:tc>
          <w:tcPr>
            <w:tcW w:w="1526" w:type="dxa"/>
            <w:shd w:val="clear" w:color="auto" w:fill="1F4E78"/>
            <w:tcMar>
              <w:top w:w="35" w:type="dxa"/>
              <w:left w:w="40" w:type="dxa"/>
              <w:bottom w:w="35" w:type="dxa"/>
              <w:right w:w="40" w:type="dxa"/>
            </w:tcMar>
            <w:vAlign w:val="center"/>
          </w:tcPr>
          <w:p w14:paraId="43E6A910" w14:textId="77777777" w:rsidR="00C315A5" w:rsidRDefault="00570C2B">
            <w:pPr>
              <w:jc w:val="center"/>
            </w:pPr>
            <w:r>
              <w:rPr>
                <w:rFonts w:eastAsia="Times New Roman"/>
                <w:b/>
                <w:color w:val="FFFFFF"/>
                <w:sz w:val="15"/>
              </w:rPr>
              <w:t>Ridge</w:t>
            </w:r>
          </w:p>
        </w:tc>
        <w:tc>
          <w:tcPr>
            <w:tcW w:w="1526" w:type="dxa"/>
            <w:shd w:val="clear" w:color="auto" w:fill="1F4E78"/>
            <w:tcMar>
              <w:top w:w="35" w:type="dxa"/>
              <w:left w:w="40" w:type="dxa"/>
              <w:bottom w:w="35" w:type="dxa"/>
              <w:right w:w="40" w:type="dxa"/>
            </w:tcMar>
            <w:vAlign w:val="center"/>
          </w:tcPr>
          <w:p w14:paraId="02F0A04F" w14:textId="77777777" w:rsidR="00C315A5" w:rsidRDefault="00570C2B">
            <w:pPr>
              <w:jc w:val="center"/>
            </w:pPr>
            <w:r>
              <w:rPr>
                <w:rFonts w:eastAsia="Times New Roman"/>
                <w:b/>
                <w:color w:val="FFFFFF"/>
                <w:sz w:val="15"/>
              </w:rPr>
              <w:t>Weekly seasonal-naïve</w:t>
            </w:r>
          </w:p>
        </w:tc>
      </w:tr>
      <w:tr w:rsidR="00C315A5" w14:paraId="42549DBA" w14:textId="77777777">
        <w:trPr>
          <w:cantSplit/>
          <w:jc w:val="center"/>
        </w:trPr>
        <w:tc>
          <w:tcPr>
            <w:tcW w:w="864" w:type="dxa"/>
            <w:tcMar>
              <w:top w:w="35" w:type="dxa"/>
              <w:left w:w="40" w:type="dxa"/>
              <w:bottom w:w="35" w:type="dxa"/>
              <w:right w:w="40" w:type="dxa"/>
            </w:tcMar>
            <w:vAlign w:val="center"/>
          </w:tcPr>
          <w:p w14:paraId="6DFA2156" w14:textId="77777777" w:rsidR="00C315A5" w:rsidRDefault="00570C2B">
            <w:pPr>
              <w:jc w:val="center"/>
            </w:pPr>
            <w:r>
              <w:rPr>
                <w:rFonts w:eastAsia="Times New Roman"/>
                <w:sz w:val="15"/>
              </w:rPr>
              <w:t>exclude</w:t>
            </w:r>
          </w:p>
        </w:tc>
        <w:tc>
          <w:tcPr>
            <w:tcW w:w="792" w:type="dxa"/>
            <w:tcMar>
              <w:top w:w="35" w:type="dxa"/>
              <w:left w:w="40" w:type="dxa"/>
              <w:bottom w:w="35" w:type="dxa"/>
              <w:right w:w="40" w:type="dxa"/>
            </w:tcMar>
            <w:vAlign w:val="center"/>
          </w:tcPr>
          <w:p w14:paraId="2FDDD61B" w14:textId="77777777" w:rsidR="00C315A5" w:rsidRDefault="00570C2B">
            <w:pPr>
              <w:jc w:val="center"/>
            </w:pPr>
            <w:r>
              <w:rPr>
                <w:rFonts w:eastAsia="Times New Roman"/>
                <w:sz w:val="15"/>
              </w:rPr>
              <w:t>1 day</w:t>
            </w:r>
          </w:p>
        </w:tc>
        <w:tc>
          <w:tcPr>
            <w:tcW w:w="878" w:type="dxa"/>
            <w:tcMar>
              <w:top w:w="35" w:type="dxa"/>
              <w:left w:w="40" w:type="dxa"/>
              <w:bottom w:w="35" w:type="dxa"/>
              <w:right w:w="40" w:type="dxa"/>
            </w:tcMar>
            <w:vAlign w:val="center"/>
          </w:tcPr>
          <w:p w14:paraId="6C6B9901" w14:textId="77777777" w:rsidR="00C315A5" w:rsidRDefault="00570C2B">
            <w:pPr>
              <w:jc w:val="center"/>
            </w:pPr>
            <w:r>
              <w:rPr>
                <w:rFonts w:eastAsia="Times New Roman"/>
                <w:sz w:val="15"/>
              </w:rPr>
              <w:t>4,844</w:t>
            </w:r>
          </w:p>
        </w:tc>
        <w:tc>
          <w:tcPr>
            <w:tcW w:w="1526" w:type="dxa"/>
            <w:tcMar>
              <w:top w:w="35" w:type="dxa"/>
              <w:left w:w="40" w:type="dxa"/>
              <w:bottom w:w="35" w:type="dxa"/>
              <w:right w:w="40" w:type="dxa"/>
            </w:tcMar>
            <w:vAlign w:val="center"/>
          </w:tcPr>
          <w:p w14:paraId="76D9BB56" w14:textId="77777777" w:rsidR="00C315A5" w:rsidRDefault="00570C2B">
            <w:pPr>
              <w:jc w:val="center"/>
            </w:pPr>
            <w:r>
              <w:rPr>
                <w:rFonts w:eastAsia="Times New Roman"/>
                <w:sz w:val="15"/>
              </w:rPr>
              <w:t>22.605 / 36.300</w:t>
            </w:r>
          </w:p>
        </w:tc>
        <w:tc>
          <w:tcPr>
            <w:tcW w:w="1526" w:type="dxa"/>
            <w:tcMar>
              <w:top w:w="35" w:type="dxa"/>
              <w:left w:w="40" w:type="dxa"/>
              <w:bottom w:w="35" w:type="dxa"/>
              <w:right w:w="40" w:type="dxa"/>
            </w:tcMar>
            <w:vAlign w:val="center"/>
          </w:tcPr>
          <w:p w14:paraId="19F4DBBD" w14:textId="77777777" w:rsidR="00C315A5" w:rsidRDefault="00570C2B">
            <w:pPr>
              <w:jc w:val="center"/>
            </w:pPr>
            <w:r>
              <w:rPr>
                <w:rFonts w:eastAsia="Times New Roman"/>
                <w:sz w:val="15"/>
              </w:rPr>
              <w:t>48.101 / 69.691</w:t>
            </w:r>
          </w:p>
        </w:tc>
        <w:tc>
          <w:tcPr>
            <w:tcW w:w="1526" w:type="dxa"/>
            <w:tcMar>
              <w:top w:w="35" w:type="dxa"/>
              <w:left w:w="40" w:type="dxa"/>
              <w:bottom w:w="35" w:type="dxa"/>
              <w:right w:w="40" w:type="dxa"/>
            </w:tcMar>
            <w:vAlign w:val="center"/>
          </w:tcPr>
          <w:p w14:paraId="619EA11F" w14:textId="77777777" w:rsidR="00C315A5" w:rsidRDefault="00570C2B">
            <w:pPr>
              <w:jc w:val="center"/>
            </w:pPr>
            <w:r>
              <w:rPr>
                <w:rFonts w:eastAsia="Times New Roman"/>
                <w:sz w:val="15"/>
              </w:rPr>
              <w:t>43.705 / 60.676</w:t>
            </w:r>
          </w:p>
        </w:tc>
        <w:tc>
          <w:tcPr>
            <w:tcW w:w="1526" w:type="dxa"/>
            <w:tcMar>
              <w:top w:w="35" w:type="dxa"/>
              <w:left w:w="40" w:type="dxa"/>
              <w:bottom w:w="35" w:type="dxa"/>
              <w:right w:w="40" w:type="dxa"/>
            </w:tcMar>
            <w:vAlign w:val="center"/>
          </w:tcPr>
          <w:p w14:paraId="1D981CB2" w14:textId="77777777" w:rsidR="00C315A5" w:rsidRDefault="00570C2B">
            <w:pPr>
              <w:jc w:val="center"/>
            </w:pPr>
            <w:r>
              <w:rPr>
                <w:rFonts w:eastAsia="Times New Roman"/>
                <w:sz w:val="15"/>
              </w:rPr>
              <w:t>22.610 / 34.860</w:t>
            </w:r>
          </w:p>
        </w:tc>
        <w:tc>
          <w:tcPr>
            <w:tcW w:w="1526" w:type="dxa"/>
            <w:tcMar>
              <w:top w:w="35" w:type="dxa"/>
              <w:left w:w="40" w:type="dxa"/>
              <w:bottom w:w="35" w:type="dxa"/>
              <w:right w:w="40" w:type="dxa"/>
            </w:tcMar>
            <w:vAlign w:val="center"/>
          </w:tcPr>
          <w:p w14:paraId="6F91AADC" w14:textId="77777777" w:rsidR="00C315A5" w:rsidRDefault="00570C2B">
            <w:pPr>
              <w:jc w:val="center"/>
            </w:pPr>
            <w:r>
              <w:rPr>
                <w:rFonts w:eastAsia="Times New Roman"/>
                <w:sz w:val="15"/>
              </w:rPr>
              <w:t>41.343 / 63.598</w:t>
            </w:r>
          </w:p>
        </w:tc>
      </w:tr>
      <w:tr w:rsidR="00C315A5" w14:paraId="5D8831C6" w14:textId="77777777">
        <w:trPr>
          <w:cantSplit/>
          <w:jc w:val="center"/>
        </w:trPr>
        <w:tc>
          <w:tcPr>
            <w:tcW w:w="864" w:type="dxa"/>
            <w:shd w:val="clear" w:color="auto" w:fill="EAF0F6"/>
            <w:tcMar>
              <w:top w:w="35" w:type="dxa"/>
              <w:left w:w="40" w:type="dxa"/>
              <w:bottom w:w="35" w:type="dxa"/>
              <w:right w:w="40" w:type="dxa"/>
            </w:tcMar>
            <w:vAlign w:val="center"/>
          </w:tcPr>
          <w:p w14:paraId="4333C050" w14:textId="77777777" w:rsidR="00C315A5" w:rsidRDefault="00570C2B">
            <w:pPr>
              <w:jc w:val="center"/>
            </w:pPr>
            <w:r>
              <w:rPr>
                <w:rFonts w:eastAsia="Times New Roman"/>
                <w:sz w:val="15"/>
              </w:rPr>
              <w:t>exclude</w:t>
            </w:r>
          </w:p>
        </w:tc>
        <w:tc>
          <w:tcPr>
            <w:tcW w:w="792" w:type="dxa"/>
            <w:shd w:val="clear" w:color="auto" w:fill="EAF0F6"/>
            <w:tcMar>
              <w:top w:w="35" w:type="dxa"/>
              <w:left w:w="40" w:type="dxa"/>
              <w:bottom w:w="35" w:type="dxa"/>
              <w:right w:w="40" w:type="dxa"/>
            </w:tcMar>
            <w:vAlign w:val="center"/>
          </w:tcPr>
          <w:p w14:paraId="33658B70" w14:textId="77777777" w:rsidR="00C315A5" w:rsidRDefault="00570C2B">
            <w:pPr>
              <w:jc w:val="center"/>
            </w:pPr>
            <w:r>
              <w:rPr>
                <w:rFonts w:eastAsia="Times New Roman"/>
                <w:sz w:val="15"/>
              </w:rPr>
              <w:t>3 days</w:t>
            </w:r>
          </w:p>
        </w:tc>
        <w:tc>
          <w:tcPr>
            <w:tcW w:w="878" w:type="dxa"/>
            <w:shd w:val="clear" w:color="auto" w:fill="EAF0F6"/>
            <w:tcMar>
              <w:top w:w="35" w:type="dxa"/>
              <w:left w:w="40" w:type="dxa"/>
              <w:bottom w:w="35" w:type="dxa"/>
              <w:right w:w="40" w:type="dxa"/>
            </w:tcMar>
            <w:vAlign w:val="center"/>
          </w:tcPr>
          <w:p w14:paraId="59A32160" w14:textId="77777777" w:rsidR="00C315A5" w:rsidRDefault="00570C2B">
            <w:pPr>
              <w:jc w:val="center"/>
            </w:pPr>
            <w:r>
              <w:rPr>
                <w:rFonts w:eastAsia="Times New Roman"/>
                <w:sz w:val="15"/>
              </w:rPr>
              <w:t>4,775</w:t>
            </w:r>
          </w:p>
        </w:tc>
        <w:tc>
          <w:tcPr>
            <w:tcW w:w="1526" w:type="dxa"/>
            <w:shd w:val="clear" w:color="auto" w:fill="EAF0F6"/>
            <w:tcMar>
              <w:top w:w="35" w:type="dxa"/>
              <w:left w:w="40" w:type="dxa"/>
              <w:bottom w:w="35" w:type="dxa"/>
              <w:right w:w="40" w:type="dxa"/>
            </w:tcMar>
            <w:vAlign w:val="center"/>
          </w:tcPr>
          <w:p w14:paraId="624449F9" w14:textId="77777777" w:rsidR="00C315A5" w:rsidRDefault="00570C2B">
            <w:pPr>
              <w:jc w:val="center"/>
            </w:pPr>
            <w:r>
              <w:rPr>
                <w:rFonts w:eastAsia="Times New Roman"/>
                <w:sz w:val="15"/>
              </w:rPr>
              <w:t>36.294 / 55.738</w:t>
            </w:r>
          </w:p>
        </w:tc>
        <w:tc>
          <w:tcPr>
            <w:tcW w:w="1526" w:type="dxa"/>
            <w:shd w:val="clear" w:color="auto" w:fill="EAF0F6"/>
            <w:tcMar>
              <w:top w:w="35" w:type="dxa"/>
              <w:left w:w="40" w:type="dxa"/>
              <w:bottom w:w="35" w:type="dxa"/>
              <w:right w:w="40" w:type="dxa"/>
            </w:tcMar>
            <w:vAlign w:val="center"/>
          </w:tcPr>
          <w:p w14:paraId="70D6B716" w14:textId="77777777" w:rsidR="00C315A5" w:rsidRDefault="00570C2B">
            <w:pPr>
              <w:jc w:val="center"/>
            </w:pPr>
            <w:r>
              <w:rPr>
                <w:rFonts w:eastAsia="Times New Roman"/>
                <w:sz w:val="15"/>
              </w:rPr>
              <w:t>47.700 / 68.964</w:t>
            </w:r>
          </w:p>
        </w:tc>
        <w:tc>
          <w:tcPr>
            <w:tcW w:w="1526" w:type="dxa"/>
            <w:shd w:val="clear" w:color="auto" w:fill="EAF0F6"/>
            <w:tcMar>
              <w:top w:w="35" w:type="dxa"/>
              <w:left w:w="40" w:type="dxa"/>
              <w:bottom w:w="35" w:type="dxa"/>
              <w:right w:w="40" w:type="dxa"/>
            </w:tcMar>
            <w:vAlign w:val="center"/>
          </w:tcPr>
          <w:p w14:paraId="783ABAD4" w14:textId="77777777" w:rsidR="00C315A5" w:rsidRDefault="00570C2B">
            <w:pPr>
              <w:jc w:val="center"/>
            </w:pPr>
            <w:r>
              <w:rPr>
                <w:rFonts w:eastAsia="Times New Roman"/>
                <w:sz w:val="15"/>
              </w:rPr>
              <w:t>43.092 / 59.654</w:t>
            </w:r>
          </w:p>
        </w:tc>
        <w:tc>
          <w:tcPr>
            <w:tcW w:w="1526" w:type="dxa"/>
            <w:shd w:val="clear" w:color="auto" w:fill="EAF0F6"/>
            <w:tcMar>
              <w:top w:w="35" w:type="dxa"/>
              <w:left w:w="40" w:type="dxa"/>
              <w:bottom w:w="35" w:type="dxa"/>
              <w:right w:w="40" w:type="dxa"/>
            </w:tcMar>
            <w:vAlign w:val="center"/>
          </w:tcPr>
          <w:p w14:paraId="001E5054" w14:textId="77777777" w:rsidR="00C315A5" w:rsidRDefault="00570C2B">
            <w:pPr>
              <w:jc w:val="center"/>
            </w:pPr>
            <w:r>
              <w:rPr>
                <w:rFonts w:eastAsia="Times New Roman"/>
                <w:sz w:val="15"/>
              </w:rPr>
              <w:t>34.088 / 49.660</w:t>
            </w:r>
          </w:p>
        </w:tc>
        <w:tc>
          <w:tcPr>
            <w:tcW w:w="1526" w:type="dxa"/>
            <w:shd w:val="clear" w:color="auto" w:fill="EAF0F6"/>
            <w:tcMar>
              <w:top w:w="35" w:type="dxa"/>
              <w:left w:w="40" w:type="dxa"/>
              <w:bottom w:w="35" w:type="dxa"/>
              <w:right w:w="40" w:type="dxa"/>
            </w:tcMar>
            <w:vAlign w:val="center"/>
          </w:tcPr>
          <w:p w14:paraId="25FC5CFE" w14:textId="77777777" w:rsidR="00C315A5" w:rsidRDefault="00570C2B">
            <w:pPr>
              <w:jc w:val="center"/>
            </w:pPr>
            <w:r>
              <w:rPr>
                <w:rFonts w:eastAsia="Times New Roman"/>
                <w:sz w:val="15"/>
              </w:rPr>
              <w:t>40.918 / 62.923</w:t>
            </w:r>
          </w:p>
        </w:tc>
      </w:tr>
      <w:tr w:rsidR="00C315A5" w14:paraId="6E543E2E" w14:textId="77777777">
        <w:trPr>
          <w:cantSplit/>
          <w:jc w:val="center"/>
        </w:trPr>
        <w:tc>
          <w:tcPr>
            <w:tcW w:w="864" w:type="dxa"/>
            <w:tcMar>
              <w:top w:w="35" w:type="dxa"/>
              <w:left w:w="40" w:type="dxa"/>
              <w:bottom w:w="35" w:type="dxa"/>
              <w:right w:w="40" w:type="dxa"/>
            </w:tcMar>
            <w:vAlign w:val="center"/>
          </w:tcPr>
          <w:p w14:paraId="4CEA5551" w14:textId="77777777" w:rsidR="00C315A5" w:rsidRDefault="00570C2B">
            <w:pPr>
              <w:jc w:val="center"/>
            </w:pPr>
            <w:r>
              <w:rPr>
                <w:rFonts w:eastAsia="Times New Roman"/>
                <w:sz w:val="15"/>
              </w:rPr>
              <w:t>exclude</w:t>
            </w:r>
          </w:p>
        </w:tc>
        <w:tc>
          <w:tcPr>
            <w:tcW w:w="792" w:type="dxa"/>
            <w:tcMar>
              <w:top w:w="35" w:type="dxa"/>
              <w:left w:w="40" w:type="dxa"/>
              <w:bottom w:w="35" w:type="dxa"/>
              <w:right w:w="40" w:type="dxa"/>
            </w:tcMar>
            <w:vAlign w:val="center"/>
          </w:tcPr>
          <w:p w14:paraId="54D7DCD7" w14:textId="77777777" w:rsidR="00C315A5" w:rsidRDefault="00570C2B">
            <w:pPr>
              <w:jc w:val="center"/>
            </w:pPr>
            <w:r>
              <w:rPr>
                <w:rFonts w:eastAsia="Times New Roman"/>
                <w:sz w:val="15"/>
              </w:rPr>
              <w:t>7 days</w:t>
            </w:r>
          </w:p>
        </w:tc>
        <w:tc>
          <w:tcPr>
            <w:tcW w:w="878" w:type="dxa"/>
            <w:tcMar>
              <w:top w:w="35" w:type="dxa"/>
              <w:left w:w="40" w:type="dxa"/>
              <w:bottom w:w="35" w:type="dxa"/>
              <w:right w:w="40" w:type="dxa"/>
            </w:tcMar>
            <w:vAlign w:val="center"/>
          </w:tcPr>
          <w:p w14:paraId="78400AD4" w14:textId="77777777" w:rsidR="00C315A5" w:rsidRDefault="00570C2B">
            <w:pPr>
              <w:jc w:val="center"/>
            </w:pPr>
            <w:r>
              <w:rPr>
                <w:rFonts w:eastAsia="Times New Roman"/>
                <w:sz w:val="15"/>
              </w:rPr>
              <w:t>4,824</w:t>
            </w:r>
          </w:p>
        </w:tc>
        <w:tc>
          <w:tcPr>
            <w:tcW w:w="1526" w:type="dxa"/>
            <w:tcMar>
              <w:top w:w="35" w:type="dxa"/>
              <w:left w:w="40" w:type="dxa"/>
              <w:bottom w:w="35" w:type="dxa"/>
              <w:right w:w="40" w:type="dxa"/>
            </w:tcMar>
            <w:vAlign w:val="center"/>
          </w:tcPr>
          <w:p w14:paraId="4BEC6857" w14:textId="77777777" w:rsidR="00C315A5" w:rsidRDefault="00570C2B">
            <w:pPr>
              <w:jc w:val="center"/>
            </w:pPr>
            <w:r>
              <w:rPr>
                <w:rFonts w:eastAsia="Times New Roman"/>
                <w:sz w:val="15"/>
              </w:rPr>
              <w:t>41.102 / 63.088</w:t>
            </w:r>
          </w:p>
        </w:tc>
        <w:tc>
          <w:tcPr>
            <w:tcW w:w="1526" w:type="dxa"/>
            <w:tcMar>
              <w:top w:w="35" w:type="dxa"/>
              <w:left w:w="40" w:type="dxa"/>
              <w:bottom w:w="35" w:type="dxa"/>
              <w:right w:w="40" w:type="dxa"/>
            </w:tcMar>
            <w:vAlign w:val="center"/>
          </w:tcPr>
          <w:p w14:paraId="476BBF3A" w14:textId="77777777" w:rsidR="00C315A5" w:rsidRDefault="00570C2B">
            <w:pPr>
              <w:jc w:val="center"/>
            </w:pPr>
            <w:r>
              <w:rPr>
                <w:rFonts w:eastAsia="Times New Roman"/>
                <w:sz w:val="15"/>
              </w:rPr>
              <w:t>47.779 / 68.990</w:t>
            </w:r>
          </w:p>
        </w:tc>
        <w:tc>
          <w:tcPr>
            <w:tcW w:w="1526" w:type="dxa"/>
            <w:tcMar>
              <w:top w:w="35" w:type="dxa"/>
              <w:left w:w="40" w:type="dxa"/>
              <w:bottom w:w="35" w:type="dxa"/>
              <w:right w:w="40" w:type="dxa"/>
            </w:tcMar>
            <w:vAlign w:val="center"/>
          </w:tcPr>
          <w:p w14:paraId="0B93E3F3" w14:textId="77777777" w:rsidR="00C315A5" w:rsidRDefault="00570C2B">
            <w:pPr>
              <w:jc w:val="center"/>
            </w:pPr>
            <w:r>
              <w:rPr>
                <w:rFonts w:eastAsia="Times New Roman"/>
                <w:sz w:val="15"/>
              </w:rPr>
              <w:t>43.603 / 60.488</w:t>
            </w:r>
          </w:p>
        </w:tc>
        <w:tc>
          <w:tcPr>
            <w:tcW w:w="1526" w:type="dxa"/>
            <w:tcMar>
              <w:top w:w="35" w:type="dxa"/>
              <w:left w:w="40" w:type="dxa"/>
              <w:bottom w:w="35" w:type="dxa"/>
              <w:right w:w="40" w:type="dxa"/>
            </w:tcMar>
            <w:vAlign w:val="center"/>
          </w:tcPr>
          <w:p w14:paraId="439C8684" w14:textId="77777777" w:rsidR="00C315A5" w:rsidRDefault="00570C2B">
            <w:pPr>
              <w:jc w:val="center"/>
            </w:pPr>
            <w:r>
              <w:rPr>
                <w:rFonts w:eastAsia="Times New Roman"/>
                <w:sz w:val="15"/>
              </w:rPr>
              <w:t>37.717 / 54.397</w:t>
            </w:r>
          </w:p>
        </w:tc>
        <w:tc>
          <w:tcPr>
            <w:tcW w:w="1526" w:type="dxa"/>
            <w:tcMar>
              <w:top w:w="35" w:type="dxa"/>
              <w:left w:w="40" w:type="dxa"/>
              <w:bottom w:w="35" w:type="dxa"/>
              <w:right w:w="40" w:type="dxa"/>
            </w:tcMar>
            <w:vAlign w:val="center"/>
          </w:tcPr>
          <w:p w14:paraId="66E15A5B" w14:textId="77777777" w:rsidR="00C315A5" w:rsidRDefault="00570C2B">
            <w:pPr>
              <w:jc w:val="center"/>
            </w:pPr>
            <w:r>
              <w:rPr>
                <w:rFonts w:eastAsia="Times New Roman"/>
                <w:sz w:val="15"/>
              </w:rPr>
              <w:t>—</w:t>
            </w:r>
          </w:p>
        </w:tc>
      </w:tr>
      <w:tr w:rsidR="00C315A5" w14:paraId="29869BA0" w14:textId="77777777">
        <w:trPr>
          <w:cantSplit/>
          <w:jc w:val="center"/>
        </w:trPr>
        <w:tc>
          <w:tcPr>
            <w:tcW w:w="864" w:type="dxa"/>
            <w:shd w:val="clear" w:color="auto" w:fill="EAF0F6"/>
            <w:tcMar>
              <w:top w:w="35" w:type="dxa"/>
              <w:left w:w="40" w:type="dxa"/>
              <w:bottom w:w="35" w:type="dxa"/>
              <w:right w:w="40" w:type="dxa"/>
            </w:tcMar>
            <w:vAlign w:val="center"/>
          </w:tcPr>
          <w:p w14:paraId="30E264D8" w14:textId="77777777" w:rsidR="00C315A5" w:rsidRDefault="00570C2B">
            <w:pPr>
              <w:jc w:val="center"/>
            </w:pPr>
            <w:r>
              <w:rPr>
                <w:rFonts w:eastAsia="Times New Roman"/>
                <w:sz w:val="15"/>
              </w:rPr>
              <w:t>cap</w:t>
            </w:r>
          </w:p>
        </w:tc>
        <w:tc>
          <w:tcPr>
            <w:tcW w:w="792" w:type="dxa"/>
            <w:shd w:val="clear" w:color="auto" w:fill="EAF0F6"/>
            <w:tcMar>
              <w:top w:w="35" w:type="dxa"/>
              <w:left w:w="40" w:type="dxa"/>
              <w:bottom w:w="35" w:type="dxa"/>
              <w:right w:w="40" w:type="dxa"/>
            </w:tcMar>
            <w:vAlign w:val="center"/>
          </w:tcPr>
          <w:p w14:paraId="78438F4D" w14:textId="77777777" w:rsidR="00C315A5" w:rsidRDefault="00570C2B">
            <w:pPr>
              <w:jc w:val="center"/>
            </w:pPr>
            <w:r>
              <w:rPr>
                <w:rFonts w:eastAsia="Times New Roman"/>
                <w:sz w:val="15"/>
              </w:rPr>
              <w:t>1 day</w:t>
            </w:r>
          </w:p>
        </w:tc>
        <w:tc>
          <w:tcPr>
            <w:tcW w:w="878" w:type="dxa"/>
            <w:shd w:val="clear" w:color="auto" w:fill="EAF0F6"/>
            <w:tcMar>
              <w:top w:w="35" w:type="dxa"/>
              <w:left w:w="40" w:type="dxa"/>
              <w:bottom w:w="35" w:type="dxa"/>
              <w:right w:w="40" w:type="dxa"/>
            </w:tcMar>
            <w:vAlign w:val="center"/>
          </w:tcPr>
          <w:p w14:paraId="52DD7F32" w14:textId="77777777" w:rsidR="00C315A5" w:rsidRDefault="00570C2B">
            <w:pPr>
              <w:jc w:val="center"/>
            </w:pPr>
            <w:r>
              <w:rPr>
                <w:rFonts w:eastAsia="Times New Roman"/>
                <w:sz w:val="15"/>
              </w:rPr>
              <w:t>5,223</w:t>
            </w:r>
          </w:p>
        </w:tc>
        <w:tc>
          <w:tcPr>
            <w:tcW w:w="1526" w:type="dxa"/>
            <w:shd w:val="clear" w:color="auto" w:fill="EAF0F6"/>
            <w:tcMar>
              <w:top w:w="35" w:type="dxa"/>
              <w:left w:w="40" w:type="dxa"/>
              <w:bottom w:w="35" w:type="dxa"/>
              <w:right w:w="40" w:type="dxa"/>
            </w:tcMar>
            <w:vAlign w:val="center"/>
          </w:tcPr>
          <w:p w14:paraId="166595AE" w14:textId="77777777" w:rsidR="00C315A5" w:rsidRDefault="00570C2B">
            <w:pPr>
              <w:jc w:val="center"/>
            </w:pPr>
            <w:r>
              <w:rPr>
                <w:rFonts w:eastAsia="Times New Roman"/>
                <w:sz w:val="15"/>
              </w:rPr>
              <w:t>25.008 / 41.499</w:t>
            </w:r>
          </w:p>
        </w:tc>
        <w:tc>
          <w:tcPr>
            <w:tcW w:w="1526" w:type="dxa"/>
            <w:shd w:val="clear" w:color="auto" w:fill="EAF0F6"/>
            <w:tcMar>
              <w:top w:w="35" w:type="dxa"/>
              <w:left w:w="40" w:type="dxa"/>
              <w:bottom w:w="35" w:type="dxa"/>
              <w:right w:w="40" w:type="dxa"/>
            </w:tcMar>
            <w:vAlign w:val="center"/>
          </w:tcPr>
          <w:p w14:paraId="522BF8FF" w14:textId="77777777" w:rsidR="00C315A5" w:rsidRDefault="00570C2B">
            <w:pPr>
              <w:jc w:val="center"/>
            </w:pPr>
            <w:r>
              <w:rPr>
                <w:rFonts w:eastAsia="Times New Roman"/>
                <w:sz w:val="15"/>
              </w:rPr>
              <w:t>51.896 / 76.852</w:t>
            </w:r>
          </w:p>
        </w:tc>
        <w:tc>
          <w:tcPr>
            <w:tcW w:w="1526" w:type="dxa"/>
            <w:shd w:val="clear" w:color="auto" w:fill="EAF0F6"/>
            <w:tcMar>
              <w:top w:w="35" w:type="dxa"/>
              <w:left w:w="40" w:type="dxa"/>
              <w:bottom w:w="35" w:type="dxa"/>
              <w:right w:w="40" w:type="dxa"/>
            </w:tcMar>
            <w:vAlign w:val="center"/>
          </w:tcPr>
          <w:p w14:paraId="7BFC1EBB" w14:textId="77777777" w:rsidR="00C315A5" w:rsidRDefault="00570C2B">
            <w:pPr>
              <w:jc w:val="center"/>
            </w:pPr>
            <w:r>
              <w:rPr>
                <w:rFonts w:eastAsia="Times New Roman"/>
                <w:sz w:val="15"/>
              </w:rPr>
              <w:t>48.690 / 67.712</w:t>
            </w:r>
          </w:p>
        </w:tc>
        <w:tc>
          <w:tcPr>
            <w:tcW w:w="1526" w:type="dxa"/>
            <w:shd w:val="clear" w:color="auto" w:fill="EAF0F6"/>
            <w:tcMar>
              <w:top w:w="35" w:type="dxa"/>
              <w:left w:w="40" w:type="dxa"/>
              <w:bottom w:w="35" w:type="dxa"/>
              <w:right w:w="40" w:type="dxa"/>
            </w:tcMar>
            <w:vAlign w:val="center"/>
          </w:tcPr>
          <w:p w14:paraId="1233F2CF" w14:textId="77777777" w:rsidR="00C315A5" w:rsidRDefault="00570C2B">
            <w:pPr>
              <w:jc w:val="center"/>
            </w:pPr>
            <w:r>
              <w:rPr>
                <w:rFonts w:eastAsia="Times New Roman"/>
                <w:sz w:val="15"/>
              </w:rPr>
              <w:t>25.091 / 39.545</w:t>
            </w:r>
          </w:p>
        </w:tc>
        <w:tc>
          <w:tcPr>
            <w:tcW w:w="1526" w:type="dxa"/>
            <w:shd w:val="clear" w:color="auto" w:fill="EAF0F6"/>
            <w:tcMar>
              <w:top w:w="35" w:type="dxa"/>
              <w:left w:w="40" w:type="dxa"/>
              <w:bottom w:w="35" w:type="dxa"/>
              <w:right w:w="40" w:type="dxa"/>
            </w:tcMar>
            <w:vAlign w:val="center"/>
          </w:tcPr>
          <w:p w14:paraId="6DF6A0E0" w14:textId="77777777" w:rsidR="00C315A5" w:rsidRDefault="00570C2B">
            <w:pPr>
              <w:jc w:val="center"/>
            </w:pPr>
            <w:r>
              <w:rPr>
                <w:rFonts w:eastAsia="Times New Roman"/>
                <w:sz w:val="15"/>
              </w:rPr>
              <w:t>45.356 / 70.459</w:t>
            </w:r>
          </w:p>
        </w:tc>
      </w:tr>
      <w:tr w:rsidR="00C315A5" w14:paraId="58D7AE3E" w14:textId="77777777">
        <w:trPr>
          <w:cantSplit/>
          <w:jc w:val="center"/>
        </w:trPr>
        <w:tc>
          <w:tcPr>
            <w:tcW w:w="864" w:type="dxa"/>
            <w:tcMar>
              <w:top w:w="35" w:type="dxa"/>
              <w:left w:w="40" w:type="dxa"/>
              <w:bottom w:w="35" w:type="dxa"/>
              <w:right w:w="40" w:type="dxa"/>
            </w:tcMar>
            <w:vAlign w:val="center"/>
          </w:tcPr>
          <w:p w14:paraId="2C0D127B" w14:textId="77777777" w:rsidR="00C315A5" w:rsidRDefault="00570C2B">
            <w:pPr>
              <w:jc w:val="center"/>
            </w:pPr>
            <w:r>
              <w:rPr>
                <w:rFonts w:eastAsia="Times New Roman"/>
                <w:sz w:val="15"/>
              </w:rPr>
              <w:t>cap</w:t>
            </w:r>
          </w:p>
        </w:tc>
        <w:tc>
          <w:tcPr>
            <w:tcW w:w="792" w:type="dxa"/>
            <w:tcMar>
              <w:top w:w="35" w:type="dxa"/>
              <w:left w:w="40" w:type="dxa"/>
              <w:bottom w:w="35" w:type="dxa"/>
              <w:right w:w="40" w:type="dxa"/>
            </w:tcMar>
            <w:vAlign w:val="center"/>
          </w:tcPr>
          <w:p w14:paraId="0C8ACBDC" w14:textId="77777777" w:rsidR="00C315A5" w:rsidRDefault="00570C2B">
            <w:pPr>
              <w:jc w:val="center"/>
            </w:pPr>
            <w:r>
              <w:rPr>
                <w:rFonts w:eastAsia="Times New Roman"/>
                <w:sz w:val="15"/>
              </w:rPr>
              <w:t>3 days</w:t>
            </w:r>
          </w:p>
        </w:tc>
        <w:tc>
          <w:tcPr>
            <w:tcW w:w="878" w:type="dxa"/>
            <w:tcMar>
              <w:top w:w="35" w:type="dxa"/>
              <w:left w:w="40" w:type="dxa"/>
              <w:bottom w:w="35" w:type="dxa"/>
              <w:right w:w="40" w:type="dxa"/>
            </w:tcMar>
            <w:vAlign w:val="center"/>
          </w:tcPr>
          <w:p w14:paraId="43BB5BDD" w14:textId="77777777" w:rsidR="00C315A5" w:rsidRDefault="00570C2B">
            <w:pPr>
              <w:jc w:val="center"/>
            </w:pPr>
            <w:r>
              <w:rPr>
                <w:rFonts w:eastAsia="Times New Roman"/>
                <w:sz w:val="15"/>
              </w:rPr>
              <w:t>5,162</w:t>
            </w:r>
          </w:p>
        </w:tc>
        <w:tc>
          <w:tcPr>
            <w:tcW w:w="1526" w:type="dxa"/>
            <w:tcMar>
              <w:top w:w="35" w:type="dxa"/>
              <w:left w:w="40" w:type="dxa"/>
              <w:bottom w:w="35" w:type="dxa"/>
              <w:right w:w="40" w:type="dxa"/>
            </w:tcMar>
            <w:vAlign w:val="center"/>
          </w:tcPr>
          <w:p w14:paraId="05BFF5D2" w14:textId="77777777" w:rsidR="00C315A5" w:rsidRDefault="00570C2B">
            <w:pPr>
              <w:jc w:val="center"/>
            </w:pPr>
            <w:r>
              <w:rPr>
                <w:rFonts w:eastAsia="Times New Roman"/>
                <w:sz w:val="15"/>
              </w:rPr>
              <w:t>40.261 / 63.197</w:t>
            </w:r>
          </w:p>
        </w:tc>
        <w:tc>
          <w:tcPr>
            <w:tcW w:w="1526" w:type="dxa"/>
            <w:tcMar>
              <w:top w:w="35" w:type="dxa"/>
              <w:left w:w="40" w:type="dxa"/>
              <w:bottom w:w="35" w:type="dxa"/>
              <w:right w:w="40" w:type="dxa"/>
            </w:tcMar>
            <w:vAlign w:val="center"/>
          </w:tcPr>
          <w:p w14:paraId="3046262C" w14:textId="77777777" w:rsidR="00C315A5" w:rsidRDefault="00570C2B">
            <w:pPr>
              <w:jc w:val="center"/>
            </w:pPr>
            <w:r>
              <w:rPr>
                <w:rFonts w:eastAsia="Times New Roman"/>
                <w:sz w:val="15"/>
              </w:rPr>
              <w:t>51.559 / 76.274</w:t>
            </w:r>
          </w:p>
        </w:tc>
        <w:tc>
          <w:tcPr>
            <w:tcW w:w="1526" w:type="dxa"/>
            <w:tcMar>
              <w:top w:w="35" w:type="dxa"/>
              <w:left w:w="40" w:type="dxa"/>
              <w:bottom w:w="35" w:type="dxa"/>
              <w:right w:w="40" w:type="dxa"/>
            </w:tcMar>
            <w:vAlign w:val="center"/>
          </w:tcPr>
          <w:p w14:paraId="0E333842" w14:textId="77777777" w:rsidR="00C315A5" w:rsidRDefault="00570C2B">
            <w:pPr>
              <w:jc w:val="center"/>
            </w:pPr>
            <w:r>
              <w:rPr>
                <w:rFonts w:eastAsia="Times New Roman"/>
                <w:sz w:val="15"/>
              </w:rPr>
              <w:t>48.313 / 67.042</w:t>
            </w:r>
          </w:p>
        </w:tc>
        <w:tc>
          <w:tcPr>
            <w:tcW w:w="1526" w:type="dxa"/>
            <w:tcMar>
              <w:top w:w="35" w:type="dxa"/>
              <w:left w:w="40" w:type="dxa"/>
              <w:bottom w:w="35" w:type="dxa"/>
              <w:right w:w="40" w:type="dxa"/>
            </w:tcMar>
            <w:vAlign w:val="center"/>
          </w:tcPr>
          <w:p w14:paraId="5E020062" w14:textId="77777777" w:rsidR="00C315A5" w:rsidRDefault="00570C2B">
            <w:pPr>
              <w:jc w:val="center"/>
            </w:pPr>
            <w:r>
              <w:rPr>
                <w:rFonts w:eastAsia="Times New Roman"/>
                <w:sz w:val="15"/>
              </w:rPr>
              <w:t>38.055 / 55.819</w:t>
            </w:r>
          </w:p>
        </w:tc>
        <w:tc>
          <w:tcPr>
            <w:tcW w:w="1526" w:type="dxa"/>
            <w:tcMar>
              <w:top w:w="35" w:type="dxa"/>
              <w:left w:w="40" w:type="dxa"/>
              <w:bottom w:w="35" w:type="dxa"/>
              <w:right w:w="40" w:type="dxa"/>
            </w:tcMar>
            <w:vAlign w:val="center"/>
          </w:tcPr>
          <w:p w14:paraId="0DD5A997" w14:textId="77777777" w:rsidR="00C315A5" w:rsidRDefault="00570C2B">
            <w:pPr>
              <w:jc w:val="center"/>
            </w:pPr>
            <w:r>
              <w:rPr>
                <w:rFonts w:eastAsia="Times New Roman"/>
                <w:sz w:val="15"/>
              </w:rPr>
              <w:t>45.017 / 69.948</w:t>
            </w:r>
          </w:p>
        </w:tc>
      </w:tr>
      <w:tr w:rsidR="00C315A5" w14:paraId="57C5FC22" w14:textId="77777777">
        <w:trPr>
          <w:cantSplit/>
          <w:jc w:val="center"/>
        </w:trPr>
        <w:tc>
          <w:tcPr>
            <w:tcW w:w="864" w:type="dxa"/>
            <w:shd w:val="clear" w:color="auto" w:fill="EAF0F6"/>
            <w:tcMar>
              <w:top w:w="35" w:type="dxa"/>
              <w:left w:w="40" w:type="dxa"/>
              <w:bottom w:w="35" w:type="dxa"/>
              <w:right w:w="40" w:type="dxa"/>
            </w:tcMar>
            <w:vAlign w:val="center"/>
          </w:tcPr>
          <w:p w14:paraId="654456B0" w14:textId="77777777" w:rsidR="00C315A5" w:rsidRDefault="00570C2B">
            <w:pPr>
              <w:jc w:val="center"/>
            </w:pPr>
            <w:r>
              <w:rPr>
                <w:rFonts w:eastAsia="Times New Roman"/>
                <w:sz w:val="15"/>
              </w:rPr>
              <w:t>cap</w:t>
            </w:r>
          </w:p>
        </w:tc>
        <w:tc>
          <w:tcPr>
            <w:tcW w:w="792" w:type="dxa"/>
            <w:shd w:val="clear" w:color="auto" w:fill="EAF0F6"/>
            <w:tcMar>
              <w:top w:w="35" w:type="dxa"/>
              <w:left w:w="40" w:type="dxa"/>
              <w:bottom w:w="35" w:type="dxa"/>
              <w:right w:w="40" w:type="dxa"/>
            </w:tcMar>
            <w:vAlign w:val="center"/>
          </w:tcPr>
          <w:p w14:paraId="09BE99CC" w14:textId="77777777" w:rsidR="00C315A5" w:rsidRDefault="00570C2B">
            <w:pPr>
              <w:jc w:val="center"/>
            </w:pPr>
            <w:r>
              <w:rPr>
                <w:rFonts w:eastAsia="Times New Roman"/>
                <w:sz w:val="15"/>
              </w:rPr>
              <w:t>7 days</w:t>
            </w:r>
          </w:p>
        </w:tc>
        <w:tc>
          <w:tcPr>
            <w:tcW w:w="878" w:type="dxa"/>
            <w:shd w:val="clear" w:color="auto" w:fill="EAF0F6"/>
            <w:tcMar>
              <w:top w:w="35" w:type="dxa"/>
              <w:left w:w="40" w:type="dxa"/>
              <w:bottom w:w="35" w:type="dxa"/>
              <w:right w:w="40" w:type="dxa"/>
            </w:tcMar>
            <w:vAlign w:val="center"/>
          </w:tcPr>
          <w:p w14:paraId="701EE440" w14:textId="77777777" w:rsidR="00C315A5" w:rsidRDefault="00570C2B">
            <w:pPr>
              <w:jc w:val="center"/>
            </w:pPr>
            <w:r>
              <w:rPr>
                <w:rFonts w:eastAsia="Times New Roman"/>
                <w:sz w:val="15"/>
              </w:rPr>
              <w:t>5,201</w:t>
            </w:r>
          </w:p>
        </w:tc>
        <w:tc>
          <w:tcPr>
            <w:tcW w:w="1526" w:type="dxa"/>
            <w:shd w:val="clear" w:color="auto" w:fill="EAF0F6"/>
            <w:tcMar>
              <w:top w:w="35" w:type="dxa"/>
              <w:left w:w="40" w:type="dxa"/>
              <w:bottom w:w="35" w:type="dxa"/>
              <w:right w:w="40" w:type="dxa"/>
            </w:tcMar>
            <w:vAlign w:val="center"/>
          </w:tcPr>
          <w:p w14:paraId="6C274D7B" w14:textId="77777777" w:rsidR="00C315A5" w:rsidRDefault="00570C2B">
            <w:pPr>
              <w:jc w:val="center"/>
            </w:pPr>
            <w:r>
              <w:rPr>
                <w:rFonts w:eastAsia="Times New Roman"/>
                <w:sz w:val="15"/>
              </w:rPr>
              <w:t>45.167 / 70.194</w:t>
            </w:r>
          </w:p>
        </w:tc>
        <w:tc>
          <w:tcPr>
            <w:tcW w:w="1526" w:type="dxa"/>
            <w:shd w:val="clear" w:color="auto" w:fill="EAF0F6"/>
            <w:tcMar>
              <w:top w:w="35" w:type="dxa"/>
              <w:left w:w="40" w:type="dxa"/>
              <w:bottom w:w="35" w:type="dxa"/>
              <w:right w:w="40" w:type="dxa"/>
            </w:tcMar>
            <w:vAlign w:val="center"/>
          </w:tcPr>
          <w:p w14:paraId="3AD4469E" w14:textId="77777777" w:rsidR="00C315A5" w:rsidRDefault="00570C2B">
            <w:pPr>
              <w:jc w:val="center"/>
            </w:pPr>
            <w:r>
              <w:rPr>
                <w:rFonts w:eastAsia="Times New Roman"/>
                <w:sz w:val="15"/>
              </w:rPr>
              <w:t>51.890 / 76.919</w:t>
            </w:r>
          </w:p>
        </w:tc>
        <w:tc>
          <w:tcPr>
            <w:tcW w:w="1526" w:type="dxa"/>
            <w:shd w:val="clear" w:color="auto" w:fill="EAF0F6"/>
            <w:tcMar>
              <w:top w:w="35" w:type="dxa"/>
              <w:left w:w="40" w:type="dxa"/>
              <w:bottom w:w="35" w:type="dxa"/>
              <w:right w:w="40" w:type="dxa"/>
            </w:tcMar>
            <w:vAlign w:val="center"/>
          </w:tcPr>
          <w:p w14:paraId="7CA5FAA1" w14:textId="77777777" w:rsidR="00C315A5" w:rsidRDefault="00570C2B">
            <w:pPr>
              <w:jc w:val="center"/>
            </w:pPr>
            <w:r>
              <w:rPr>
                <w:rFonts w:eastAsia="Times New Roman"/>
                <w:sz w:val="15"/>
              </w:rPr>
              <w:t>48.591 / 67.689</w:t>
            </w:r>
          </w:p>
        </w:tc>
        <w:tc>
          <w:tcPr>
            <w:tcW w:w="1526" w:type="dxa"/>
            <w:shd w:val="clear" w:color="auto" w:fill="EAF0F6"/>
            <w:tcMar>
              <w:top w:w="35" w:type="dxa"/>
              <w:left w:w="40" w:type="dxa"/>
              <w:bottom w:w="35" w:type="dxa"/>
              <w:right w:w="40" w:type="dxa"/>
            </w:tcMar>
            <w:vAlign w:val="center"/>
          </w:tcPr>
          <w:p w14:paraId="068CED86" w14:textId="77777777" w:rsidR="00C315A5" w:rsidRDefault="00570C2B">
            <w:pPr>
              <w:jc w:val="center"/>
            </w:pPr>
            <w:r>
              <w:rPr>
                <w:rFonts w:eastAsia="Times New Roman"/>
                <w:sz w:val="15"/>
              </w:rPr>
              <w:t>42.021 / 60.915</w:t>
            </w:r>
          </w:p>
        </w:tc>
        <w:tc>
          <w:tcPr>
            <w:tcW w:w="1526" w:type="dxa"/>
            <w:shd w:val="clear" w:color="auto" w:fill="EAF0F6"/>
            <w:tcMar>
              <w:top w:w="35" w:type="dxa"/>
              <w:left w:w="40" w:type="dxa"/>
              <w:bottom w:w="35" w:type="dxa"/>
              <w:right w:w="40" w:type="dxa"/>
            </w:tcMar>
            <w:vAlign w:val="center"/>
          </w:tcPr>
          <w:p w14:paraId="6780EB0B" w14:textId="77777777" w:rsidR="00C315A5" w:rsidRDefault="00570C2B">
            <w:pPr>
              <w:jc w:val="center"/>
            </w:pPr>
            <w:r>
              <w:rPr>
                <w:rFonts w:eastAsia="Times New Roman"/>
                <w:sz w:val="15"/>
              </w:rPr>
              <w:t>—</w:t>
            </w:r>
          </w:p>
        </w:tc>
      </w:tr>
    </w:tbl>
    <w:p w14:paraId="616676D9" w14:textId="77777777" w:rsidR="00C315A5" w:rsidRDefault="00C315A5">
      <w:pPr>
        <w:spacing w:line="20" w:lineRule="exact"/>
        <w:sectPr w:rsidR="00C315A5">
          <w:type w:val="continuous"/>
          <w:pgSz w:w="12240" w:h="15840"/>
          <w:pgMar w:top="979" w:right="979" w:bottom="979" w:left="979" w:header="720" w:footer="720" w:gutter="0"/>
          <w:cols w:space="360"/>
          <w:docGrid w:linePitch="360"/>
        </w:sectPr>
      </w:pPr>
    </w:p>
    <w:p w14:paraId="32EA3C26" w14:textId="77777777" w:rsidR="00C315A5" w:rsidRDefault="00570C2B">
      <w:pPr>
        <w:pStyle w:val="Heading2"/>
        <w:spacing w:before="80" w:after="40"/>
      </w:pPr>
      <w:r>
        <w:rPr>
          <w:rFonts w:ascii="Times New Roman" w:eastAsia="Times New Roman" w:hAnsi="Times New Roman"/>
          <w:sz w:val="17"/>
        </w:rPr>
        <w:t>C. Native prediction coverage</w:t>
      </w:r>
    </w:p>
    <w:p w14:paraId="5F12450F" w14:textId="77777777" w:rsidR="00C315A5" w:rsidRDefault="00570C2B">
      <w:pPr>
        <w:pStyle w:val="BodyText"/>
        <w:spacing w:after="50"/>
        <w:ind w:firstLine="173"/>
      </w:pPr>
      <w:r>
        <w:rPr>
          <w:rFonts w:eastAsia="Times New Roman"/>
          <w:sz w:val="17"/>
        </w:rPr>
        <w:t xml:space="preserve">Table IV reports available predictions divided by valid target labels, with the coverage proportion in parentheses. The valid-target </w:t>
      </w:r>
      <w:r>
        <w:rPr>
          <w:rFonts w:eastAsia="Times New Roman"/>
          <w:sz w:val="17"/>
        </w:rPr>
        <w:t>denominator is 6,915 for exclude and 7,071 for cap at each horizon in this run.</w:t>
      </w:r>
    </w:p>
    <w:p w14:paraId="5AF046AF" w14:textId="77777777" w:rsidR="00C315A5" w:rsidRDefault="00C315A5">
      <w:pPr>
        <w:spacing w:line="20" w:lineRule="exact"/>
        <w:sectPr w:rsidR="00C315A5">
          <w:type w:val="continuous"/>
          <w:pgSz w:w="12240" w:h="15840"/>
          <w:pgMar w:top="979" w:right="979" w:bottom="979" w:left="979" w:header="720" w:footer="720" w:gutter="0"/>
          <w:cols w:num="2" w:space="360"/>
          <w:docGrid w:linePitch="360"/>
        </w:sectPr>
      </w:pPr>
    </w:p>
    <w:p w14:paraId="4ED4998A" w14:textId="77777777" w:rsidR="00C315A5" w:rsidRDefault="00570C2B">
      <w:pPr>
        <w:keepNext/>
        <w:keepLines/>
        <w:spacing w:before="80" w:after="60"/>
        <w:jc w:val="center"/>
      </w:pPr>
      <w:r>
        <w:rPr>
          <w:rFonts w:eastAsia="Times New Roman"/>
          <w:b/>
          <w:sz w:val="16"/>
        </w:rPr>
        <w:t>TABLE IV. 2019 SELECTION-STAGE NATIVE PREDICTION COVERAGE</w:t>
      </w:r>
    </w:p>
    <w:tbl>
      <w:tblPr>
        <w:tblStyle w:val="TableGrid"/>
        <w:tblW w:w="0" w:type="auto"/>
        <w:jc w:val="center"/>
        <w:tblLayout w:type="fixed"/>
        <w:tblLook w:val="04A0" w:firstRow="1" w:lastRow="0" w:firstColumn="1" w:lastColumn="0" w:noHBand="0" w:noVBand="1"/>
      </w:tblPr>
      <w:tblGrid>
        <w:gridCol w:w="893"/>
        <w:gridCol w:w="792"/>
        <w:gridCol w:w="1699"/>
        <w:gridCol w:w="1699"/>
        <w:gridCol w:w="1699"/>
        <w:gridCol w:w="1699"/>
        <w:gridCol w:w="1699"/>
      </w:tblGrid>
      <w:tr w:rsidR="00C315A5" w14:paraId="54D651BA" w14:textId="77777777">
        <w:trPr>
          <w:cantSplit/>
          <w:tblHeader/>
          <w:jc w:val="center"/>
        </w:trPr>
        <w:tc>
          <w:tcPr>
            <w:tcW w:w="893" w:type="dxa"/>
            <w:shd w:val="clear" w:color="auto" w:fill="1F4E78"/>
            <w:tcMar>
              <w:top w:w="35" w:type="dxa"/>
              <w:left w:w="40" w:type="dxa"/>
              <w:bottom w:w="35" w:type="dxa"/>
              <w:right w:w="40" w:type="dxa"/>
            </w:tcMar>
            <w:vAlign w:val="center"/>
          </w:tcPr>
          <w:p w14:paraId="4D132789" w14:textId="77777777" w:rsidR="00C315A5" w:rsidRDefault="00570C2B">
            <w:pPr>
              <w:jc w:val="center"/>
            </w:pPr>
            <w:r>
              <w:rPr>
                <w:rFonts w:eastAsia="Times New Roman"/>
                <w:b/>
                <w:color w:val="FFFFFF"/>
                <w:sz w:val="15"/>
              </w:rPr>
              <w:t>Policy</w:t>
            </w:r>
          </w:p>
        </w:tc>
        <w:tc>
          <w:tcPr>
            <w:tcW w:w="792" w:type="dxa"/>
            <w:shd w:val="clear" w:color="auto" w:fill="1F4E78"/>
            <w:tcMar>
              <w:top w:w="35" w:type="dxa"/>
              <w:left w:w="40" w:type="dxa"/>
              <w:bottom w:w="35" w:type="dxa"/>
              <w:right w:w="40" w:type="dxa"/>
            </w:tcMar>
            <w:vAlign w:val="center"/>
          </w:tcPr>
          <w:p w14:paraId="72E09BE4" w14:textId="77777777" w:rsidR="00C315A5" w:rsidRDefault="00570C2B">
            <w:pPr>
              <w:jc w:val="center"/>
            </w:pPr>
            <w:r>
              <w:rPr>
                <w:rFonts w:eastAsia="Times New Roman"/>
                <w:b/>
                <w:color w:val="FFFFFF"/>
                <w:sz w:val="15"/>
              </w:rPr>
              <w:t>Horizon</w:t>
            </w:r>
          </w:p>
        </w:tc>
        <w:tc>
          <w:tcPr>
            <w:tcW w:w="1699" w:type="dxa"/>
            <w:shd w:val="clear" w:color="auto" w:fill="1F4E78"/>
            <w:tcMar>
              <w:top w:w="35" w:type="dxa"/>
              <w:left w:w="40" w:type="dxa"/>
              <w:bottom w:w="35" w:type="dxa"/>
              <w:right w:w="40" w:type="dxa"/>
            </w:tcMar>
            <w:vAlign w:val="center"/>
          </w:tcPr>
          <w:p w14:paraId="2DC973F6" w14:textId="77777777" w:rsidR="00C315A5" w:rsidRDefault="00570C2B">
            <w:pPr>
              <w:jc w:val="center"/>
            </w:pPr>
            <w:r>
              <w:rPr>
                <w:rFonts w:eastAsia="Times New Roman"/>
                <w:b/>
                <w:color w:val="FFFFFF"/>
                <w:sz w:val="15"/>
              </w:rPr>
              <w:t>Persistence</w:t>
            </w:r>
          </w:p>
        </w:tc>
        <w:tc>
          <w:tcPr>
            <w:tcW w:w="1699" w:type="dxa"/>
            <w:shd w:val="clear" w:color="auto" w:fill="1F4E78"/>
            <w:tcMar>
              <w:top w:w="35" w:type="dxa"/>
              <w:left w:w="40" w:type="dxa"/>
              <w:bottom w:w="35" w:type="dxa"/>
              <w:right w:w="40" w:type="dxa"/>
            </w:tcMar>
            <w:vAlign w:val="center"/>
          </w:tcPr>
          <w:p w14:paraId="24728135" w14:textId="77777777" w:rsidR="00C315A5" w:rsidRDefault="00570C2B">
            <w:pPr>
              <w:jc w:val="center"/>
            </w:pPr>
            <w:r>
              <w:rPr>
                <w:rFonts w:eastAsia="Times New Roman"/>
                <w:b/>
                <w:color w:val="FFFFFF"/>
                <w:sz w:val="15"/>
              </w:rPr>
              <w:t>Annual seasonal-naïve</w:t>
            </w:r>
          </w:p>
        </w:tc>
        <w:tc>
          <w:tcPr>
            <w:tcW w:w="1699" w:type="dxa"/>
            <w:shd w:val="clear" w:color="auto" w:fill="1F4E78"/>
            <w:tcMar>
              <w:top w:w="35" w:type="dxa"/>
              <w:left w:w="40" w:type="dxa"/>
              <w:bottom w:w="35" w:type="dxa"/>
              <w:right w:w="40" w:type="dxa"/>
            </w:tcMar>
            <w:vAlign w:val="center"/>
          </w:tcPr>
          <w:p w14:paraId="57D383C0" w14:textId="77777777" w:rsidR="00C315A5" w:rsidRDefault="00570C2B">
            <w:pPr>
              <w:jc w:val="center"/>
            </w:pPr>
            <w:r>
              <w:rPr>
                <w:rFonts w:eastAsia="Times New Roman"/>
                <w:b/>
                <w:color w:val="FFFFFF"/>
                <w:sz w:val="15"/>
              </w:rPr>
              <w:t>Climatology</w:t>
            </w:r>
          </w:p>
        </w:tc>
        <w:tc>
          <w:tcPr>
            <w:tcW w:w="1699" w:type="dxa"/>
            <w:shd w:val="clear" w:color="auto" w:fill="1F4E78"/>
            <w:tcMar>
              <w:top w:w="35" w:type="dxa"/>
              <w:left w:w="40" w:type="dxa"/>
              <w:bottom w:w="35" w:type="dxa"/>
              <w:right w:w="40" w:type="dxa"/>
            </w:tcMar>
            <w:vAlign w:val="center"/>
          </w:tcPr>
          <w:p w14:paraId="6872511D" w14:textId="77777777" w:rsidR="00C315A5" w:rsidRDefault="00570C2B">
            <w:pPr>
              <w:jc w:val="center"/>
            </w:pPr>
            <w:r>
              <w:rPr>
                <w:rFonts w:eastAsia="Times New Roman"/>
                <w:b/>
                <w:color w:val="FFFFFF"/>
                <w:sz w:val="15"/>
              </w:rPr>
              <w:t>Ridge</w:t>
            </w:r>
          </w:p>
        </w:tc>
        <w:tc>
          <w:tcPr>
            <w:tcW w:w="1699" w:type="dxa"/>
            <w:shd w:val="clear" w:color="auto" w:fill="1F4E78"/>
            <w:tcMar>
              <w:top w:w="35" w:type="dxa"/>
              <w:left w:w="40" w:type="dxa"/>
              <w:bottom w:w="35" w:type="dxa"/>
              <w:right w:w="40" w:type="dxa"/>
            </w:tcMar>
            <w:vAlign w:val="center"/>
          </w:tcPr>
          <w:p w14:paraId="049EA2C0" w14:textId="77777777" w:rsidR="00C315A5" w:rsidRDefault="00570C2B">
            <w:pPr>
              <w:jc w:val="center"/>
            </w:pPr>
            <w:r>
              <w:rPr>
                <w:rFonts w:eastAsia="Times New Roman"/>
                <w:b/>
                <w:color w:val="FFFFFF"/>
                <w:sz w:val="15"/>
              </w:rPr>
              <w:t>Weekly seasonal-naïve</w:t>
            </w:r>
          </w:p>
        </w:tc>
      </w:tr>
      <w:tr w:rsidR="00C315A5" w14:paraId="304827F7" w14:textId="77777777">
        <w:trPr>
          <w:cantSplit/>
          <w:jc w:val="center"/>
        </w:trPr>
        <w:tc>
          <w:tcPr>
            <w:tcW w:w="893" w:type="dxa"/>
            <w:tcMar>
              <w:top w:w="35" w:type="dxa"/>
              <w:left w:w="40" w:type="dxa"/>
              <w:bottom w:w="35" w:type="dxa"/>
              <w:right w:w="40" w:type="dxa"/>
            </w:tcMar>
            <w:vAlign w:val="center"/>
          </w:tcPr>
          <w:p w14:paraId="3D0A2C54" w14:textId="77777777" w:rsidR="00C315A5" w:rsidRDefault="00570C2B">
            <w:pPr>
              <w:jc w:val="center"/>
            </w:pPr>
            <w:r>
              <w:rPr>
                <w:rFonts w:eastAsia="Times New Roman"/>
                <w:sz w:val="15"/>
              </w:rPr>
              <w:t>exclude</w:t>
            </w:r>
          </w:p>
        </w:tc>
        <w:tc>
          <w:tcPr>
            <w:tcW w:w="792" w:type="dxa"/>
            <w:tcMar>
              <w:top w:w="35" w:type="dxa"/>
              <w:left w:w="40" w:type="dxa"/>
              <w:bottom w:w="35" w:type="dxa"/>
              <w:right w:w="40" w:type="dxa"/>
            </w:tcMar>
            <w:vAlign w:val="center"/>
          </w:tcPr>
          <w:p w14:paraId="4A537199" w14:textId="77777777" w:rsidR="00C315A5" w:rsidRDefault="00570C2B">
            <w:pPr>
              <w:jc w:val="center"/>
            </w:pPr>
            <w:r>
              <w:rPr>
                <w:rFonts w:eastAsia="Times New Roman"/>
                <w:sz w:val="15"/>
              </w:rPr>
              <w:t>1 day</w:t>
            </w:r>
          </w:p>
        </w:tc>
        <w:tc>
          <w:tcPr>
            <w:tcW w:w="1699" w:type="dxa"/>
            <w:tcMar>
              <w:top w:w="35" w:type="dxa"/>
              <w:left w:w="40" w:type="dxa"/>
              <w:bottom w:w="35" w:type="dxa"/>
              <w:right w:w="40" w:type="dxa"/>
            </w:tcMar>
            <w:vAlign w:val="center"/>
          </w:tcPr>
          <w:p w14:paraId="7E39E7AD" w14:textId="77777777" w:rsidR="00C315A5" w:rsidRDefault="00570C2B">
            <w:pPr>
              <w:jc w:val="center"/>
            </w:pPr>
            <w:r>
              <w:rPr>
                <w:rFonts w:eastAsia="Times New Roman"/>
                <w:sz w:val="15"/>
              </w:rPr>
              <w:t>6,741/6,915 (0.975)</w:t>
            </w:r>
          </w:p>
        </w:tc>
        <w:tc>
          <w:tcPr>
            <w:tcW w:w="1699" w:type="dxa"/>
            <w:tcMar>
              <w:top w:w="35" w:type="dxa"/>
              <w:left w:w="40" w:type="dxa"/>
              <w:bottom w:w="35" w:type="dxa"/>
              <w:right w:w="40" w:type="dxa"/>
            </w:tcMar>
            <w:vAlign w:val="center"/>
          </w:tcPr>
          <w:p w14:paraId="0E79C3AC" w14:textId="77777777" w:rsidR="00C315A5" w:rsidRDefault="00570C2B">
            <w:pPr>
              <w:jc w:val="center"/>
            </w:pPr>
            <w:r>
              <w:rPr>
                <w:rFonts w:eastAsia="Times New Roman"/>
                <w:sz w:val="15"/>
              </w:rPr>
              <w:t>5,252/6,915 (0.760)</w:t>
            </w:r>
          </w:p>
        </w:tc>
        <w:tc>
          <w:tcPr>
            <w:tcW w:w="1699" w:type="dxa"/>
            <w:tcMar>
              <w:top w:w="35" w:type="dxa"/>
              <w:left w:w="40" w:type="dxa"/>
              <w:bottom w:w="35" w:type="dxa"/>
              <w:right w:w="40" w:type="dxa"/>
            </w:tcMar>
            <w:vAlign w:val="center"/>
          </w:tcPr>
          <w:p w14:paraId="70545FA5" w14:textId="77777777" w:rsidR="00C315A5" w:rsidRDefault="00570C2B">
            <w:pPr>
              <w:jc w:val="center"/>
            </w:pPr>
            <w:r>
              <w:rPr>
                <w:rFonts w:eastAsia="Times New Roman"/>
                <w:sz w:val="15"/>
              </w:rPr>
              <w:t>6,915/6,915 (1.000)</w:t>
            </w:r>
          </w:p>
        </w:tc>
        <w:tc>
          <w:tcPr>
            <w:tcW w:w="1699" w:type="dxa"/>
            <w:tcMar>
              <w:top w:w="35" w:type="dxa"/>
              <w:left w:w="40" w:type="dxa"/>
              <w:bottom w:w="35" w:type="dxa"/>
              <w:right w:w="40" w:type="dxa"/>
            </w:tcMar>
            <w:vAlign w:val="center"/>
          </w:tcPr>
          <w:p w14:paraId="6FE625B0" w14:textId="77777777" w:rsidR="00C315A5" w:rsidRDefault="00570C2B">
            <w:pPr>
              <w:jc w:val="center"/>
            </w:pPr>
            <w:r>
              <w:rPr>
                <w:rFonts w:eastAsia="Times New Roman"/>
                <w:sz w:val="15"/>
              </w:rPr>
              <w:t>6,331/6,915 (0.916)</w:t>
            </w:r>
          </w:p>
        </w:tc>
        <w:tc>
          <w:tcPr>
            <w:tcW w:w="1699" w:type="dxa"/>
            <w:tcMar>
              <w:top w:w="35" w:type="dxa"/>
              <w:left w:w="40" w:type="dxa"/>
              <w:bottom w:w="35" w:type="dxa"/>
              <w:right w:w="40" w:type="dxa"/>
            </w:tcMar>
            <w:vAlign w:val="center"/>
          </w:tcPr>
          <w:p w14:paraId="6B40CEBD" w14:textId="77777777" w:rsidR="00C315A5" w:rsidRDefault="00570C2B">
            <w:pPr>
              <w:jc w:val="center"/>
            </w:pPr>
            <w:r>
              <w:rPr>
                <w:rFonts w:eastAsia="Times New Roman"/>
                <w:sz w:val="15"/>
              </w:rPr>
              <w:t>6,583/6,915 (0.952)</w:t>
            </w:r>
          </w:p>
        </w:tc>
      </w:tr>
      <w:tr w:rsidR="00C315A5" w14:paraId="4C70D6C3" w14:textId="77777777">
        <w:trPr>
          <w:cantSplit/>
          <w:jc w:val="center"/>
        </w:trPr>
        <w:tc>
          <w:tcPr>
            <w:tcW w:w="893" w:type="dxa"/>
            <w:shd w:val="clear" w:color="auto" w:fill="EAF0F6"/>
            <w:tcMar>
              <w:top w:w="35" w:type="dxa"/>
              <w:left w:w="40" w:type="dxa"/>
              <w:bottom w:w="35" w:type="dxa"/>
              <w:right w:w="40" w:type="dxa"/>
            </w:tcMar>
            <w:vAlign w:val="center"/>
          </w:tcPr>
          <w:p w14:paraId="5B31F995" w14:textId="77777777" w:rsidR="00C315A5" w:rsidRDefault="00570C2B">
            <w:pPr>
              <w:jc w:val="center"/>
            </w:pPr>
            <w:r>
              <w:rPr>
                <w:rFonts w:eastAsia="Times New Roman"/>
                <w:sz w:val="15"/>
              </w:rPr>
              <w:t>exclude</w:t>
            </w:r>
          </w:p>
        </w:tc>
        <w:tc>
          <w:tcPr>
            <w:tcW w:w="792" w:type="dxa"/>
            <w:shd w:val="clear" w:color="auto" w:fill="EAF0F6"/>
            <w:tcMar>
              <w:top w:w="35" w:type="dxa"/>
              <w:left w:w="40" w:type="dxa"/>
              <w:bottom w:w="35" w:type="dxa"/>
              <w:right w:w="40" w:type="dxa"/>
            </w:tcMar>
            <w:vAlign w:val="center"/>
          </w:tcPr>
          <w:p w14:paraId="2740B494" w14:textId="77777777" w:rsidR="00C315A5" w:rsidRDefault="00570C2B">
            <w:pPr>
              <w:jc w:val="center"/>
            </w:pPr>
            <w:r>
              <w:rPr>
                <w:rFonts w:eastAsia="Times New Roman"/>
                <w:sz w:val="15"/>
              </w:rPr>
              <w:t>3 days</w:t>
            </w:r>
          </w:p>
        </w:tc>
        <w:tc>
          <w:tcPr>
            <w:tcW w:w="1699" w:type="dxa"/>
            <w:shd w:val="clear" w:color="auto" w:fill="EAF0F6"/>
            <w:tcMar>
              <w:top w:w="35" w:type="dxa"/>
              <w:left w:w="40" w:type="dxa"/>
              <w:bottom w:w="35" w:type="dxa"/>
              <w:right w:w="40" w:type="dxa"/>
            </w:tcMar>
            <w:vAlign w:val="center"/>
          </w:tcPr>
          <w:p w14:paraId="785C575F" w14:textId="77777777" w:rsidR="00C315A5" w:rsidRDefault="00570C2B">
            <w:pPr>
              <w:jc w:val="center"/>
            </w:pPr>
            <w:r>
              <w:rPr>
                <w:rFonts w:eastAsia="Times New Roman"/>
                <w:sz w:val="15"/>
              </w:rPr>
              <w:t>6,642/6,915 (0.961)</w:t>
            </w:r>
          </w:p>
        </w:tc>
        <w:tc>
          <w:tcPr>
            <w:tcW w:w="1699" w:type="dxa"/>
            <w:shd w:val="clear" w:color="auto" w:fill="EAF0F6"/>
            <w:tcMar>
              <w:top w:w="35" w:type="dxa"/>
              <w:left w:w="40" w:type="dxa"/>
              <w:bottom w:w="35" w:type="dxa"/>
              <w:right w:w="40" w:type="dxa"/>
            </w:tcMar>
            <w:vAlign w:val="center"/>
          </w:tcPr>
          <w:p w14:paraId="0990CDE7" w14:textId="77777777" w:rsidR="00C315A5" w:rsidRDefault="00570C2B">
            <w:pPr>
              <w:jc w:val="center"/>
            </w:pPr>
            <w:r>
              <w:rPr>
                <w:rFonts w:eastAsia="Times New Roman"/>
                <w:sz w:val="15"/>
              </w:rPr>
              <w:t>5,252/6,915 (0.760)</w:t>
            </w:r>
          </w:p>
        </w:tc>
        <w:tc>
          <w:tcPr>
            <w:tcW w:w="1699" w:type="dxa"/>
            <w:shd w:val="clear" w:color="auto" w:fill="EAF0F6"/>
            <w:tcMar>
              <w:top w:w="35" w:type="dxa"/>
              <w:left w:w="40" w:type="dxa"/>
              <w:bottom w:w="35" w:type="dxa"/>
              <w:right w:w="40" w:type="dxa"/>
            </w:tcMar>
            <w:vAlign w:val="center"/>
          </w:tcPr>
          <w:p w14:paraId="1337CA19" w14:textId="77777777" w:rsidR="00C315A5" w:rsidRDefault="00570C2B">
            <w:pPr>
              <w:jc w:val="center"/>
            </w:pPr>
            <w:r>
              <w:rPr>
                <w:rFonts w:eastAsia="Times New Roman"/>
                <w:sz w:val="15"/>
              </w:rPr>
              <w:t>6,915/6,915 (1.000)</w:t>
            </w:r>
          </w:p>
        </w:tc>
        <w:tc>
          <w:tcPr>
            <w:tcW w:w="1699" w:type="dxa"/>
            <w:shd w:val="clear" w:color="auto" w:fill="EAF0F6"/>
            <w:tcMar>
              <w:top w:w="35" w:type="dxa"/>
              <w:left w:w="40" w:type="dxa"/>
              <w:bottom w:w="35" w:type="dxa"/>
              <w:right w:w="40" w:type="dxa"/>
            </w:tcMar>
            <w:vAlign w:val="center"/>
          </w:tcPr>
          <w:p w14:paraId="5E50D6E1" w14:textId="77777777" w:rsidR="00C315A5" w:rsidRDefault="00570C2B">
            <w:pPr>
              <w:jc w:val="center"/>
            </w:pPr>
            <w:r>
              <w:rPr>
                <w:rFonts w:eastAsia="Times New Roman"/>
                <w:sz w:val="15"/>
              </w:rPr>
              <w:t>6,264/6,915 (0.906)</w:t>
            </w:r>
          </w:p>
        </w:tc>
        <w:tc>
          <w:tcPr>
            <w:tcW w:w="1699" w:type="dxa"/>
            <w:shd w:val="clear" w:color="auto" w:fill="EAF0F6"/>
            <w:tcMar>
              <w:top w:w="35" w:type="dxa"/>
              <w:left w:w="40" w:type="dxa"/>
              <w:bottom w:w="35" w:type="dxa"/>
              <w:right w:w="40" w:type="dxa"/>
            </w:tcMar>
            <w:vAlign w:val="center"/>
          </w:tcPr>
          <w:p w14:paraId="5E505F9C" w14:textId="77777777" w:rsidR="00C315A5" w:rsidRDefault="00570C2B">
            <w:pPr>
              <w:jc w:val="center"/>
            </w:pPr>
            <w:r>
              <w:rPr>
                <w:rFonts w:eastAsia="Times New Roman"/>
                <w:sz w:val="15"/>
              </w:rPr>
              <w:t>6,583/6,915 (0.952)</w:t>
            </w:r>
          </w:p>
        </w:tc>
      </w:tr>
      <w:tr w:rsidR="00C315A5" w14:paraId="72ADFDAD" w14:textId="77777777">
        <w:trPr>
          <w:cantSplit/>
          <w:jc w:val="center"/>
        </w:trPr>
        <w:tc>
          <w:tcPr>
            <w:tcW w:w="893" w:type="dxa"/>
            <w:tcMar>
              <w:top w:w="35" w:type="dxa"/>
              <w:left w:w="40" w:type="dxa"/>
              <w:bottom w:w="35" w:type="dxa"/>
              <w:right w:w="40" w:type="dxa"/>
            </w:tcMar>
            <w:vAlign w:val="center"/>
          </w:tcPr>
          <w:p w14:paraId="1FEBD0AE" w14:textId="77777777" w:rsidR="00C315A5" w:rsidRDefault="00570C2B">
            <w:pPr>
              <w:jc w:val="center"/>
            </w:pPr>
            <w:r>
              <w:rPr>
                <w:rFonts w:eastAsia="Times New Roman"/>
                <w:sz w:val="15"/>
              </w:rPr>
              <w:t>exclude</w:t>
            </w:r>
          </w:p>
        </w:tc>
        <w:tc>
          <w:tcPr>
            <w:tcW w:w="792" w:type="dxa"/>
            <w:tcMar>
              <w:top w:w="35" w:type="dxa"/>
              <w:left w:w="40" w:type="dxa"/>
              <w:bottom w:w="35" w:type="dxa"/>
              <w:right w:w="40" w:type="dxa"/>
            </w:tcMar>
            <w:vAlign w:val="center"/>
          </w:tcPr>
          <w:p w14:paraId="34B174E2" w14:textId="77777777" w:rsidR="00C315A5" w:rsidRDefault="00570C2B">
            <w:pPr>
              <w:jc w:val="center"/>
            </w:pPr>
            <w:r>
              <w:rPr>
                <w:rFonts w:eastAsia="Times New Roman"/>
                <w:sz w:val="15"/>
              </w:rPr>
              <w:t>7 days</w:t>
            </w:r>
          </w:p>
        </w:tc>
        <w:tc>
          <w:tcPr>
            <w:tcW w:w="1699" w:type="dxa"/>
            <w:tcMar>
              <w:top w:w="35" w:type="dxa"/>
              <w:left w:w="40" w:type="dxa"/>
              <w:bottom w:w="35" w:type="dxa"/>
              <w:right w:w="40" w:type="dxa"/>
            </w:tcMar>
            <w:vAlign w:val="center"/>
          </w:tcPr>
          <w:p w14:paraId="16DDDB7E" w14:textId="77777777" w:rsidR="00C315A5" w:rsidRDefault="00570C2B">
            <w:pPr>
              <w:jc w:val="center"/>
            </w:pPr>
            <w:r>
              <w:rPr>
                <w:rFonts w:eastAsia="Times New Roman"/>
                <w:sz w:val="15"/>
              </w:rPr>
              <w:t>6,583/6,915 (0.952)</w:t>
            </w:r>
          </w:p>
        </w:tc>
        <w:tc>
          <w:tcPr>
            <w:tcW w:w="1699" w:type="dxa"/>
            <w:tcMar>
              <w:top w:w="35" w:type="dxa"/>
              <w:left w:w="40" w:type="dxa"/>
              <w:bottom w:w="35" w:type="dxa"/>
              <w:right w:w="40" w:type="dxa"/>
            </w:tcMar>
            <w:vAlign w:val="center"/>
          </w:tcPr>
          <w:p w14:paraId="583A3EFF" w14:textId="77777777" w:rsidR="00C315A5" w:rsidRDefault="00570C2B">
            <w:pPr>
              <w:jc w:val="center"/>
            </w:pPr>
            <w:r>
              <w:rPr>
                <w:rFonts w:eastAsia="Times New Roman"/>
                <w:sz w:val="15"/>
              </w:rPr>
              <w:t>5,252/6,915 (0.760)</w:t>
            </w:r>
          </w:p>
        </w:tc>
        <w:tc>
          <w:tcPr>
            <w:tcW w:w="1699" w:type="dxa"/>
            <w:tcMar>
              <w:top w:w="35" w:type="dxa"/>
              <w:left w:w="40" w:type="dxa"/>
              <w:bottom w:w="35" w:type="dxa"/>
              <w:right w:w="40" w:type="dxa"/>
            </w:tcMar>
            <w:vAlign w:val="center"/>
          </w:tcPr>
          <w:p w14:paraId="4D8FAEC1" w14:textId="77777777" w:rsidR="00C315A5" w:rsidRDefault="00570C2B">
            <w:pPr>
              <w:jc w:val="center"/>
            </w:pPr>
            <w:r>
              <w:rPr>
                <w:rFonts w:eastAsia="Times New Roman"/>
                <w:sz w:val="15"/>
              </w:rPr>
              <w:t>6,915/6,915 (1.000)</w:t>
            </w:r>
          </w:p>
        </w:tc>
        <w:tc>
          <w:tcPr>
            <w:tcW w:w="1699" w:type="dxa"/>
            <w:tcMar>
              <w:top w:w="35" w:type="dxa"/>
              <w:left w:w="40" w:type="dxa"/>
              <w:bottom w:w="35" w:type="dxa"/>
              <w:right w:w="40" w:type="dxa"/>
            </w:tcMar>
            <w:vAlign w:val="center"/>
          </w:tcPr>
          <w:p w14:paraId="1C2FEE18" w14:textId="77777777" w:rsidR="00C315A5" w:rsidRDefault="00570C2B">
            <w:pPr>
              <w:jc w:val="center"/>
            </w:pPr>
            <w:r>
              <w:rPr>
                <w:rFonts w:eastAsia="Times New Roman"/>
                <w:sz w:val="15"/>
              </w:rPr>
              <w:t>6,199/6,915 (0.896)</w:t>
            </w:r>
          </w:p>
        </w:tc>
        <w:tc>
          <w:tcPr>
            <w:tcW w:w="1699" w:type="dxa"/>
            <w:tcMar>
              <w:top w:w="35" w:type="dxa"/>
              <w:left w:w="40" w:type="dxa"/>
              <w:bottom w:w="35" w:type="dxa"/>
              <w:right w:w="40" w:type="dxa"/>
            </w:tcMar>
            <w:vAlign w:val="center"/>
          </w:tcPr>
          <w:p w14:paraId="75CDC93C" w14:textId="77777777" w:rsidR="00C315A5" w:rsidRDefault="00570C2B">
            <w:pPr>
              <w:jc w:val="center"/>
            </w:pPr>
            <w:r>
              <w:rPr>
                <w:rFonts w:eastAsia="Times New Roman"/>
                <w:sz w:val="15"/>
              </w:rPr>
              <w:t>—</w:t>
            </w:r>
          </w:p>
        </w:tc>
      </w:tr>
      <w:tr w:rsidR="00C315A5" w14:paraId="184E594A" w14:textId="77777777">
        <w:trPr>
          <w:cantSplit/>
          <w:jc w:val="center"/>
        </w:trPr>
        <w:tc>
          <w:tcPr>
            <w:tcW w:w="893" w:type="dxa"/>
            <w:shd w:val="clear" w:color="auto" w:fill="EAF0F6"/>
            <w:tcMar>
              <w:top w:w="35" w:type="dxa"/>
              <w:left w:w="40" w:type="dxa"/>
              <w:bottom w:w="35" w:type="dxa"/>
              <w:right w:w="40" w:type="dxa"/>
            </w:tcMar>
            <w:vAlign w:val="center"/>
          </w:tcPr>
          <w:p w14:paraId="17E9D1DB" w14:textId="77777777" w:rsidR="00C315A5" w:rsidRDefault="00570C2B">
            <w:pPr>
              <w:jc w:val="center"/>
            </w:pPr>
            <w:r>
              <w:rPr>
                <w:rFonts w:eastAsia="Times New Roman"/>
                <w:sz w:val="15"/>
              </w:rPr>
              <w:t>cap</w:t>
            </w:r>
          </w:p>
        </w:tc>
        <w:tc>
          <w:tcPr>
            <w:tcW w:w="792" w:type="dxa"/>
            <w:shd w:val="clear" w:color="auto" w:fill="EAF0F6"/>
            <w:tcMar>
              <w:top w:w="35" w:type="dxa"/>
              <w:left w:w="40" w:type="dxa"/>
              <w:bottom w:w="35" w:type="dxa"/>
              <w:right w:w="40" w:type="dxa"/>
            </w:tcMar>
            <w:vAlign w:val="center"/>
          </w:tcPr>
          <w:p w14:paraId="002489B7" w14:textId="77777777" w:rsidR="00C315A5" w:rsidRDefault="00570C2B">
            <w:pPr>
              <w:jc w:val="center"/>
            </w:pPr>
            <w:r>
              <w:rPr>
                <w:rFonts w:eastAsia="Times New Roman"/>
                <w:sz w:val="15"/>
              </w:rPr>
              <w:t>1 day</w:t>
            </w:r>
          </w:p>
        </w:tc>
        <w:tc>
          <w:tcPr>
            <w:tcW w:w="1699" w:type="dxa"/>
            <w:shd w:val="clear" w:color="auto" w:fill="EAF0F6"/>
            <w:tcMar>
              <w:top w:w="35" w:type="dxa"/>
              <w:left w:w="40" w:type="dxa"/>
              <w:bottom w:w="35" w:type="dxa"/>
              <w:right w:w="40" w:type="dxa"/>
            </w:tcMar>
            <w:vAlign w:val="center"/>
          </w:tcPr>
          <w:p w14:paraId="14C3EC14" w14:textId="77777777" w:rsidR="00C315A5" w:rsidRDefault="00570C2B">
            <w:pPr>
              <w:jc w:val="center"/>
            </w:pPr>
            <w:r>
              <w:rPr>
                <w:rFonts w:eastAsia="Times New Roman"/>
                <w:sz w:val="15"/>
              </w:rPr>
              <w:t>6,963/7,071 (0.985)</w:t>
            </w:r>
          </w:p>
        </w:tc>
        <w:tc>
          <w:tcPr>
            <w:tcW w:w="1699" w:type="dxa"/>
            <w:shd w:val="clear" w:color="auto" w:fill="EAF0F6"/>
            <w:tcMar>
              <w:top w:w="35" w:type="dxa"/>
              <w:left w:w="40" w:type="dxa"/>
              <w:bottom w:w="35" w:type="dxa"/>
              <w:right w:w="40" w:type="dxa"/>
            </w:tcMar>
            <w:vAlign w:val="center"/>
          </w:tcPr>
          <w:p w14:paraId="3B447064" w14:textId="77777777" w:rsidR="00C315A5" w:rsidRDefault="00570C2B">
            <w:pPr>
              <w:jc w:val="center"/>
            </w:pPr>
            <w:r>
              <w:rPr>
                <w:rFonts w:eastAsia="Times New Roman"/>
                <w:sz w:val="15"/>
              </w:rPr>
              <w:t>5,528/7,071 (0.782)</w:t>
            </w:r>
          </w:p>
        </w:tc>
        <w:tc>
          <w:tcPr>
            <w:tcW w:w="1699" w:type="dxa"/>
            <w:shd w:val="clear" w:color="auto" w:fill="EAF0F6"/>
            <w:tcMar>
              <w:top w:w="35" w:type="dxa"/>
              <w:left w:w="40" w:type="dxa"/>
              <w:bottom w:w="35" w:type="dxa"/>
              <w:right w:w="40" w:type="dxa"/>
            </w:tcMar>
            <w:vAlign w:val="center"/>
          </w:tcPr>
          <w:p w14:paraId="4B988C38" w14:textId="77777777" w:rsidR="00C315A5" w:rsidRDefault="00570C2B">
            <w:pPr>
              <w:jc w:val="center"/>
            </w:pPr>
            <w:r>
              <w:rPr>
                <w:rFonts w:eastAsia="Times New Roman"/>
                <w:sz w:val="15"/>
              </w:rPr>
              <w:t>7,071/7,071 (1.000)</w:t>
            </w:r>
          </w:p>
        </w:tc>
        <w:tc>
          <w:tcPr>
            <w:tcW w:w="1699" w:type="dxa"/>
            <w:shd w:val="clear" w:color="auto" w:fill="EAF0F6"/>
            <w:tcMar>
              <w:top w:w="35" w:type="dxa"/>
              <w:left w:w="40" w:type="dxa"/>
              <w:bottom w:w="35" w:type="dxa"/>
              <w:right w:w="40" w:type="dxa"/>
            </w:tcMar>
            <w:vAlign w:val="center"/>
          </w:tcPr>
          <w:p w14:paraId="36480EDF" w14:textId="77777777" w:rsidR="00C315A5" w:rsidRDefault="00570C2B">
            <w:pPr>
              <w:jc w:val="center"/>
            </w:pPr>
            <w:r>
              <w:rPr>
                <w:rFonts w:eastAsia="Times New Roman"/>
                <w:sz w:val="15"/>
              </w:rPr>
              <w:t>6,659/7,071 (0.942)</w:t>
            </w:r>
          </w:p>
        </w:tc>
        <w:tc>
          <w:tcPr>
            <w:tcW w:w="1699" w:type="dxa"/>
            <w:shd w:val="clear" w:color="auto" w:fill="EAF0F6"/>
            <w:tcMar>
              <w:top w:w="35" w:type="dxa"/>
              <w:left w:w="40" w:type="dxa"/>
              <w:bottom w:w="35" w:type="dxa"/>
              <w:right w:w="40" w:type="dxa"/>
            </w:tcMar>
            <w:vAlign w:val="center"/>
          </w:tcPr>
          <w:p w14:paraId="056F4247" w14:textId="77777777" w:rsidR="00C315A5" w:rsidRDefault="00570C2B">
            <w:pPr>
              <w:jc w:val="center"/>
            </w:pPr>
            <w:r>
              <w:rPr>
                <w:rFonts w:eastAsia="Times New Roman"/>
                <w:sz w:val="15"/>
              </w:rPr>
              <w:t>6,834/7,071 (0.966)</w:t>
            </w:r>
          </w:p>
        </w:tc>
      </w:tr>
      <w:tr w:rsidR="00C315A5" w14:paraId="1A219D7C" w14:textId="77777777">
        <w:trPr>
          <w:cantSplit/>
          <w:jc w:val="center"/>
        </w:trPr>
        <w:tc>
          <w:tcPr>
            <w:tcW w:w="893" w:type="dxa"/>
            <w:tcMar>
              <w:top w:w="35" w:type="dxa"/>
              <w:left w:w="40" w:type="dxa"/>
              <w:bottom w:w="35" w:type="dxa"/>
              <w:right w:w="40" w:type="dxa"/>
            </w:tcMar>
            <w:vAlign w:val="center"/>
          </w:tcPr>
          <w:p w14:paraId="10C427E7" w14:textId="77777777" w:rsidR="00C315A5" w:rsidRDefault="00570C2B">
            <w:pPr>
              <w:jc w:val="center"/>
            </w:pPr>
            <w:r>
              <w:rPr>
                <w:rFonts w:eastAsia="Times New Roman"/>
                <w:sz w:val="15"/>
              </w:rPr>
              <w:t>cap</w:t>
            </w:r>
          </w:p>
        </w:tc>
        <w:tc>
          <w:tcPr>
            <w:tcW w:w="792" w:type="dxa"/>
            <w:tcMar>
              <w:top w:w="35" w:type="dxa"/>
              <w:left w:w="40" w:type="dxa"/>
              <w:bottom w:w="35" w:type="dxa"/>
              <w:right w:w="40" w:type="dxa"/>
            </w:tcMar>
            <w:vAlign w:val="center"/>
          </w:tcPr>
          <w:p w14:paraId="503B8F5A" w14:textId="77777777" w:rsidR="00C315A5" w:rsidRDefault="00570C2B">
            <w:pPr>
              <w:jc w:val="center"/>
            </w:pPr>
            <w:r>
              <w:rPr>
                <w:rFonts w:eastAsia="Times New Roman"/>
                <w:sz w:val="15"/>
              </w:rPr>
              <w:t>3 days</w:t>
            </w:r>
          </w:p>
        </w:tc>
        <w:tc>
          <w:tcPr>
            <w:tcW w:w="1699" w:type="dxa"/>
            <w:tcMar>
              <w:top w:w="35" w:type="dxa"/>
              <w:left w:w="40" w:type="dxa"/>
              <w:bottom w:w="35" w:type="dxa"/>
              <w:right w:w="40" w:type="dxa"/>
            </w:tcMar>
            <w:vAlign w:val="center"/>
          </w:tcPr>
          <w:p w14:paraId="17F73FA6" w14:textId="77777777" w:rsidR="00C315A5" w:rsidRDefault="00570C2B">
            <w:pPr>
              <w:jc w:val="center"/>
            </w:pPr>
            <w:r>
              <w:rPr>
                <w:rFonts w:eastAsia="Times New Roman"/>
                <w:sz w:val="15"/>
              </w:rPr>
              <w:t>6,889/7,071 (0.974)</w:t>
            </w:r>
          </w:p>
        </w:tc>
        <w:tc>
          <w:tcPr>
            <w:tcW w:w="1699" w:type="dxa"/>
            <w:tcMar>
              <w:top w:w="35" w:type="dxa"/>
              <w:left w:w="40" w:type="dxa"/>
              <w:bottom w:w="35" w:type="dxa"/>
              <w:right w:w="40" w:type="dxa"/>
            </w:tcMar>
            <w:vAlign w:val="center"/>
          </w:tcPr>
          <w:p w14:paraId="03516F84" w14:textId="77777777" w:rsidR="00C315A5" w:rsidRDefault="00570C2B">
            <w:pPr>
              <w:jc w:val="center"/>
            </w:pPr>
            <w:r>
              <w:rPr>
                <w:rFonts w:eastAsia="Times New Roman"/>
                <w:sz w:val="15"/>
              </w:rPr>
              <w:t>5,528/7,071 (0.782)</w:t>
            </w:r>
          </w:p>
        </w:tc>
        <w:tc>
          <w:tcPr>
            <w:tcW w:w="1699" w:type="dxa"/>
            <w:tcMar>
              <w:top w:w="35" w:type="dxa"/>
              <w:left w:w="40" w:type="dxa"/>
              <w:bottom w:w="35" w:type="dxa"/>
              <w:right w:w="40" w:type="dxa"/>
            </w:tcMar>
            <w:vAlign w:val="center"/>
          </w:tcPr>
          <w:p w14:paraId="662FD4DF" w14:textId="77777777" w:rsidR="00C315A5" w:rsidRDefault="00570C2B">
            <w:pPr>
              <w:jc w:val="center"/>
            </w:pPr>
            <w:r>
              <w:rPr>
                <w:rFonts w:eastAsia="Times New Roman"/>
                <w:sz w:val="15"/>
              </w:rPr>
              <w:t>7,071/7,071 (1.000)</w:t>
            </w:r>
          </w:p>
        </w:tc>
        <w:tc>
          <w:tcPr>
            <w:tcW w:w="1699" w:type="dxa"/>
            <w:tcMar>
              <w:top w:w="35" w:type="dxa"/>
              <w:left w:w="40" w:type="dxa"/>
              <w:bottom w:w="35" w:type="dxa"/>
              <w:right w:w="40" w:type="dxa"/>
            </w:tcMar>
            <w:vAlign w:val="center"/>
          </w:tcPr>
          <w:p w14:paraId="54065883" w14:textId="77777777" w:rsidR="00C315A5" w:rsidRDefault="00570C2B">
            <w:pPr>
              <w:jc w:val="center"/>
            </w:pPr>
            <w:r>
              <w:rPr>
                <w:rFonts w:eastAsia="Times New Roman"/>
                <w:sz w:val="15"/>
              </w:rPr>
              <w:t>6,601/7,071 (0.934)</w:t>
            </w:r>
          </w:p>
        </w:tc>
        <w:tc>
          <w:tcPr>
            <w:tcW w:w="1699" w:type="dxa"/>
            <w:tcMar>
              <w:top w:w="35" w:type="dxa"/>
              <w:left w:w="40" w:type="dxa"/>
              <w:bottom w:w="35" w:type="dxa"/>
              <w:right w:w="40" w:type="dxa"/>
            </w:tcMar>
            <w:vAlign w:val="center"/>
          </w:tcPr>
          <w:p w14:paraId="127E80D8" w14:textId="77777777" w:rsidR="00C315A5" w:rsidRDefault="00570C2B">
            <w:pPr>
              <w:jc w:val="center"/>
            </w:pPr>
            <w:r>
              <w:rPr>
                <w:rFonts w:eastAsia="Times New Roman"/>
                <w:sz w:val="15"/>
              </w:rPr>
              <w:t>6,834/7,071 (0.966)</w:t>
            </w:r>
          </w:p>
        </w:tc>
      </w:tr>
      <w:tr w:rsidR="00C315A5" w14:paraId="634FFA7C" w14:textId="77777777">
        <w:trPr>
          <w:cantSplit/>
          <w:jc w:val="center"/>
        </w:trPr>
        <w:tc>
          <w:tcPr>
            <w:tcW w:w="893" w:type="dxa"/>
            <w:shd w:val="clear" w:color="auto" w:fill="EAF0F6"/>
            <w:tcMar>
              <w:top w:w="35" w:type="dxa"/>
              <w:left w:w="40" w:type="dxa"/>
              <w:bottom w:w="35" w:type="dxa"/>
              <w:right w:w="40" w:type="dxa"/>
            </w:tcMar>
            <w:vAlign w:val="center"/>
          </w:tcPr>
          <w:p w14:paraId="16A36EAC" w14:textId="77777777" w:rsidR="00C315A5" w:rsidRDefault="00570C2B">
            <w:pPr>
              <w:jc w:val="center"/>
            </w:pPr>
            <w:r>
              <w:rPr>
                <w:rFonts w:eastAsia="Times New Roman"/>
                <w:sz w:val="15"/>
              </w:rPr>
              <w:t>cap</w:t>
            </w:r>
          </w:p>
        </w:tc>
        <w:tc>
          <w:tcPr>
            <w:tcW w:w="792" w:type="dxa"/>
            <w:shd w:val="clear" w:color="auto" w:fill="EAF0F6"/>
            <w:tcMar>
              <w:top w:w="35" w:type="dxa"/>
              <w:left w:w="40" w:type="dxa"/>
              <w:bottom w:w="35" w:type="dxa"/>
              <w:right w:w="40" w:type="dxa"/>
            </w:tcMar>
            <w:vAlign w:val="center"/>
          </w:tcPr>
          <w:p w14:paraId="16D9810C" w14:textId="77777777" w:rsidR="00C315A5" w:rsidRDefault="00570C2B">
            <w:pPr>
              <w:jc w:val="center"/>
            </w:pPr>
            <w:r>
              <w:rPr>
                <w:rFonts w:eastAsia="Times New Roman"/>
                <w:sz w:val="15"/>
              </w:rPr>
              <w:t>7 days</w:t>
            </w:r>
          </w:p>
        </w:tc>
        <w:tc>
          <w:tcPr>
            <w:tcW w:w="1699" w:type="dxa"/>
            <w:shd w:val="clear" w:color="auto" w:fill="EAF0F6"/>
            <w:tcMar>
              <w:top w:w="35" w:type="dxa"/>
              <w:left w:w="40" w:type="dxa"/>
              <w:bottom w:w="35" w:type="dxa"/>
              <w:right w:w="40" w:type="dxa"/>
            </w:tcMar>
            <w:vAlign w:val="center"/>
          </w:tcPr>
          <w:p w14:paraId="3138648E" w14:textId="77777777" w:rsidR="00C315A5" w:rsidRDefault="00570C2B">
            <w:pPr>
              <w:jc w:val="center"/>
            </w:pPr>
            <w:r>
              <w:rPr>
                <w:rFonts w:eastAsia="Times New Roman"/>
                <w:sz w:val="15"/>
              </w:rPr>
              <w:t>6,834/7,071 (0.966)</w:t>
            </w:r>
          </w:p>
        </w:tc>
        <w:tc>
          <w:tcPr>
            <w:tcW w:w="1699" w:type="dxa"/>
            <w:shd w:val="clear" w:color="auto" w:fill="EAF0F6"/>
            <w:tcMar>
              <w:top w:w="35" w:type="dxa"/>
              <w:left w:w="40" w:type="dxa"/>
              <w:bottom w:w="35" w:type="dxa"/>
              <w:right w:w="40" w:type="dxa"/>
            </w:tcMar>
            <w:vAlign w:val="center"/>
          </w:tcPr>
          <w:p w14:paraId="5B766218" w14:textId="77777777" w:rsidR="00C315A5" w:rsidRDefault="00570C2B">
            <w:pPr>
              <w:jc w:val="center"/>
            </w:pPr>
            <w:r>
              <w:rPr>
                <w:rFonts w:eastAsia="Times New Roman"/>
                <w:sz w:val="15"/>
              </w:rPr>
              <w:t>5,528/7,071 (0.782)</w:t>
            </w:r>
          </w:p>
        </w:tc>
        <w:tc>
          <w:tcPr>
            <w:tcW w:w="1699" w:type="dxa"/>
            <w:shd w:val="clear" w:color="auto" w:fill="EAF0F6"/>
            <w:tcMar>
              <w:top w:w="35" w:type="dxa"/>
              <w:left w:w="40" w:type="dxa"/>
              <w:bottom w:w="35" w:type="dxa"/>
              <w:right w:w="40" w:type="dxa"/>
            </w:tcMar>
            <w:vAlign w:val="center"/>
          </w:tcPr>
          <w:p w14:paraId="679E09A2" w14:textId="77777777" w:rsidR="00C315A5" w:rsidRDefault="00570C2B">
            <w:pPr>
              <w:jc w:val="center"/>
            </w:pPr>
            <w:r>
              <w:rPr>
                <w:rFonts w:eastAsia="Times New Roman"/>
                <w:sz w:val="15"/>
              </w:rPr>
              <w:t>7,071/7,071 (1.000)</w:t>
            </w:r>
          </w:p>
        </w:tc>
        <w:tc>
          <w:tcPr>
            <w:tcW w:w="1699" w:type="dxa"/>
            <w:shd w:val="clear" w:color="auto" w:fill="EAF0F6"/>
            <w:tcMar>
              <w:top w:w="35" w:type="dxa"/>
              <w:left w:w="40" w:type="dxa"/>
              <w:bottom w:w="35" w:type="dxa"/>
              <w:right w:w="40" w:type="dxa"/>
            </w:tcMar>
            <w:vAlign w:val="center"/>
          </w:tcPr>
          <w:p w14:paraId="34E480AA" w14:textId="77777777" w:rsidR="00C315A5" w:rsidRDefault="00570C2B">
            <w:pPr>
              <w:jc w:val="center"/>
            </w:pPr>
            <w:r>
              <w:rPr>
                <w:rFonts w:eastAsia="Times New Roman"/>
                <w:sz w:val="15"/>
              </w:rPr>
              <w:t>6,543/7,071 (0.925)</w:t>
            </w:r>
          </w:p>
        </w:tc>
        <w:tc>
          <w:tcPr>
            <w:tcW w:w="1699" w:type="dxa"/>
            <w:shd w:val="clear" w:color="auto" w:fill="EAF0F6"/>
            <w:tcMar>
              <w:top w:w="35" w:type="dxa"/>
              <w:left w:w="40" w:type="dxa"/>
              <w:bottom w:w="35" w:type="dxa"/>
              <w:right w:w="40" w:type="dxa"/>
            </w:tcMar>
            <w:vAlign w:val="center"/>
          </w:tcPr>
          <w:p w14:paraId="3D28DA6A" w14:textId="77777777" w:rsidR="00C315A5" w:rsidRDefault="00570C2B">
            <w:pPr>
              <w:jc w:val="center"/>
            </w:pPr>
            <w:r>
              <w:rPr>
                <w:rFonts w:eastAsia="Times New Roman"/>
                <w:sz w:val="15"/>
              </w:rPr>
              <w:t>—</w:t>
            </w:r>
          </w:p>
        </w:tc>
      </w:tr>
    </w:tbl>
    <w:p w14:paraId="0E49490E" w14:textId="77777777" w:rsidR="00C315A5" w:rsidRDefault="00C315A5">
      <w:pPr>
        <w:spacing w:line="20" w:lineRule="exact"/>
        <w:sectPr w:rsidR="00C315A5">
          <w:type w:val="continuous"/>
          <w:pgSz w:w="12240" w:h="15840"/>
          <w:pgMar w:top="979" w:right="979" w:bottom="979" w:left="979" w:header="720" w:footer="720" w:gutter="0"/>
          <w:cols w:space="360"/>
          <w:docGrid w:linePitch="360"/>
        </w:sectPr>
      </w:pPr>
    </w:p>
    <w:p w14:paraId="2C84680B" w14:textId="77777777" w:rsidR="00C315A5" w:rsidRDefault="00570C2B">
      <w:pPr>
        <w:pStyle w:val="Heading2"/>
        <w:spacing w:before="80" w:after="40"/>
      </w:pPr>
      <w:r>
        <w:rPr>
          <w:rFonts w:ascii="Times New Roman" w:eastAsia="Times New Roman" w:hAnsi="Times New Roman"/>
          <w:sz w:val="17"/>
        </w:rPr>
        <w:t>D. Locked final test</w:t>
      </w:r>
    </w:p>
    <w:p w14:paraId="6E982C2F" w14:textId="77777777" w:rsidR="00C315A5" w:rsidRDefault="00570C2B">
      <w:pPr>
        <w:pStyle w:val="BodyText"/>
        <w:spacing w:after="50"/>
        <w:ind w:firstLine="173"/>
      </w:pPr>
      <w:r>
        <w:rPr>
          <w:rFonts w:eastAsia="Times New Roman"/>
          <w:sz w:val="17"/>
        </w:rPr>
        <w:t>The locked period, 2020-01-01 through 2020-07-01 inclusive, has not been scored. No predictions, metrics, comparisons, or plots for this period are reported.</w:t>
      </w:r>
    </w:p>
    <w:p w14:paraId="5EE3FE22" w14:textId="77777777" w:rsidR="00C315A5" w:rsidRDefault="00570C2B">
      <w:pPr>
        <w:pStyle w:val="Heading1"/>
      </w:pPr>
      <w:r>
        <w:rPr>
          <w:rFonts w:ascii="Times New Roman" w:eastAsia="Times New Roman" w:hAnsi="Times New Roman"/>
          <w:sz w:val="19"/>
        </w:rPr>
        <w:t>XI. DISCUSSION</w:t>
      </w:r>
    </w:p>
    <w:p w14:paraId="6B995051" w14:textId="77777777" w:rsidR="00C315A5" w:rsidRDefault="00570C2B">
      <w:pPr>
        <w:pStyle w:val="BodyText"/>
        <w:spacing w:after="50"/>
        <w:ind w:firstLine="173"/>
      </w:pPr>
      <w:r>
        <w:rPr>
          <w:rFonts w:eastAsia="Times New Roman"/>
          <w:sz w:val="17"/>
        </w:rPr>
        <w:t>The saved run documents method-specific errors on common eligible cases alongside native coverage. The two summaries answer different descriptive questions: common-case metrics hold the comparison cases constant within each row, whereas native coverage shows the fraction of valid targets for which each method produced a prediction. Neither summary establishes superiority. In particular, 2019 contributes to alpha selection, and the analysis reports no inferential test or uncertainty estimate.</w:t>
      </w:r>
    </w:p>
    <w:p w14:paraId="73AB17D4" w14:textId="77777777" w:rsidR="00C315A5" w:rsidRDefault="00570C2B">
      <w:pPr>
        <w:pStyle w:val="BodyText"/>
        <w:spacing w:after="50"/>
        <w:ind w:firstLine="173"/>
      </w:pPr>
      <w:r>
        <w:rPr>
          <w:rFonts w:eastAsia="Times New Roman"/>
          <w:sz w:val="17"/>
        </w:rPr>
        <w:t>The exclude</w:t>
      </w:r>
      <w:r>
        <w:rPr>
          <w:rFonts w:eastAsia="Times New Roman"/>
          <w:sz w:val="17"/>
        </w:rPr>
        <w:t xml:space="preserve"> and cap results concern different transformed outcomes and eligible populations and should be interpreted separately. The annual seasonal-naïve method's exact-date lookup requirement leaves some valid targets without a prediction; those cases remain unavailable rather than being imputed. The city/month climatology's pooled-month fallback provides predictions for all valid targets in the saved run, but complete coverage is not evidence of low forecast error.</w:t>
      </w:r>
    </w:p>
    <w:p w14:paraId="05BE0925" w14:textId="77777777" w:rsidR="00C315A5" w:rsidRDefault="00570C2B">
      <w:pPr>
        <w:pStyle w:val="BodyText"/>
        <w:spacing w:after="50"/>
        <w:ind w:firstLine="173"/>
      </w:pPr>
      <w:r>
        <w:rPr>
          <w:rFonts w:eastAsia="Times New Roman"/>
          <w:sz w:val="17"/>
        </w:rPr>
        <w:t>The evaluation uses later dates for cities also represented during training. It does not assess transfer to unseen cities. It also does not evaluate the production AQI calculator, same-time regression, deterministic 24-hour profile, alert thresholds, or alert delivery. Retrospective AQI error metrics do not measure warning lead time, event detection, false alarms, health effects, risk-zone identification, or operational effectiveness.</w:t>
      </w:r>
    </w:p>
    <w:p w14:paraId="66717DEC" w14:textId="77777777" w:rsidR="00C315A5" w:rsidRDefault="00570C2B">
      <w:pPr>
        <w:pStyle w:val="Heading1"/>
      </w:pPr>
      <w:r>
        <w:rPr>
          <w:rFonts w:ascii="Times New Roman" w:eastAsia="Times New Roman" w:hAnsi="Times New Roman"/>
          <w:sz w:val="19"/>
        </w:rPr>
        <w:t>XII. LIMITATIONS AND THREATS TO VALIDITY</w:t>
      </w:r>
    </w:p>
    <w:p w14:paraId="2AF8AA64" w14:textId="77777777" w:rsidR="00C315A5" w:rsidRDefault="00570C2B">
      <w:pPr>
        <w:pStyle w:val="BodyText"/>
        <w:spacing w:after="50"/>
        <w:ind w:left="230" w:hanging="230"/>
      </w:pPr>
      <w:r>
        <w:rPr>
          <w:rFonts w:eastAsia="Times New Roman"/>
          <w:sz w:val="17"/>
        </w:rPr>
        <w:t xml:space="preserve">1. </w:t>
      </w:r>
      <w:r>
        <w:rPr>
          <w:rFonts w:eastAsia="Times New Roman"/>
          <w:b/>
          <w:sz w:val="17"/>
        </w:rPr>
        <w:t>Data provenance and outcome validity:</w:t>
      </w:r>
      <w:r>
        <w:rPr>
          <w:rFonts w:eastAsia="Times New Roman"/>
          <w:sz w:val="17"/>
        </w:rPr>
        <w:t xml:space="preserve"> Byte identity with Kaggle version 12 and the hosted CC0 label do not establish upstream CPCB lineage, legal rights, station coverage, daily aggregation, missingness semantics, or historical AQI generation.</w:t>
      </w:r>
    </w:p>
    <w:p w14:paraId="20AD8822" w14:textId="77777777" w:rsidR="00C315A5" w:rsidRDefault="00570C2B">
      <w:pPr>
        <w:pStyle w:val="BodyText"/>
        <w:spacing w:after="50"/>
        <w:ind w:left="230" w:hanging="230"/>
      </w:pPr>
      <w:r>
        <w:rPr>
          <w:rFonts w:eastAsia="Times New Roman"/>
          <w:sz w:val="17"/>
        </w:rPr>
        <w:t xml:space="preserve">2. </w:t>
      </w:r>
      <w:r>
        <w:rPr>
          <w:rFonts w:eastAsia="Times New Roman"/>
          <w:b/>
          <w:sz w:val="17"/>
        </w:rPr>
        <w:t>Values above the nominal scale:</w:t>
      </w:r>
      <w:r>
        <w:rPr>
          <w:rFonts w:eastAsia="Times New Roman"/>
          <w:sz w:val="17"/>
        </w:rPr>
        <w:t xml:space="preserve"> The 543 observations above 500 range from 501 to 2049, but their historical interpretation is unresolved. Neither target policy is validated as the original AQI procedure.</w:t>
      </w:r>
    </w:p>
    <w:p w14:paraId="3C4C56F8" w14:textId="77777777" w:rsidR="00C315A5" w:rsidRDefault="00570C2B">
      <w:pPr>
        <w:pStyle w:val="BodyText"/>
        <w:spacing w:after="50"/>
        <w:ind w:left="230" w:hanging="230"/>
      </w:pPr>
      <w:r>
        <w:rPr>
          <w:rFonts w:eastAsia="Times New Roman"/>
          <w:sz w:val="17"/>
        </w:rPr>
        <w:t xml:space="preserve">3. </w:t>
      </w:r>
      <w:r>
        <w:rPr>
          <w:rFonts w:eastAsia="Times New Roman"/>
          <w:b/>
          <w:sz w:val="17"/>
        </w:rPr>
        <w:t>Selection-stage results:</w:t>
      </w:r>
      <w:r>
        <w:rPr>
          <w:rFonts w:eastAsia="Times New Roman"/>
          <w:sz w:val="17"/>
        </w:rPr>
        <w:t xml:space="preserve"> The 2019 fold contributes to Ridge alpha selection. All reported 2019 performance figures are therefore selection-stage descriptions.</w:t>
      </w:r>
    </w:p>
    <w:p w14:paraId="57B14108" w14:textId="77777777" w:rsidR="00C315A5" w:rsidRDefault="00570C2B">
      <w:pPr>
        <w:pStyle w:val="BodyText"/>
        <w:spacing w:after="50"/>
        <w:ind w:left="230" w:hanging="230"/>
      </w:pPr>
      <w:r>
        <w:rPr>
          <w:rFonts w:eastAsia="Times New Roman"/>
          <w:sz w:val="17"/>
        </w:rPr>
        <w:t xml:space="preserve">4. </w:t>
      </w:r>
      <w:r>
        <w:rPr>
          <w:rFonts w:eastAsia="Times New Roman"/>
          <w:b/>
          <w:sz w:val="17"/>
        </w:rPr>
        <w:t>Historical run and current code:</w:t>
      </w:r>
      <w:r>
        <w:rPr>
          <w:rFonts w:eastAsia="Times New Roman"/>
          <w:sz w:val="17"/>
        </w:rPr>
        <w:t xml:space="preserve"> The saved run predates the current baseline-history handoff hardening. The full CSV, including test-</w:t>
      </w:r>
      <w:r>
        <w:rPr>
          <w:rFonts w:eastAsia="Times New Roman"/>
          <w:sz w:val="17"/>
        </w:rPr>
        <w:t>period rows, was read for audit/date parsing, although the saved record marks final-test outcome selection, prediction generation, and scoring as false. The later mocked handoff test does not change or reproduce the saved run.</w:t>
      </w:r>
    </w:p>
    <w:p w14:paraId="4618C10C" w14:textId="77777777" w:rsidR="00C315A5" w:rsidRDefault="00570C2B">
      <w:pPr>
        <w:pStyle w:val="BodyText"/>
        <w:spacing w:after="50"/>
        <w:ind w:left="230" w:hanging="230"/>
      </w:pPr>
      <w:r>
        <w:rPr>
          <w:rFonts w:eastAsia="Times New Roman"/>
          <w:sz w:val="17"/>
        </w:rPr>
        <w:t xml:space="preserve">5. </w:t>
      </w:r>
      <w:r>
        <w:rPr>
          <w:rFonts w:eastAsia="Times New Roman"/>
          <w:b/>
          <w:sz w:val="17"/>
        </w:rPr>
        <w:t>Generalization:</w:t>
      </w:r>
      <w:r>
        <w:rPr>
          <w:rFonts w:eastAsia="Times New Roman"/>
          <w:sz w:val="17"/>
        </w:rPr>
        <w:t xml:space="preserve"> The same city labels occur in the training and development periods; unseen-city and station-level generalization were not evaluated.</w:t>
      </w:r>
    </w:p>
    <w:p w14:paraId="3EB2CDD7" w14:textId="77777777" w:rsidR="00C315A5" w:rsidRDefault="00570C2B">
      <w:pPr>
        <w:pStyle w:val="BodyText"/>
        <w:spacing w:after="50"/>
        <w:ind w:left="230" w:hanging="230"/>
      </w:pPr>
      <w:r>
        <w:rPr>
          <w:rFonts w:eastAsia="Times New Roman"/>
          <w:sz w:val="17"/>
        </w:rPr>
        <w:t xml:space="preserve">6. </w:t>
      </w:r>
      <w:r>
        <w:rPr>
          <w:rFonts w:eastAsia="Times New Roman"/>
          <w:b/>
          <w:sz w:val="17"/>
        </w:rPr>
        <w:t>Statistical uncertainty:</w:t>
      </w:r>
      <w:r>
        <w:rPr>
          <w:rFonts w:eastAsia="Times New Roman"/>
          <w:sz w:val="17"/>
        </w:rPr>
        <w:t xml:space="preserve"> No confidence intervals, significance tests, paired inferential analysis, or repeated-seed analysis are reported.</w:t>
      </w:r>
    </w:p>
    <w:p w14:paraId="6C8F7AD5" w14:textId="77777777" w:rsidR="00C315A5" w:rsidRDefault="00570C2B">
      <w:pPr>
        <w:pStyle w:val="BodyText"/>
        <w:spacing w:after="50"/>
        <w:ind w:left="230" w:hanging="230"/>
      </w:pPr>
      <w:r>
        <w:rPr>
          <w:rFonts w:eastAsia="Times New Roman"/>
          <w:sz w:val="17"/>
        </w:rPr>
        <w:t xml:space="preserve">7. </w:t>
      </w:r>
      <w:r>
        <w:rPr>
          <w:rFonts w:eastAsia="Times New Roman"/>
          <w:b/>
          <w:sz w:val="17"/>
        </w:rPr>
        <w:t>Scope:</w:t>
      </w:r>
      <w:r>
        <w:rPr>
          <w:rFonts w:eastAsia="Times New Roman"/>
          <w:sz w:val="17"/>
        </w:rPr>
        <w:t xml:space="preserve"> The study is baseline-only and does not evaluate nonlinear models, meteorological inputs, uncertainty calibration, operational warnings, health impacts, or causal effects.</w:t>
      </w:r>
    </w:p>
    <w:p w14:paraId="57683364" w14:textId="77777777" w:rsidR="00C315A5" w:rsidRDefault="00570C2B">
      <w:pPr>
        <w:pStyle w:val="BodyText"/>
        <w:keepLines/>
        <w:widowControl/>
        <w:spacing w:after="50"/>
        <w:ind w:left="230" w:hanging="230"/>
      </w:pPr>
      <w:r>
        <w:rPr>
          <w:rFonts w:eastAsia="Times New Roman"/>
          <w:sz w:val="17"/>
        </w:rPr>
        <w:t xml:space="preserve">8. </w:t>
      </w:r>
      <w:r>
        <w:rPr>
          <w:rFonts w:eastAsia="Times New Roman"/>
          <w:b/>
          <w:sz w:val="17"/>
        </w:rPr>
        <w:t>Literature coverage:</w:t>
      </w:r>
      <w:r>
        <w:rPr>
          <w:rFonts w:eastAsia="Times New Roman"/>
          <w:sz w:val="17"/>
        </w:rPr>
        <w:t xml:space="preserve"> The review is focused and non-systematic. Several sources are represented only by abstracts or bibliographic records; reference [3]'s full text was not reviewed, and reference [5]'s MSE/RMSE concern remains unresolved.</w:t>
      </w:r>
    </w:p>
    <w:p w14:paraId="53886077" w14:textId="77777777" w:rsidR="00C315A5" w:rsidRDefault="00570C2B">
      <w:pPr>
        <w:pStyle w:val="BodyText"/>
        <w:spacing w:after="50"/>
        <w:ind w:left="230" w:hanging="230"/>
      </w:pPr>
      <w:r>
        <w:rPr>
          <w:rFonts w:eastAsia="Times New Roman"/>
          <w:sz w:val="17"/>
        </w:rPr>
        <w:t xml:space="preserve">9. </w:t>
      </w:r>
      <w:r>
        <w:rPr>
          <w:rFonts w:eastAsia="Times New Roman"/>
          <w:b/>
          <w:sz w:val="17"/>
        </w:rPr>
        <w:t>Runtime and source recovery:</w:t>
      </w:r>
      <w:r>
        <w:rPr>
          <w:rFonts w:eastAsia="Times New Roman"/>
          <w:sz w:val="17"/>
        </w:rPr>
        <w:t xml:space="preserve"> The run used Python 3.13.3, whereas repository configuration declares Python 3.11. Compatibility with Python 3.11 is unverified. Research files were untracked at execution, and the historical source snapshot cannot be reconstructed from its fingerprint alone.</w:t>
      </w:r>
    </w:p>
    <w:p w14:paraId="31E9869B" w14:textId="77777777" w:rsidR="00C315A5" w:rsidRDefault="00570C2B">
      <w:pPr>
        <w:pStyle w:val="BodyText"/>
        <w:spacing w:after="50"/>
        <w:ind w:left="230" w:hanging="230"/>
      </w:pPr>
      <w:r>
        <w:rPr>
          <w:rFonts w:eastAsia="Times New Roman"/>
          <w:sz w:val="17"/>
        </w:rPr>
        <w:t xml:space="preserve">10. </w:t>
      </w:r>
      <w:r>
        <w:rPr>
          <w:rFonts w:eastAsia="Times New Roman"/>
          <w:b/>
          <w:sz w:val="17"/>
        </w:rPr>
        <w:t>Locked test:</w:t>
      </w:r>
      <w:r>
        <w:rPr>
          <w:rFonts w:eastAsia="Times New Roman"/>
          <w:sz w:val="17"/>
        </w:rPr>
        <w:t xml:space="preserve"> The 2020-01-01–2020-07-01 period remains unevaluated; no claim about its performance is possible.</w:t>
      </w:r>
    </w:p>
    <w:p w14:paraId="66DDA5D3" w14:textId="77777777" w:rsidR="00C315A5" w:rsidRDefault="00570C2B">
      <w:pPr>
        <w:pStyle w:val="Heading1"/>
      </w:pPr>
      <w:r>
        <w:rPr>
          <w:rFonts w:ascii="Times New Roman" w:eastAsia="Times New Roman" w:hAnsi="Times New Roman"/>
          <w:sz w:val="19"/>
        </w:rPr>
        <w:t>XIII. CONCLUSION AND FUTURE WORK</w:t>
      </w:r>
    </w:p>
    <w:p w14:paraId="602F6E5C" w14:textId="77777777" w:rsidR="00C315A5" w:rsidRDefault="00570C2B">
      <w:pPr>
        <w:pStyle w:val="BodyText"/>
        <w:keepLines/>
        <w:spacing w:after="50"/>
        <w:ind w:firstLine="173"/>
      </w:pPr>
      <w:r>
        <w:rPr>
          <w:rFonts w:eastAsia="Times New Roman"/>
          <w:sz w:val="17"/>
        </w:rPr>
        <w:t>The saved development artifact supports a descriptive account of baseline errors and prediction coverage on the 2019 model-selection period under the specified direct-horizon protocol. These results are not independent final estimates because 2019 contributes to Ridge alpha selection. The study does not establish model superiority, unseen-city generalization, or operational early-warning effectiveness.</w:t>
      </w:r>
    </w:p>
    <w:p w14:paraId="16A9B00B" w14:textId="77777777" w:rsidR="00C315A5" w:rsidRDefault="00570C2B">
      <w:pPr>
        <w:pStyle w:val="BodyText"/>
        <w:keepLines/>
        <w:spacing w:after="50"/>
        <w:ind w:firstLine="173"/>
      </w:pPr>
      <w:r>
        <w:rPr>
          <w:rFonts w:eastAsia="Times New Roman"/>
          <w:sz w:val="17"/>
        </w:rPr>
        <w:t>The data's upstream lineage and rights, historical AQI-generation procedure, and runtime compatibility remain unresolved. Future work may address these evidence gaps and, only after separate authorization, conduct a predeclared evaluation on the locked test. Any operational warning claim would require a distinct evaluation of warning definitions, lead time, event detection, false alarms, and actual alert behavior. None of these future analyses is reported as completed.</w:t>
      </w:r>
    </w:p>
    <w:p w14:paraId="06D349B3" w14:textId="77777777" w:rsidR="00C315A5" w:rsidRDefault="00570C2B">
      <w:pPr>
        <w:pStyle w:val="Heading1"/>
      </w:pPr>
      <w:r>
        <w:rPr>
          <w:rFonts w:ascii="Times New Roman" w:eastAsia="Times New Roman" w:hAnsi="Times New Roman"/>
          <w:sz w:val="19"/>
        </w:rPr>
        <w:t>XIV. DATA AND CODE AVAILABILITY</w:t>
      </w:r>
    </w:p>
    <w:p w14:paraId="72BF183D" w14:textId="77777777" w:rsidR="00C315A5" w:rsidRDefault="00570C2B">
      <w:pPr>
        <w:pStyle w:val="BodyText"/>
        <w:spacing w:after="50"/>
        <w:ind w:firstLine="173"/>
        <w:sectPr w:rsidR="00C315A5" w:rsidSect="00034616">
          <w:type w:val="continuous"/>
          <w:pgSz w:w="12240" w:h="15840"/>
          <w:pgMar w:top="979" w:right="979" w:bottom="979" w:left="979" w:header="720" w:footer="720" w:gutter="0"/>
          <w:cols w:num="2" w:space="360" w:equalWidth="1"/>
          <w:docGrid w:linePitch="360"/>
        </w:sectPr>
      </w:pPr>
      <w:r>
        <w:rPr>
          <w:rFonts w:eastAsia="Times New Roman"/>
          <w:sz w:val="17"/>
        </w:rPr>
        <w:t xml:space="preserve">The research package contains the protocol, implementation, tests, provenance notes, saved run record, and associated log. The analyzed data are the city-day CSV described in Section IV and identified there </w:t>
      </w:r>
      <w:r>
        <w:rPr>
          <w:rFonts w:eastAsia="Times New Roman"/>
          <w:sz w:val="17"/>
        </w:rPr>
        <w:lastRenderedPageBreak/>
        <w:t>by its SHA-256 checksum. The saved run record captures the command, data identity, runtime, protocol, source fingerprint, and development outputs. Its recorded command invokes the development runner and performs model fitting and selection; it is not a test-only command. Dataset identity and the limits of the hosted Kaggle attribution and license label are described in Section IV and Reference [12].</w:t>
      </w:r>
    </w:p>
    <w:p w14:paraId="2811CF8D" w14:textId="77777777" w:rsidR="00C315A5" w:rsidRDefault="00570C2B" w:rsidP="00AB3462">
      <w:pPr>
        <w:pStyle w:val="Heading1"/>
        <w:keepNext/>
        <w:keepLines/>
        <w:spacing w:after="80"/>
      </w:pPr>
      <w:r>
        <w:rPr>
          <w:rFonts w:ascii="Times New Roman" w:eastAsia="Times New Roman" w:hAnsi="Times New Roman"/>
          <w:sz w:val="19"/>
        </w:rPr>
        <w:t>REFERENCES</w:t>
      </w:r>
    </w:p>
    <w:p w14:paraId="4E542392" w14:textId="77777777" w:rsidR="00C315A5" w:rsidRDefault="00570C2B" w:rsidP="00AB3462">
      <w:pPr>
        <w:keepLines/>
        <w:widowControl/>
        <w:spacing w:after="40"/>
        <w:ind w:left="259" w:hanging="259"/>
      </w:pPr>
      <w:r>
        <w:rPr>
          <w:rFonts w:eastAsia="Times New Roman"/>
          <w:sz w:val="15"/>
        </w:rPr>
        <w:t xml:space="preserve">[1] A. Kumar and P. Goyal, “Forecasting of daily air quality index in Delhi,” </w:t>
      </w:r>
      <w:r>
        <w:rPr>
          <w:rFonts w:eastAsia="Times New Roman"/>
          <w:i/>
          <w:sz w:val="15"/>
        </w:rPr>
        <w:t>Science of the Total Environment</w:t>
      </w:r>
      <w:r>
        <w:rPr>
          <w:rFonts w:eastAsia="Times New Roman"/>
          <w:sz w:val="15"/>
        </w:rPr>
        <w:t>, vol. 409, no. 24, pp. 5517–5523, 2011, doi: 10.1016/j.scitotenv.2011.08.069.</w:t>
      </w:r>
    </w:p>
    <w:p w14:paraId="0CE57F98" w14:textId="77777777" w:rsidR="00C315A5" w:rsidRDefault="00570C2B" w:rsidP="00AB3462">
      <w:pPr>
        <w:keepLines/>
        <w:widowControl/>
        <w:spacing w:after="40"/>
        <w:ind w:left="259" w:hanging="259"/>
      </w:pPr>
      <w:r>
        <w:rPr>
          <w:rFonts w:eastAsia="Times New Roman"/>
          <w:sz w:val="15"/>
        </w:rPr>
        <w:t xml:space="preserve">[2] V. Gupta, S. Kapadia, and C. Bhadane, “Time Series Analysis and Forecasting of Air Quality in India,” in </w:t>
      </w:r>
      <w:r>
        <w:rPr>
          <w:rFonts w:eastAsia="Times New Roman"/>
          <w:i/>
          <w:sz w:val="15"/>
        </w:rPr>
        <w:t>2023 Fifth International Conference on Electrical, Computer and Communication Technologies</w:t>
      </w:r>
      <w:r>
        <w:rPr>
          <w:rFonts w:eastAsia="Times New Roman"/>
          <w:sz w:val="15"/>
        </w:rPr>
        <w:t>, 2023, pp. 1–5, doi: 10.1109/ICECCT56650.2023.10179673.</w:t>
      </w:r>
    </w:p>
    <w:p w14:paraId="5B5C9EBE" w14:textId="77777777" w:rsidR="00C315A5" w:rsidRDefault="00570C2B" w:rsidP="00AB3462">
      <w:pPr>
        <w:keepLines/>
        <w:widowControl/>
        <w:spacing w:after="40"/>
        <w:ind w:left="259" w:hanging="259"/>
      </w:pPr>
      <w:r>
        <w:rPr>
          <w:rFonts w:eastAsia="Times New Roman"/>
          <w:sz w:val="15"/>
        </w:rPr>
        <w:t xml:space="preserve">[3] Gayatri, Sourabh Anand, and M. K. Satyarthi, “Analysis of air quality of Delhi and AQI forecast using SARIMAX,” </w:t>
      </w:r>
      <w:r>
        <w:rPr>
          <w:rFonts w:eastAsia="Times New Roman"/>
          <w:i/>
          <w:sz w:val="15"/>
        </w:rPr>
        <w:t>Journal of Biofuels</w:t>
      </w:r>
      <w:r>
        <w:rPr>
          <w:rFonts w:eastAsia="Times New Roman"/>
          <w:sz w:val="15"/>
        </w:rPr>
        <w:t>, vol. 15, no. 1, pp. 1–12, 2024, doi: 10.5958/0976-4763.2024.00001.5.</w:t>
      </w:r>
    </w:p>
    <w:p w14:paraId="0B42C587" w14:textId="77777777" w:rsidR="00C315A5" w:rsidRDefault="00570C2B" w:rsidP="00AB3462">
      <w:pPr>
        <w:keepLines/>
        <w:widowControl/>
        <w:spacing w:after="40"/>
        <w:ind w:left="259" w:hanging="259"/>
      </w:pPr>
      <w:r>
        <w:rPr>
          <w:rFonts w:eastAsia="Times New Roman"/>
          <w:sz w:val="15"/>
        </w:rPr>
        <w:t xml:space="preserve">[4] C. B. Pande, N. L. Kushwaha, O. A. Alawi, S. S. Sammen, L. M. Sidek, Z. M. Yaseen, S. C. Pal, and O. M. Katipoğlu, “Daily scale air quality index forecasting using bidirectional recurrent neural networks: Case study of Delhi, India,” </w:t>
      </w:r>
      <w:r>
        <w:rPr>
          <w:rFonts w:eastAsia="Times New Roman"/>
          <w:i/>
          <w:sz w:val="15"/>
        </w:rPr>
        <w:t>Environmental Pollution</w:t>
      </w:r>
      <w:r>
        <w:rPr>
          <w:rFonts w:eastAsia="Times New Roman"/>
          <w:sz w:val="15"/>
        </w:rPr>
        <w:t>, vol. 351, Art. no. 124040, 2024, doi: 10.1016/j.envpol.2024.124040.</w:t>
      </w:r>
    </w:p>
    <w:p w14:paraId="1BA0921A" w14:textId="77777777" w:rsidR="00C315A5" w:rsidRDefault="00570C2B" w:rsidP="00AB3462">
      <w:pPr>
        <w:keepLines/>
        <w:widowControl/>
        <w:spacing w:after="40"/>
        <w:ind w:left="259" w:hanging="259"/>
      </w:pPr>
      <w:r>
        <w:rPr>
          <w:rFonts w:eastAsia="Times New Roman"/>
          <w:sz w:val="15"/>
        </w:rPr>
        <w:t xml:space="preserve">[5] C. B. Pande, L. Radhadevi, and M. B. Satyanarayana, “Evaluation of machine learning and deep learning models for daily air quality index prediction in Delhi city, India,” </w:t>
      </w:r>
      <w:r>
        <w:rPr>
          <w:rFonts w:eastAsia="Times New Roman"/>
          <w:i/>
          <w:sz w:val="15"/>
        </w:rPr>
        <w:t>Environmental Monitoring and Assessment</w:t>
      </w:r>
      <w:r>
        <w:rPr>
          <w:rFonts w:eastAsia="Times New Roman"/>
          <w:sz w:val="15"/>
        </w:rPr>
        <w:t>, vol. 196, no. 12, Art. no. 1215, 2024, doi: 10.1007/s10661-024-13351-1. Full text and the relevant metric table were unavailable; the MSE/RMSE concern remains unresolved.</w:t>
      </w:r>
    </w:p>
    <w:p w14:paraId="7A11C2EA" w14:textId="77777777" w:rsidR="00C315A5" w:rsidRDefault="00570C2B" w:rsidP="00AB3462">
      <w:pPr>
        <w:keepLines/>
        <w:widowControl/>
        <w:spacing w:after="40"/>
        <w:ind w:left="259" w:hanging="259"/>
      </w:pPr>
      <w:r>
        <w:rPr>
          <w:rFonts w:eastAsia="Times New Roman"/>
          <w:sz w:val="15"/>
        </w:rPr>
        <w:t xml:space="preserve">[6] L. Chen et al., “Group-Aware Graph Neural Network for Nationwide City Air Quality Forecasting,” </w:t>
      </w:r>
      <w:r>
        <w:rPr>
          <w:rFonts w:eastAsia="Times New Roman"/>
          <w:i/>
          <w:sz w:val="15"/>
        </w:rPr>
        <w:t>ACM Transactions on Knowledge Discovery from Data</w:t>
      </w:r>
      <w:r>
        <w:rPr>
          <w:rFonts w:eastAsia="Times New Roman"/>
          <w:sz w:val="15"/>
        </w:rPr>
        <w:t>, vol. 18, no. 3, pp. 1–20, 2024 (online 2023), doi: 10.1145/3631713.</w:t>
      </w:r>
    </w:p>
    <w:p w14:paraId="166F7230" w14:textId="77777777" w:rsidR="00C315A5" w:rsidRDefault="00570C2B" w:rsidP="00AB3462">
      <w:pPr>
        <w:keepLines/>
        <w:widowControl/>
        <w:spacing w:after="40"/>
        <w:ind w:left="259" w:hanging="259"/>
      </w:pPr>
      <w:r>
        <w:rPr>
          <w:rFonts w:eastAsia="Times New Roman"/>
          <w:sz w:val="15"/>
        </w:rPr>
        <w:t xml:space="preserve">[7] V. Cerqueira, L. Torgo, and I. Mozetič, “Evaluating time series forecasting models: an empirical study on performance estimation methods,” </w:t>
      </w:r>
      <w:r>
        <w:rPr>
          <w:rFonts w:eastAsia="Times New Roman"/>
          <w:i/>
          <w:sz w:val="15"/>
        </w:rPr>
        <w:t>Machine Learning</w:t>
      </w:r>
      <w:r>
        <w:rPr>
          <w:rFonts w:eastAsia="Times New Roman"/>
          <w:sz w:val="15"/>
        </w:rPr>
        <w:t>, vol. 109, no. 11, pp. 1997–2028, 2020, doi: 10.1007/s10994-020-05910-7.</w:t>
      </w:r>
    </w:p>
    <w:p w14:paraId="4C7C538F" w14:textId="77777777" w:rsidR="00C315A5" w:rsidRDefault="00570C2B" w:rsidP="00AB3462">
      <w:pPr>
        <w:keepLines/>
        <w:widowControl/>
        <w:spacing w:after="40"/>
        <w:ind w:left="259" w:hanging="259"/>
      </w:pPr>
      <w:r>
        <w:rPr>
          <w:rFonts w:eastAsia="Times New Roman"/>
          <w:sz w:val="15"/>
        </w:rPr>
        <w:t xml:space="preserve">[8] D. R. Roberts et al., “Cross-validation strategies for data with temporal, spatial, hierarchical, or phylogenetic structure,” </w:t>
      </w:r>
      <w:r>
        <w:rPr>
          <w:rFonts w:eastAsia="Times New Roman"/>
          <w:i/>
          <w:sz w:val="15"/>
        </w:rPr>
        <w:t>Ecography</w:t>
      </w:r>
      <w:r>
        <w:rPr>
          <w:rFonts w:eastAsia="Times New Roman"/>
          <w:sz w:val="15"/>
        </w:rPr>
        <w:t>, vol. 40, no. 8, pp. 913–929, 2017, doi: 10.1111/ecog.02881.</w:t>
      </w:r>
    </w:p>
    <w:p w14:paraId="589E70A9" w14:textId="77777777" w:rsidR="00C315A5" w:rsidRDefault="00570C2B" w:rsidP="00AB3462">
      <w:pPr>
        <w:keepLines/>
        <w:widowControl/>
        <w:spacing w:after="40"/>
        <w:ind w:left="259" w:hanging="259"/>
      </w:pPr>
      <w:r>
        <w:rPr>
          <w:rFonts w:eastAsia="Times New Roman"/>
          <w:sz w:val="15"/>
        </w:rPr>
        <w:t xml:space="preserve">[9] L. J. Tashman, “Out-of-sample tests of forecasting accuracy: an analysis and review,” </w:t>
      </w:r>
      <w:r>
        <w:rPr>
          <w:rFonts w:eastAsia="Times New Roman"/>
          <w:i/>
          <w:sz w:val="15"/>
        </w:rPr>
        <w:t>International Journal of Forecasting</w:t>
      </w:r>
      <w:r>
        <w:rPr>
          <w:rFonts w:eastAsia="Times New Roman"/>
          <w:sz w:val="15"/>
        </w:rPr>
        <w:t>, vol. 16, no. 4, pp. 437–450, 2000, doi: 10.1016/S0169-2070(00)00065-0.</w:t>
      </w:r>
    </w:p>
    <w:p w14:paraId="5154E9D2" w14:textId="77777777" w:rsidR="00C315A5" w:rsidRDefault="00570C2B" w:rsidP="00AB3462">
      <w:pPr>
        <w:keepLines/>
        <w:widowControl/>
        <w:spacing w:after="40"/>
        <w:ind w:left="259" w:hanging="259"/>
      </w:pPr>
      <w:r>
        <w:rPr>
          <w:rFonts w:eastAsia="Times New Roman"/>
          <w:sz w:val="15"/>
        </w:rPr>
        <w:t xml:space="preserve">[10] R. J. Hyndman and G. Athanasopoulos, </w:t>
      </w:r>
      <w:r>
        <w:rPr>
          <w:rFonts w:eastAsia="Times New Roman"/>
          <w:i/>
          <w:sz w:val="15"/>
        </w:rPr>
        <w:t>Forecasting: Principles and Practice</w:t>
      </w:r>
      <w:r>
        <w:rPr>
          <w:rFonts w:eastAsia="Times New Roman"/>
          <w:sz w:val="15"/>
        </w:rPr>
        <w:t>, 3rd ed. Melbourne, Australia: OTexts, 2021, Chapter 5, “The forecaster’s toolbox,” Section 5.10, “Time series cross-validation.” [Online]. Available: https://otexts.com/fpp3/tscv.html.</w:t>
      </w:r>
    </w:p>
    <w:p w14:paraId="419B02BE" w14:textId="77777777" w:rsidR="00C315A5" w:rsidRDefault="00570C2B" w:rsidP="00AB3462">
      <w:pPr>
        <w:keepLines/>
        <w:widowControl/>
        <w:spacing w:after="40"/>
        <w:ind w:left="259" w:hanging="259"/>
      </w:pPr>
      <w:r>
        <w:rPr>
          <w:rFonts w:eastAsia="Times New Roman"/>
          <w:sz w:val="15"/>
        </w:rPr>
        <w:t xml:space="preserve">[11] Central Pollution Control Board, </w:t>
      </w:r>
      <w:r>
        <w:rPr>
          <w:rFonts w:eastAsia="Times New Roman"/>
          <w:i/>
          <w:sz w:val="15"/>
        </w:rPr>
        <w:t>National Air Quality Index: Final Report</w:t>
      </w:r>
      <w:r>
        <w:rPr>
          <w:rFonts w:eastAsia="Times New Roman"/>
          <w:sz w:val="15"/>
        </w:rPr>
        <w:t>. [Online]. Available: https://airquality.cpcb.gov.in/ccr_docs/FINAL-REPORT_AQI_.pdf. The inspected repository record does not establish an individual author or verified publication date.</w:t>
      </w:r>
    </w:p>
    <w:p w14:paraId="72C50A9D" w14:textId="77777777" w:rsidR="00C315A5" w:rsidRDefault="00570C2B" w:rsidP="00AB3462">
      <w:pPr>
        <w:keepLines/>
        <w:widowControl/>
        <w:spacing w:after="40"/>
        <w:ind w:left="259" w:hanging="259"/>
      </w:pPr>
      <w:r>
        <w:rPr>
          <w:rFonts w:eastAsia="Times New Roman"/>
          <w:sz w:val="15"/>
        </w:rPr>
        <w:t>[12] Kaggle, “Air Quality Data in India (2015–2020),” dataset by rohanrao</w:t>
      </w:r>
      <w:r>
        <w:rPr>
          <w:rFonts w:eastAsia="Times New Roman"/>
          <w:sz w:val="15"/>
        </w:rPr>
        <w:t>, version 12. [Online]. Available: https://www.kaggle.com/datasets/rohanrao/air-quality-data-in-india. Kaggle's displayed attribution and CC0 label are hosted-record metadata, not independent proof of upstream CPCB rights.</w:t>
      </w:r>
    </w:p>
    <w:sectPr w:rsidR="00C315A5" w:rsidSect="00034616">
      <w:type w:val="continuous"/>
      <w:pgSz w:w="12240" w:h="15840"/>
      <w:pgMar w:top="979" w:right="979" w:bottom="979" w:left="979"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581D5" w14:textId="77777777" w:rsidR="00570C2B" w:rsidRDefault="00570C2B">
      <w:r>
        <w:separator/>
      </w:r>
    </w:p>
  </w:endnote>
  <w:endnote w:type="continuationSeparator" w:id="0">
    <w:p w14:paraId="05BC820D" w14:textId="77777777" w:rsidR="00570C2B" w:rsidRDefault="00570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AF17C" w14:textId="77777777" w:rsidR="00C315A5" w:rsidRDefault="00570C2B">
    <w:pPr>
      <w:pStyle w:val="Footer"/>
      <w:jc w:val="center"/>
    </w:pPr>
    <w:r>
      <w:fldChar w:fldCharType="begin"/>
    </w:r>
    <w:r>
      <w:instrText>PAGE</w:instrText>
    </w:r>
    <w:r>
      <w:fldChar w:fldCharType="separate"/>
    </w:r>
    <w:r w:rsidR="00AB3462">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F468" w14:textId="77777777" w:rsidR="00C315A5" w:rsidRDefault="00570C2B">
    <w:pPr>
      <w:pStyle w:val="Footer"/>
      <w:jc w:val="center"/>
    </w:pPr>
    <w:r>
      <w:fldChar w:fldCharType="begin"/>
    </w:r>
    <w:r>
      <w:instrText>PAGE</w:instrText>
    </w:r>
    <w:r>
      <w:fldChar w:fldCharType="separate"/>
    </w:r>
    <w:r w:rsidR="00AB3462">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65CF" w14:textId="77777777" w:rsidR="00570C2B" w:rsidRDefault="00570C2B">
      <w:r>
        <w:separator/>
      </w:r>
    </w:p>
  </w:footnote>
  <w:footnote w:type="continuationSeparator" w:id="0">
    <w:p w14:paraId="287DF845" w14:textId="77777777" w:rsidR="00570C2B" w:rsidRDefault="00570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7881057">
    <w:abstractNumId w:val="8"/>
  </w:num>
  <w:num w:numId="2" w16cid:durableId="804587673">
    <w:abstractNumId w:val="6"/>
  </w:num>
  <w:num w:numId="3" w16cid:durableId="831065747">
    <w:abstractNumId w:val="5"/>
  </w:num>
  <w:num w:numId="4" w16cid:durableId="2129466165">
    <w:abstractNumId w:val="4"/>
  </w:num>
  <w:num w:numId="5" w16cid:durableId="971593074">
    <w:abstractNumId w:val="7"/>
  </w:num>
  <w:num w:numId="6" w16cid:durableId="101192445">
    <w:abstractNumId w:val="3"/>
  </w:num>
  <w:num w:numId="7" w16cid:durableId="70128046">
    <w:abstractNumId w:val="2"/>
  </w:num>
  <w:num w:numId="8" w16cid:durableId="772090659">
    <w:abstractNumId w:val="1"/>
  </w:num>
  <w:num w:numId="9" w16cid:durableId="2113279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C2B"/>
    <w:rsid w:val="009A5724"/>
    <w:rsid w:val="00AA1D8D"/>
    <w:rsid w:val="00AB3462"/>
    <w:rsid w:val="00B47730"/>
    <w:rsid w:val="00C315A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6A282A"/>
  <w14:defaultImageDpi w14:val="300"/>
  <w15:docId w15:val="{58B6A135-343D-497B-B1D0-A9296C0F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olor w:val="000000"/>
      <w:sz w:val="18"/>
    </w:rPr>
  </w:style>
  <w:style w:type="paragraph" w:styleId="Heading1">
    <w:name w:val="heading 1"/>
    <w:basedOn w:val="Normal"/>
    <w:next w:val="Normal"/>
    <w:link w:val="Heading1Char"/>
    <w:uiPriority w:val="9"/>
    <w:qFormat/>
    <w:rsid w:val="00FC693F"/>
    <w:pPr>
      <w:keepNext/>
      <w:keepLines/>
      <w:spacing w:before="120" w:after="60"/>
      <w:jc w:val="center"/>
      <w:outlineLvl w:val="0"/>
    </w:pPr>
    <w:rPr>
      <w:rFonts w:asciiTheme="majorHAnsi" w:eastAsiaTheme="majorEastAsia" w:hAnsiTheme="majorHAnsi" w:cstheme="majorBidi"/>
      <w:b/>
      <w:bCs/>
      <w:sz w:val="2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i/>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4303</Words>
  <Characters>24528</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Short-Horizon Daily AQI Forecast Baselines on a Multi-City Indian Dataset</dc:title>
  <dc:subject>Provisional IEEE-style conference-paper formatting</dc:subject>
  <dc:creator>Poonam Tanwar; Krishna Bhatia; Prateek Singh; Snehaal Mukherjee</dc:creator>
  <cp:keywords/>
  <dc:description>generated by python-docx</dc:description>
  <cp:lastModifiedBy>Krishna Bhatia</cp:lastModifiedBy>
  <cp:revision>2</cp:revision>
  <dcterms:created xsi:type="dcterms:W3CDTF">2013-12-23T23:15:00Z</dcterms:created>
  <dcterms:modified xsi:type="dcterms:W3CDTF">2026-10-10T12:00:00Z</dcterms:modified>
  <cp:category/>
</cp:coreProperties>
</file>