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Objective of this assignment is to extract textual data from SEC / EDGAR financial reports and perform text analysis to compute variables those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Data Source</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Link to SEC / EDGAR financial reports are given in excel spreadsheet “cik_list.xlsx”. </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Please add </w:t>
      </w:r>
      <w:hyperlink r:id="rId7">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every cells of column F (cik_list.xlsx) to access link to the financial report. </w:t>
      </w:r>
    </w:p>
    <w:p w:rsidR="00000000" w:rsidDel="00000000" w:rsidP="00000000" w:rsidRDefault="00000000" w:rsidRPr="00000000" w14:paraId="0000000A">
      <w:pPr>
        <w:spacing w:line="360" w:lineRule="auto"/>
        <w:rPr>
          <w:rFonts w:ascii="Calibri" w:cs="Calibri" w:eastAsia="Calibri" w:hAnsi="Calibri"/>
          <w:color w:val="000000"/>
        </w:rPr>
      </w:pPr>
      <w:r w:rsidDel="00000000" w:rsidR="00000000" w:rsidRPr="00000000">
        <w:rPr>
          <w:rFonts w:ascii="Times New Roman" w:cs="Times New Roman" w:eastAsia="Times New Roman" w:hAnsi="Times New Roman"/>
          <w:color w:val="404040"/>
          <w:sz w:val="24"/>
          <w:szCs w:val="24"/>
          <w:rtl w:val="0"/>
        </w:rPr>
        <w:t xml:space="preserve">Example: Row 2, column F contains </w:t>
      </w:r>
      <w:r w:rsidDel="00000000" w:rsidR="00000000" w:rsidRPr="00000000">
        <w:rPr>
          <w:rFonts w:ascii="Calibri" w:cs="Calibri" w:eastAsia="Calibri" w:hAnsi="Calibri"/>
          <w:color w:val="000000"/>
          <w:rtl w:val="0"/>
        </w:rPr>
        <w:t xml:space="preserve">edgar/data/3662/0000950170-98-000413.txt</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w:t>
      </w:r>
      <w:hyperlink r:id="rId8">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form financial report link i.e. </w:t>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hyperlink r:id="rId10">
        <w:r w:rsidDel="00000000" w:rsidR="00000000" w:rsidRPr="00000000">
          <w:rPr>
            <w:rFonts w:ascii="Calibri" w:cs="Calibri" w:eastAsia="Calibri" w:hAnsi="Calibri"/>
            <w:color w:val="0563c1"/>
            <w:u w:val="single"/>
            <w:rtl w:val="0"/>
          </w:rPr>
          <w:t xml:space="preserve">edgar/data/3662/0000950170-98-000413.txt</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Variables:</w:t>
      </w:r>
    </w:p>
    <w:p w:rsidR="00000000" w:rsidDel="00000000" w:rsidP="00000000" w:rsidRDefault="00000000" w:rsidRPr="00000000" w14:paraId="0000000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“Text Analysis.docx” you need to compute following: </w:t>
      </w:r>
    </w:p>
    <w:p w:rsidR="00000000" w:rsidDel="00000000" w:rsidP="00000000" w:rsidRDefault="00000000" w:rsidRPr="00000000" w14:paraId="0000001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1.1: Positive score, negative score, polarity score</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2: Average Sentence Length, percentage of complex words, fog index</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4: Complex word count</w:t>
      </w:r>
    </w:p>
    <w:p w:rsidR="00000000" w:rsidDel="00000000" w:rsidP="00000000" w:rsidRDefault="00000000" w:rsidRPr="00000000" w14:paraId="0000001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5: Word count</w:t>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addition to these eight variables, compute two more items: “uncertainty” and “constraining”. These variables are calculated similar to the ones in Section 1.1 or Section 4. Attached the lists of words that are classified as uncertain or constraining.</w:t>
      </w:r>
    </w:p>
    <w:p w:rsidR="00000000" w:rsidDel="00000000" w:rsidP="00000000" w:rsidRDefault="00000000" w:rsidRPr="00000000" w14:paraId="0000001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uncertainty:</w:t>
      </w:r>
      <w:r w:rsidDel="00000000" w:rsidR="00000000" w:rsidRPr="00000000">
        <w:rPr>
          <w:rFonts w:ascii="Times New Roman" w:cs="Times New Roman" w:eastAsia="Times New Roman" w:hAnsi="Times New Roman"/>
          <w:color w:val="404040"/>
          <w:sz w:val="24"/>
          <w:szCs w:val="24"/>
          <w:rtl w:val="0"/>
        </w:rPr>
        <w:t xml:space="preserve"> “uncertainty_dictionary.xlsx”</w:t>
      </w:r>
    </w:p>
    <w:p w:rsidR="00000000" w:rsidDel="00000000" w:rsidP="00000000" w:rsidRDefault="00000000" w:rsidRPr="00000000" w14:paraId="0000001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constraining:</w:t>
      </w:r>
      <w:r w:rsidDel="00000000" w:rsidR="00000000" w:rsidRPr="00000000">
        <w:rPr>
          <w:rFonts w:ascii="Times New Roman" w:cs="Times New Roman" w:eastAsia="Times New Roman" w:hAnsi="Times New Roman"/>
          <w:color w:val="404040"/>
          <w:sz w:val="24"/>
          <w:szCs w:val="24"/>
          <w:rtl w:val="0"/>
        </w:rPr>
        <w:t xml:space="preserve"> “constraining_dictionary.xlsx”</w:t>
      </w:r>
    </w:p>
    <w:p w:rsidR="00000000" w:rsidDel="00000000" w:rsidP="00000000" w:rsidRDefault="00000000" w:rsidRPr="00000000" w14:paraId="00000019">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 more variables:</w:t>
      </w:r>
    </w:p>
    <w:p w:rsidR="00000000" w:rsidDel="00000000" w:rsidP="00000000" w:rsidRDefault="00000000" w:rsidRPr="00000000" w14:paraId="0000001B">
      <w:pPr>
        <w:pStyle w:val="Heading1"/>
        <w:spacing w:line="360" w:lineRule="auto"/>
        <w:ind w:left="0" w:firstLine="0"/>
        <w:rPr/>
      </w:pPr>
      <w:r w:rsidDel="00000000" w:rsidR="00000000" w:rsidRPr="00000000">
        <w:rPr>
          <w:rFonts w:ascii="Times New Roman" w:cs="Times New Roman" w:eastAsia="Times New Roman" w:hAnsi="Times New Roman"/>
          <w:b w:val="1"/>
          <w:color w:val="404040"/>
          <w:sz w:val="24"/>
          <w:szCs w:val="24"/>
          <w:rtl w:val="0"/>
        </w:rPr>
        <w:t xml:space="preserve">For the variables: positive word proportion, negative word proportion, uncertainty word proportion, and constraining word proportion:</w:t>
      </w:r>
      <w:r w:rsidDel="00000000" w:rsidR="00000000" w:rsidRPr="00000000">
        <w:rPr>
          <w:rtl w:val="0"/>
        </w:rPr>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absolute values of “Positive/Negative Scores” are equal to the number of positive/negative words in each report of 10-Q/K; so the (Loughran-McDonald) positive/negative word proportion can be simply calculated as “Positive/Negative Scores divided by Word Count – compute these measure in addition to Polarity Score.  And, the “uncertainty score” and “constraining score” will be also just equal to the number of corresponding words and you can calculate the portion of these words as the same as above.  </w:t>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 more variables:</w:t>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the variable Constraining words for whole report</w:t>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one variable to the mix, which will be calculated for the whole report. It’s the number of “constraining” words over the whole report.</w:t>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shd w:fill="ffffff" w:val="clear"/>
        <w:spacing w:after="0" w:line="360"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That means you need to collect/compute 15 variables in total.</w:t>
      </w:r>
    </w:p>
    <w:p w:rsidR="00000000" w:rsidDel="00000000" w:rsidP="00000000" w:rsidRDefault="00000000" w:rsidRPr="00000000" w14:paraId="0000002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4">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Data</w:t>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report (financial reports, links available in excel, cik list), we would like these 15 variables calculated for the whole report. </w:t>
      </w:r>
    </w:p>
    <w:p w:rsidR="00000000" w:rsidDel="00000000" w:rsidP="00000000" w:rsidRDefault="00000000" w:rsidRPr="00000000" w14:paraId="0000002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You need to read, access and clean the financial report and KEEP TEXT ONLY from the annual report url. Clean and remove html / xml, etc. codes, syntaxes, and best of your knowledge. You can keep text (paragraphs, sections, titles, readable text, tables, etc. whichever are the part of the financial report in the given url). Remove all noise and unwanted data from the annual report urls.</w:t>
      </w:r>
    </w:p>
    <w:p w:rsidR="00000000" w:rsidDel="00000000" w:rsidP="00000000" w:rsidRDefault="00000000" w:rsidRPr="00000000" w14:paraId="0000002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Attached is the spreadsheet “cik_list.xlsx”, which also contains the links to reports. It would be ideal if you could add 15 columns to each row, so that we would have the # rows unchanged after your data collection.</w:t>
      </w:r>
    </w:p>
    <w:p w:rsidR="00000000" w:rsidDel="00000000" w:rsidP="00000000" w:rsidRDefault="00000000" w:rsidRPr="00000000" w14:paraId="0000002A">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B">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Data Structure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All input variables in “cik_list.xlsx”</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positive_score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negative_score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polarity_score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average_sentence_length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percentage_of_complex_words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fog_index</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complex_word_count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word_count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uncertainty_score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constraining_score</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positive_word_proportion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negative_word_proportion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uncertainty_word_proportion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constraining_word_proportion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constraining_words_whole_report</w:t>
      </w:r>
    </w:p>
    <w:p w:rsidR="00000000" w:rsidDel="00000000" w:rsidP="00000000" w:rsidRDefault="00000000" w:rsidRPr="00000000" w14:paraId="0000003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w:t>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Timeline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4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Where to submit</w:t>
      </w:r>
    </w:p>
    <w:p w:rsidR="00000000" w:rsidDel="00000000" w:rsidP="00000000" w:rsidRDefault="00000000" w:rsidRPr="00000000" w14:paraId="00000044">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45">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49">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nvWAgrCBdq1JkKou8" TargetMode="External"/><Relationship Id="rId10" Type="http://schemas.openxmlformats.org/officeDocument/2006/relationships/hyperlink" Target="https://www.sec.gov/Archives/edgar/data/3662/0000950170-98-000413.txt" TargetMode="External"/><Relationship Id="rId9" Type="http://schemas.openxmlformats.org/officeDocument/2006/relationships/hyperlink" Target="https://www.sec.gov/Archives/edgar/data/3662/0000950170-98-000413.t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c.gov/Archives/" TargetMode="External"/><Relationship Id="rId8" Type="http://schemas.openxmlformats.org/officeDocument/2006/relationships/hyperlink" Target="https://www.sec.gov/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tLUQC3sx/NLXDZYHl+EBDDShg==">AMUW2mWbjpD+dMdTJ/2HnfVgCUccLLjNmMk356mNWP0JUBRC43hA2kMBufw2mkDlBus4HGRtsqIOOSzhcsRwVdUZ7MCTYDu44vlGmGRmqTGiU3ili9hFWUc=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