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line="276" w:lineRule="auto"/>
        <w:jc w:val="center"/>
      </w:pPr>
      <w:r>
        <w:rPr>
          <w:rFonts w:ascii="Times New Roman" w:hAnsi="Times New Roman"/>
          <w:b/>
          <w:sz w:val="40"/>
        </w:rPr>
        <w:t>JavaLabPortal: An Enterprise 3-Tier Web-Based Practical Learning, Laboratory Automation, and Examination Platform for Advanced Java Education</w:t>
      </w:r>
    </w:p>
    <w:p>
      <w:pPr>
        <w:spacing w:before="0" w:after="40"/>
        <w:jc w:val="center"/>
      </w:pPr>
      <w:r>
        <w:rPr>
          <w:rFonts w:ascii="Times New Roman" w:hAnsi="Times New Roman"/>
          <w:b/>
          <w:sz w:val="21"/>
        </w:rPr>
        <w:t>Krishna Gupta, Karan Ramlakhani, Kanishq Chasta, Jayesh Sharma, Juned Hussain</w:t>
      </w:r>
    </w:p>
    <w:p>
      <w:pPr>
        <w:spacing w:before="0" w:after="20"/>
        <w:jc w:val="center"/>
      </w:pPr>
      <w:r>
        <w:rPr>
          <w:rFonts w:ascii="Times New Roman" w:hAnsi="Times New Roman"/>
          <w:sz w:val="20"/>
        </w:rPr>
        <w:t>Department of Artificial Intelligence &amp; Data Science</w:t>
      </w:r>
    </w:p>
    <w:p>
      <w:pPr>
        <w:spacing w:before="0" w:after="20"/>
        <w:jc w:val="center"/>
      </w:pPr>
      <w:r>
        <w:rPr>
          <w:rFonts w:ascii="Times New Roman" w:hAnsi="Times New Roman"/>
          <w:sz w:val="20"/>
        </w:rPr>
        <w:t>Arya College of Engineering &amp; I.T., Jaipur, Rajasthan, India</w:t>
      </w:r>
    </w:p>
    <w:p>
      <w:pPr>
        <w:spacing w:before="0" w:after="40"/>
        <w:jc w:val="center"/>
      </w:pPr>
      <w:r>
        <w:rPr>
          <w:rFonts w:ascii="Times New Roman" w:hAnsi="Times New Roman"/>
          <w:sz w:val="20"/>
        </w:rPr>
        <w:t>Affiliated to Rajasthan Technical University, Kota</w:t>
      </w:r>
    </w:p>
    <w:p>
      <w:pPr>
        <w:spacing w:before="0" w:after="200"/>
        <w:jc w:val="center"/>
      </w:pPr>
      <w:r>
        <w:rPr>
          <w:rFonts w:ascii="Times New Roman" w:hAnsi="Times New Roman"/>
          <w:i/>
          <w:sz w:val="19"/>
        </w:rPr>
        <w:t>Guide: Er. Ram Babu Buri (Assistant Professor) | Academic Session: 2026–2027 (5th Semester B.Tech in AI &amp; DS)</w:t>
      </w:r>
    </w:p>
    <w:p>
      <w:pPr>
        <w:spacing w:before="80" w:after="80" w:line="252" w:lineRule="auto"/>
        <w:jc w:val="both"/>
      </w:pPr>
      <w:r>
        <w:rPr>
          <w:rFonts w:ascii="Times New Roman" w:hAnsi="Times New Roman"/>
          <w:b/>
          <w:sz w:val="19"/>
        </w:rPr>
        <w:t>Abstract—</w:t>
      </w:r>
      <w:r>
        <w:rPr>
          <w:rFonts w:ascii="Times New Roman" w:hAnsi="Times New Roman"/>
          <w:sz w:val="19"/>
        </w:rPr>
        <w:t>Practical laboratory education in Advanced Java programming requires orchestrating multi-faceted workflows, including syllabus dissemination, interactive code visualization, session attendance recording, continuous assignment submission, rigorous laboratory examinations, objective evaluation, and bi-directional student feedback. In affiliated engineering institutions, these workflows are traditionally bifurcated across fragile physical logbooks, unnormalized spreadsheets, or fragmented desktop utilities, resulting in severe data loss, administrative bottlenecks, non-verifiable grades, and absent academic analytics. This paper introduces JavaLabPortal, an enterprise-grade, cloud-native 3-tier web platform engineered to automate the entire academic lifecycle of the Advance Java Lab curriculum under Rajasthan Technical University (RTU), Kota. Built using Jakarta EE (Java Servlets, JavaServer Pages), a high-performance HikariCP connection pool, and an optimized MySQL 8.0 relational database, JavaLabPortal integrates five specialized modules: (i) Secure Authentication and Role-Based Access Control (RBAC) with salted BCrypt hashing and session filters; (ii) an Interactive Experiment Simulation Engine providing client-side execution models for AWT events, JDBC pooling, multi-threading, socket communication, and Servlet lifecycles; (iii) a Randomized Online Examination Engine with seed-based question shuffling, server-side anti-malpractice timers, and real-time auto-grading; (iv) an Automated Evaluation &amp; Gradebook Module implementing RTU's six-tier grading scale with instant dynamic PDF gradecard generation; and (v) a Continuous Student Feedback and Pedagogical Analytics Subsystem. Based on a rigorous literature survey of 38 foundational papers in virtual labs and automated assessment, we identify five persistent research gaps—namely, workflow isolation, prohibitive infrastructure overhead, vulnerability to academic malpractice, enterprise security deficiencies, and post-hoc uninformative feedback—and demonstrate how JavaLabPortal methodically resolves each. Stress testing under concurrent loads of up to 100 simultaneous student threads confirms sub-120 ms server response latencies with a lightweight cloud container footprint under 380 MB RAM. Usability evaluation across 60 participants yielded an exceptional System Usability Scale (SUS) score of 86.4, establishing JavaLabPortal as a scalable, cost-free, and pedagogically transformative solution for higher engineering education.</w:t>
      </w:r>
    </w:p>
    <w:p>
      <w:pPr>
        <w:spacing w:before="40" w:after="240" w:line="252" w:lineRule="auto"/>
        <w:jc w:val="both"/>
      </w:pPr>
      <w:r>
        <w:rPr>
          <w:rFonts w:ascii="Times New Roman" w:hAnsi="Times New Roman"/>
          <w:b/>
          <w:sz w:val="19"/>
        </w:rPr>
        <w:t>Keywords—</w:t>
      </w:r>
      <w:r>
        <w:rPr>
          <w:rFonts w:ascii="Times New Roman" w:hAnsi="Times New Roman"/>
          <w:i/>
          <w:sz w:val="19"/>
        </w:rPr>
        <w:t>Advanced Java Lab, Laboratory Automation, 3-Tier MVC Architecture, Virtual Laboratory, Automated Examination, Role-Based Access Control, Cloud Deployment, Literature Gap Analysis, RTU Kota.</w:t>
      </w:r>
    </w:p>
    <w:p>
      <w:pPr>
        <w:sectPr>
          <w:headerReference w:type="default" r:id="rId9"/>
          <w:footerReference w:type="default" r:id="rId10"/>
          <w:pgSz w:w="12240" w:h="15840"/>
          <w:pgMar w:top="1080" w:right="936" w:bottom="1080" w:left="936" w:header="720" w:footer="720" w:gutter="0"/>
          <w:cols w:space="720"/>
          <w:docGrid w:linePitch="360"/>
        </w:sectPr>
      </w:pPr>
    </w:p>
    <w:p>
      <w:pPr>
        <w:keepNext/>
        <w:spacing w:before="180" w:after="60"/>
        <w:jc w:val="left"/>
      </w:pPr>
      <w:r>
        <w:rPr>
          <w:rFonts w:ascii="Times New Roman" w:hAnsi="Times New Roman"/>
          <w:b/>
          <w:sz w:val="20"/>
        </w:rPr>
        <w:t>I.  INTRODUCTION</w:t>
      </w:r>
    </w:p>
    <w:p>
      <w:pPr>
        <w:spacing w:before="0" w:after="80" w:line="252" w:lineRule="auto"/>
        <w:jc w:val="both"/>
      </w:pPr>
      <w:r>
        <w:rPr>
          <w:rFonts w:ascii="Times New Roman" w:hAnsi="Times New Roman"/>
          <w:sz w:val="20"/>
        </w:rPr>
        <w:t>Computer science and engineering education heavily relies on laboratory courses to bridge theoretical concepts with practical engineering competencies. In undergraduate engineering curricula affiliated to state technical universities, such as the 5th Semester B.Tech in Artificial Intelligence &amp; Data Science at Rajasthan Technical University (RTU), Kota, the Advance Java Lab plays a critical foundational role. Students master enterprise Java technologies, including graphical user interface design (AWT/Swing), database connectivity (JDBC), concurrent programming (multithreading), network sockets, and distributed enterprise web components (Servlets and JavaServer Pages).</w:t>
      </w:r>
    </w:p>
    <w:p>
      <w:pPr>
        <w:spacing w:before="0" w:after="80" w:line="252" w:lineRule="auto"/>
        <w:jc w:val="both"/>
      </w:pPr>
      <w:r>
        <w:rPr>
          <w:rFonts w:ascii="Times New Roman" w:hAnsi="Times New Roman"/>
          <w:sz w:val="20"/>
        </w:rPr>
        <w:t>Despite the academic rigor of this curriculum, the pedagogical and administrative infrastructure of academic computing laboratories remains profoundly antiquated. In most affiliated engineering colleges, lab instructors manage sections of 30 to 60 students per batch using physical attendance registers, loose paper observation sheets, unlinked spreadsheets, and disconnected local compiler installations. Across an academic semester comprising 15–20 lab sessions, 8–10 structured practicals, and multiple examination evaluations, an instructor is burdened with tracking upwards of 3,000 distinct data points per section. This manual fragmentation introduces catastrophic failure modes: physical registers degrade or get misplaced, spreadsheet formulas corrupt silently without relational integrity, identifying attendance defaulters below the statutory 75% threshold requires painstaking manual calculation, and examination grades are prone to subjective recording discrepancies.</w:t>
      </w:r>
    </w:p>
    <w:p>
      <w:pPr>
        <w:spacing w:before="0" w:after="80" w:line="252" w:lineRule="auto"/>
        <w:jc w:val="both"/>
      </w:pPr>
      <w:r>
        <w:rPr>
          <w:rFonts w:ascii="Times New Roman" w:hAnsi="Times New Roman"/>
          <w:sz w:val="20"/>
        </w:rPr>
        <w:t>In our preliminary work during the 4th semester, we introduced the Java Lab Management System (JLMS), an automated console-based standalone prototype using Core Java and SQLite. While JLMS successfully demonstrated relational automation and eliminated manual grade math, its execution model was inherently constrained: it operated as a single-user desktop CLI application, lacked network accessibility, possessed no graphical user interface, offered no concurrent student self-service capabilities, and could not host interactive experiment simulations or real-time online examinations.</w:t>
      </w:r>
    </w:p>
    <w:p>
      <w:pPr>
        <w:spacing w:before="0" w:after="80" w:line="252" w:lineRule="auto"/>
        <w:jc w:val="both"/>
      </w:pPr>
      <w:r>
        <w:rPr>
          <w:rFonts w:ascii="Times New Roman" w:hAnsi="Times New Roman"/>
          <w:sz w:val="20"/>
        </w:rPr>
        <w:t>To decisively overcome these fundamental bottlenecks, this paper presents JavaLabPortal, an enterprise-grade, cloud-native 3-tier web-based practical learning, laboratory automation, and examination platform specifically engineered for the Advance Java Lab curriculum. JavaLabPortal provides a unified digital ecosystem where students, faculty, and administrators interact seamlessly across modern web browsers. The primary contributions of this work are summarized as follows:</w:t>
      </w:r>
    </w:p>
    <w:p>
      <w:pPr>
        <w:spacing w:before="0" w:after="60" w:line="252" w:lineRule="auto"/>
        <w:ind w:left="259"/>
        <w:jc w:val="both"/>
      </w:pPr>
      <w:r>
        <w:rPr>
          <w:rFonts w:ascii="Times New Roman" w:hAnsi="Times New Roman"/>
          <w:b/>
          <w:sz w:val="20"/>
        </w:rPr>
        <w:t xml:space="preserve">•  Architectural Transition: </w:t>
      </w:r>
      <w:r>
        <w:rPr>
          <w:rFonts w:ascii="Times New Roman" w:hAnsi="Times New Roman"/>
          <w:sz w:val="20"/>
        </w:rPr>
        <w:t>Upgrading academic lab infrastructure from isolated console/desktop tools to a robust, containerized 3-tier Jakarta EE architecture (JSP, Servlets, HikariCP, MySQL 8.0) deployed on low-overhead cloud infrastructure.</w:t>
      </w:r>
    </w:p>
    <w:p>
      <w:pPr>
        <w:spacing w:before="0" w:after="60" w:line="252" w:lineRule="auto"/>
        <w:ind w:left="259"/>
        <w:jc w:val="both"/>
      </w:pPr>
      <w:r>
        <w:rPr>
          <w:rFonts w:ascii="Times New Roman" w:hAnsi="Times New Roman"/>
          <w:b/>
          <w:sz w:val="20"/>
        </w:rPr>
        <w:t xml:space="preserve">•  Interactive Experimentation: </w:t>
      </w:r>
      <w:r>
        <w:rPr>
          <w:rFonts w:ascii="Times New Roman" w:hAnsi="Times New Roman"/>
          <w:sz w:val="20"/>
        </w:rPr>
        <w:t>Developing a client-side execution and visualization engine that enables students to interactively observe complex Advance Java mechanics (AWT event queues, JDBC connection lifecycles, thread states, and Servlet pipelines) in real time.</w:t>
      </w:r>
    </w:p>
    <w:p>
      <w:pPr>
        <w:spacing w:before="0" w:after="60" w:line="252" w:lineRule="auto"/>
        <w:ind w:left="259"/>
        <w:jc w:val="both"/>
      </w:pPr>
      <w:r>
        <w:rPr>
          <w:rFonts w:ascii="Times New Roman" w:hAnsi="Times New Roman"/>
          <w:b/>
          <w:sz w:val="20"/>
        </w:rPr>
        <w:t xml:space="preserve">•  Anti-Malpractice Examination Engine: </w:t>
      </w:r>
      <w:r>
        <w:rPr>
          <w:rFonts w:ascii="Times New Roman" w:hAnsi="Times New Roman"/>
          <w:sz w:val="20"/>
        </w:rPr>
        <w:t>Engineering an online evaluation subsystem with randomized question shuffling, server-side anti-collusion countdown timers, instant objective auto-grading, and integrated viva-voce score recording.</w:t>
      </w:r>
    </w:p>
    <w:p>
      <w:pPr>
        <w:spacing w:before="0" w:after="60" w:line="252" w:lineRule="auto"/>
        <w:ind w:left="259"/>
        <w:jc w:val="both"/>
      </w:pPr>
      <w:r>
        <w:rPr>
          <w:rFonts w:ascii="Times New Roman" w:hAnsi="Times New Roman"/>
          <w:b/>
          <w:sz w:val="20"/>
        </w:rPr>
        <w:t xml:space="preserve">•  Automated Gradebook &amp; Defaulter Tracking: </w:t>
      </w:r>
      <w:r>
        <w:rPr>
          <w:rFonts w:ascii="Times New Roman" w:hAnsi="Times New Roman"/>
          <w:sz w:val="20"/>
        </w:rPr>
        <w:t>Enforcing strict relational integrity across attendance, continuous practical evaluations, and exam marks to automate the 6-tier RTU grading scale and generate dynamic downloadable PDF reports.</w:t>
      </w:r>
    </w:p>
    <w:p>
      <w:pPr>
        <w:spacing w:before="0" w:after="60" w:line="252" w:lineRule="auto"/>
        <w:ind w:left="259"/>
        <w:jc w:val="both"/>
      </w:pPr>
      <w:r>
        <w:rPr>
          <w:rFonts w:ascii="Times New Roman" w:hAnsi="Times New Roman"/>
          <w:b/>
          <w:sz w:val="20"/>
        </w:rPr>
        <w:t xml:space="preserve">•  Exhaustive Literature Gap Resolution: </w:t>
      </w:r>
      <w:r>
        <w:rPr>
          <w:rFonts w:ascii="Times New Roman" w:hAnsi="Times New Roman"/>
          <w:sz w:val="20"/>
        </w:rPr>
        <w:t>Conducting a comprehensive literature survey across 38 peer-reviewed research papers and methodically solving five critical research gaps observed in existing virtual laboratories and autograding systems.</w:t>
      </w:r>
    </w:p>
    <w:p>
      <w:pPr>
        <w:keepNext/>
        <w:spacing w:before="180" w:after="60"/>
        <w:jc w:val="left"/>
      </w:pPr>
      <w:r>
        <w:rPr>
          <w:rFonts w:ascii="Times New Roman" w:hAnsi="Times New Roman"/>
          <w:b/>
          <w:sz w:val="20"/>
        </w:rPr>
        <w:t>II.  LITERATURE SURVEY &amp; RESEARCH GAP ANALYSIS</w:t>
      </w:r>
    </w:p>
    <w:p>
      <w:pPr>
        <w:spacing w:before="0" w:after="80" w:line="252" w:lineRule="auto"/>
        <w:jc w:val="both"/>
      </w:pPr>
      <w:r>
        <w:rPr>
          <w:rFonts w:ascii="Times New Roman" w:hAnsi="Times New Roman"/>
          <w:sz w:val="20"/>
        </w:rPr>
        <w:t>To establish a rigorous theoretical and empirical foundation for JavaLabPortal, we performed an exhaustive literature review spanning 38 recent peer-reviewed research papers and publications across five distinct academic domains: (i) Virtual Laboratories and Simulation Platforms; (ii) Automated Programming Assessment and Autograders; (iii) Secure Web Architectures and Authentication; (iv) Computer-Based Examination Platforms; and (v) Student Feedback and Pedagogical Analytics. Below, we synthesize the state of the art and articulate the persistent research gaps that JavaLabPortal systematically resolves.</w:t>
      </w:r>
    </w:p>
    <w:p>
      <w:pPr>
        <w:keepNext/>
        <w:spacing w:before="120" w:after="40"/>
        <w:jc w:val="left"/>
      </w:pPr>
      <w:r>
        <w:rPr>
          <w:rFonts w:ascii="Times New Roman" w:hAnsi="Times New Roman"/>
          <w:b/>
          <w:i/>
          <w:sz w:val="20"/>
        </w:rPr>
        <w:t>A. Virtual Laboratories &amp; Computational Experimentation</w:t>
      </w:r>
    </w:p>
    <w:p>
      <w:pPr>
        <w:spacing w:before="0" w:after="80" w:line="252" w:lineRule="auto"/>
        <w:jc w:val="both"/>
      </w:pPr>
      <w:r>
        <w:rPr>
          <w:rFonts w:ascii="Times New Roman" w:hAnsi="Times New Roman"/>
          <w:sz w:val="20"/>
        </w:rPr>
        <w:t>Virtual laboratories have emerged as vital educational instruments to augment physical computing infrastructure. Bilqis et al. [1] demonstrated that web-based virtual labs significantly improve basic practicum outcomes by providing accessible pre-lab preparation. Brinson's comprehensive meta-analysis [2] established that virtual laboratories achieve learning outcomes equal to or superior to traditional physical labs, particularly when interactive visualizations are present. Tan and Wong [3] investigated web-enabled remote control and simulated laboratories, showing high student engagement but highlighting severe complexity in hardware interfacing. Foster et al. [16] designed virtual laboratories tailored for computational experiment workflows, while Jones et al. [17] explored adaptive user behaviors within simulation environments. Zhang et al. [18] and Morris et al. [19] investigated domain-agnostic scientific workflows and web-stack drug design simulations. In cloud infrastructure contexts, Patel et al. [21] analyzed institutional cloud deployments, while Blascovich et al. [22] and Lowe et al. [38] evaluated 3D immersion and longitudinal platform efficacy for online practicals. Sharples et al. [36] and Chari et al. [37] highlighted the growing role of interactive visual tools in advanced computing pedagogy.</w:t>
      </w:r>
    </w:p>
    <w:p>
      <w:pPr>
        <w:keepNext/>
        <w:spacing w:before="120" w:after="40"/>
        <w:jc w:val="left"/>
      </w:pPr>
      <w:r>
        <w:rPr>
          <w:rFonts w:ascii="Times New Roman" w:hAnsi="Times New Roman"/>
          <w:b/>
          <w:i/>
          <w:sz w:val="20"/>
        </w:rPr>
        <w:t>B. Automated Programming Assessment &amp; Autograders</w:t>
      </w:r>
    </w:p>
    <w:p>
      <w:pPr>
        <w:spacing w:before="0" w:after="80" w:line="252" w:lineRule="auto"/>
        <w:jc w:val="both"/>
      </w:pPr>
      <w:r>
        <w:rPr>
          <w:rFonts w:ascii="Times New Roman" w:hAnsi="Times New Roman"/>
          <w:sz w:val="20"/>
        </w:rPr>
        <w:t>Automated grading tools have received extensive attention in computer science education literature. Joy et al. [4] explored source-code plagiarism detection integration into automated evaluation pipelines. Malik and Khan [5] developed a comprehensive assessment system leveraging containerized unit testing. Wang et al. [6] engineered an online scoring system specifically tailored to Java assignments, validating student code against pre-compiled test harnesses. Smith et al. [7] examined automated code evaluation for applied mathematical courses, demonstrating rapid feedback benefits. Autograder+ by Roy et al. [25] integrated multi-faceted static analysis to provide richer pedagogical guidance. Keuning et al. [27] and Paiva et al. [30] delivered systematic reviews of automated grading tools, classifying feedback formats into error-driven, metric-based, and hints. Recent investigations have explored Large Language Models: Wang et al. [31] presented CodEv for LLM-based grading; Ding et al. [32] introduced StepGrade for context-aware step-level assessment; while Douce et al. [35] explored complex assessments beyond simple input-output test assertions.</w:t>
      </w:r>
    </w:p>
    <w:p>
      <w:pPr>
        <w:keepNext/>
        <w:spacing w:before="120" w:after="40"/>
        <w:jc w:val="left"/>
      </w:pPr>
      <w:r>
        <w:rPr>
          <w:rFonts w:ascii="Times New Roman" w:hAnsi="Times New Roman"/>
          <w:b/>
          <w:i/>
          <w:sz w:val="20"/>
        </w:rPr>
        <w:t>C. Secure Web Architectures &amp; Authentication Protocols</w:t>
      </w:r>
    </w:p>
    <w:p>
      <w:pPr>
        <w:spacing w:before="0" w:after="80" w:line="252" w:lineRule="auto"/>
        <w:jc w:val="both"/>
      </w:pPr>
      <w:r>
        <w:rPr>
          <w:rFonts w:ascii="Times New Roman" w:hAnsi="Times New Roman"/>
          <w:sz w:val="20"/>
        </w:rPr>
        <w:t>Web-based academic software demands rigorous security engineering. Al-Zahrani [9] demonstrated the efficacy of Jakarta EE architectures (JSP and Servlets) for introducing enterprise-grade secure database systems, highlighting container-managed security over ad-hoc scripting. Furnell et al. [11] investigated authentication usability and challenge-response protocols, proving that credential security must be balanced against frictionless access in high-throughput student environments. Academic portals frequently suffer from privilege escalation and SQL injection when parameterized interfaces are bypassed.</w:t>
      </w:r>
    </w:p>
    <w:p>
      <w:pPr>
        <w:keepNext/>
        <w:spacing w:before="120" w:after="40"/>
        <w:jc w:val="left"/>
      </w:pPr>
      <w:r>
        <w:rPr>
          <w:rFonts w:ascii="Times New Roman" w:hAnsi="Times New Roman"/>
          <w:b/>
          <w:i/>
          <w:sz w:val="20"/>
        </w:rPr>
        <w:t>D. Computer-Based Examination Platforms</w:t>
      </w:r>
    </w:p>
    <w:p>
      <w:pPr>
        <w:spacing w:before="0" w:after="80" w:line="252" w:lineRule="auto"/>
        <w:jc w:val="both"/>
      </w:pPr>
      <w:r>
        <w:rPr>
          <w:rFonts w:ascii="Times New Roman" w:hAnsi="Times New Roman"/>
          <w:sz w:val="20"/>
        </w:rPr>
        <w:t>Online examinations require robust anti-malpractice mechanisms. Hashim et al. [10] developed an online licensing examination architecture, emphasizing randomized question presentation to defeat visual collusion. Kumar et al. [12] proposed Labsense, an AI-integrated practical examination evaluation tool that combines automated test-case scoring with live code-behavior monitoring. However, commercial LMS engines often treat laboratory exams identically to written multiple-choice tests, ignoring practical viva-voce requirements.</w:t>
      </w:r>
    </w:p>
    <w:p>
      <w:pPr>
        <w:keepNext/>
        <w:spacing w:before="120" w:after="40"/>
        <w:jc w:val="left"/>
      </w:pPr>
      <w:r>
        <w:rPr>
          <w:rFonts w:ascii="Times New Roman" w:hAnsi="Times New Roman"/>
          <w:b/>
          <w:i/>
          <w:sz w:val="20"/>
        </w:rPr>
        <w:t>E. Student Feedback &amp; Pedagogical Analytics</w:t>
      </w:r>
    </w:p>
    <w:p>
      <w:pPr>
        <w:spacing w:before="0" w:after="80" w:line="252" w:lineRule="auto"/>
        <w:jc w:val="both"/>
      </w:pPr>
      <w:r>
        <w:rPr>
          <w:rFonts w:ascii="Times New Roman" w:hAnsi="Times New Roman"/>
          <w:sz w:val="20"/>
        </w:rPr>
        <w:t>Continuous feedback is essential for maintaining higher education quality. Richardson [14] and Browne et al. [15] established that structured student feedback directly drives curriculum enhancement and sustainable academic delivery. Baumgartner et al. [13] evaluated the mobiDIK portal for unified learning workflows. Baker [8] investigated intelligent information handling in web environments. Recent AI studies, including Singhal et al. [20], Lin et al. [23] (PythonPal), MacNeil et al. [24], Kazemitabaar et al. [26], Chen et al. [28], Marras et al. [29], Gupta et al. [33] (Deep Learning Bug-Localization), and Malan et al. [34] (ChatGPT Teaching Assistants), demonstrate the pedagogical power of targeted guidance, but repeatedly caution against uncurated AI hallucinations in formal evaluations.</w:t>
      </w:r>
    </w:p>
    <w:p>
      <w:pPr>
        <w:keepNext/>
        <w:spacing w:before="120" w:after="40"/>
        <w:jc w:val="left"/>
      </w:pPr>
      <w:r>
        <w:rPr>
          <w:rFonts w:ascii="Times New Roman" w:hAnsi="Times New Roman"/>
          <w:b/>
          <w:i/>
          <w:sz w:val="20"/>
        </w:rPr>
        <w:t>F. Identification of Critical Research Gaps</w:t>
      </w:r>
    </w:p>
    <w:p>
      <w:pPr>
        <w:spacing w:before="0" w:after="80" w:line="252" w:lineRule="auto"/>
        <w:jc w:val="both"/>
      </w:pPr>
      <w:r>
        <w:rPr>
          <w:rFonts w:ascii="Times New Roman" w:hAnsi="Times New Roman"/>
          <w:sz w:val="20"/>
        </w:rPr>
        <w:t>A rigorous synthesis of the 38 reviewed publications reveals five critical research gaps that impair real-world adoption in university labs:</w:t>
      </w:r>
    </w:p>
    <w:p>
      <w:pPr>
        <w:spacing w:before="0" w:after="60" w:line="252" w:lineRule="auto"/>
        <w:ind w:left="259"/>
        <w:jc w:val="both"/>
      </w:pPr>
      <w:r>
        <w:rPr>
          <w:rFonts w:ascii="Times New Roman" w:hAnsi="Times New Roman"/>
          <w:b/>
          <w:sz w:val="20"/>
        </w:rPr>
        <w:t xml:space="preserve">•  Gap 1: Disconnect Between Simulations and Academic Lifecycle (Papers [1]–[3], [16]–[19], [38]): </w:t>
      </w:r>
      <w:r>
        <w:rPr>
          <w:rFonts w:ascii="Times New Roman" w:hAnsi="Times New Roman"/>
          <w:sz w:val="20"/>
        </w:rPr>
        <w:t>Existing virtual labs focus exclusively on domain simulations in isolation. They lack integrated student batch enrollment, session attendance registers, syllabus-mapped manual distribution, continuous practical submission pipelines, and university gradebooks.</w:t>
      </w:r>
    </w:p>
    <w:p>
      <w:pPr>
        <w:spacing w:before="0" w:after="60" w:line="252" w:lineRule="auto"/>
        <w:ind w:left="259"/>
        <w:jc w:val="both"/>
      </w:pPr>
      <w:r>
        <w:rPr>
          <w:rFonts w:ascii="Times New Roman" w:hAnsi="Times New Roman"/>
          <w:b/>
          <w:sz w:val="20"/>
        </w:rPr>
        <w:t xml:space="preserve">•  Gap 2: Prohibitive Infrastructure Costs and LLM Hallucinations (Papers [5]–[7], [21], [25], [31]–[32]): </w:t>
      </w:r>
      <w:r>
        <w:rPr>
          <w:rFonts w:ascii="Times New Roman" w:hAnsi="Times New Roman"/>
          <w:sz w:val="20"/>
        </w:rPr>
        <w:t>Commercial and cloud auto-graders require complex Kubernetes clusters and dynamic container fleets with high recurring billing. Conversely, recent LLM-based graders suffer from non-deterministic grading variances and hallucinations that violate accredited university examination standards.</w:t>
      </w:r>
    </w:p>
    <w:p>
      <w:pPr>
        <w:spacing w:before="0" w:after="60" w:line="252" w:lineRule="auto"/>
        <w:ind w:left="259"/>
        <w:jc w:val="both"/>
      </w:pPr>
      <w:r>
        <w:rPr>
          <w:rFonts w:ascii="Times New Roman" w:hAnsi="Times New Roman"/>
          <w:b/>
          <w:sz w:val="20"/>
        </w:rPr>
        <w:t xml:space="preserve">•  Gap 3: Enterprise Security &amp; RBAC Deficiencies (Papers [9], [11]): </w:t>
      </w:r>
      <w:r>
        <w:rPr>
          <w:rFonts w:ascii="Times New Roman" w:hAnsi="Times New Roman"/>
          <w:sz w:val="20"/>
        </w:rPr>
        <w:t>Many educational web portals store passwords in plaintext or weak hashes, concatenate dynamic SQL queries (vulnerable to SQL injection), and lack declarative servlet filters, allowing unauthorized privilege escalation.</w:t>
      </w:r>
    </w:p>
    <w:p>
      <w:pPr>
        <w:spacing w:before="0" w:after="60" w:line="252" w:lineRule="auto"/>
        <w:ind w:left="259"/>
        <w:jc w:val="both"/>
      </w:pPr>
      <w:r>
        <w:rPr>
          <w:rFonts w:ascii="Times New Roman" w:hAnsi="Times New Roman"/>
          <w:b/>
          <w:sz w:val="20"/>
        </w:rPr>
        <w:t xml:space="preserve">•  Gap 4: Exam Collusion &amp; Viva-Voce Disconnect (Papers [10], [12]): </w:t>
      </w:r>
      <w:r>
        <w:rPr>
          <w:rFonts w:ascii="Times New Roman" w:hAnsi="Times New Roman"/>
          <w:sz w:val="20"/>
        </w:rPr>
        <w:t>Computer-based test tools present static question sequences vulnerable to peer screen-peeking in packed labs, while ignoring faculty-led oral viva-voce evaluations, forcing instructors back to physical registers.</w:t>
      </w:r>
    </w:p>
    <w:p>
      <w:pPr>
        <w:spacing w:before="0" w:after="60" w:line="252" w:lineRule="auto"/>
        <w:ind w:left="259"/>
        <w:jc w:val="both"/>
      </w:pPr>
      <w:r>
        <w:rPr>
          <w:rFonts w:ascii="Times New Roman" w:hAnsi="Times New Roman"/>
          <w:b/>
          <w:sz w:val="20"/>
        </w:rPr>
        <w:t xml:space="preserve">•  Gap 5: Latent, Uninformative Student Feedback (Papers [14], [26], [29]): </w:t>
      </w:r>
      <w:r>
        <w:rPr>
          <w:rFonts w:ascii="Times New Roman" w:hAnsi="Times New Roman"/>
          <w:sz w:val="20"/>
        </w:rPr>
        <w:t>Institutional feedback is traditionally collected weeks after course completion via generic paper surveys, preventing instructors from discovering and rectifying lab experiment bottlenecks during the active semester.</w:t>
      </w:r>
    </w:p>
    <w:p>
      <w:pPr>
        <w:keepNext/>
        <w:spacing w:before="120" w:after="40"/>
        <w:jc w:val="left"/>
      </w:pPr>
      <w:r>
        <w:rPr>
          <w:rFonts w:ascii="Times New Roman" w:hAnsi="Times New Roman"/>
          <w:b/>
          <w:i/>
          <w:sz w:val="20"/>
        </w:rPr>
        <w:t>G. Proposed Solution Matrix</w:t>
      </w:r>
    </w:p>
    <w:p>
      <w:pPr>
        <w:spacing w:before="0" w:after="80" w:line="252" w:lineRule="auto"/>
        <w:jc w:val="both"/>
      </w:pPr>
      <w:r>
        <w:rPr>
          <w:rFonts w:ascii="Times New Roman" w:hAnsi="Times New Roman"/>
          <w:sz w:val="20"/>
        </w:rPr>
        <w:t>JavaLabPortal resolves all five research gaps through purposeful architectural decisions, summarized in Table I.</w:t>
      </w:r>
    </w:p>
    <w:p>
      <w:pPr>
        <w:keepNext/>
        <w:spacing w:before="120" w:after="40"/>
        <w:jc w:val="center"/>
      </w:pPr>
      <w:r>
        <w:rPr>
          <w:rFonts w:ascii="Times New Roman" w:hAnsi="Times New Roman"/>
          <w:b/>
          <w:sz w:val="17"/>
        </w:rPr>
        <w:t>TABLE I.   RESEARCH GAP RESOLUTION MATRIX</w:t>
      </w:r>
    </w:p>
    <w:tbl>
      <w:tblPr>
        <w:tblW w:type="auto" w:w="0"/>
        <w:jc w:val="center"/>
        <w:tblLook w:firstColumn="1" w:firstRow="1" w:lastColumn="0" w:lastRow="0" w:noHBand="0" w:noVBand="1" w:val="04A0"/>
      </w:tblPr>
      <w:tblGrid>
        <w:gridCol w:w="3456"/>
        <w:gridCol w:w="3456"/>
        <w:gridCol w:w="3456"/>
      </w:tblGrid>
      <w:tr>
        <w:trPr>
          <w:cantSplit/>
        </w:trPr>
        <w:tc>
          <w:tcPr>
            <w:tcW w:type="dxa" w:w="936"/>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center"/>
            </w:pPr>
            <w:r>
              <w:rPr>
                <w:rFonts w:ascii="Times New Roman" w:hAnsi="Times New Roman"/>
                <w:b/>
                <w:sz w:val="16"/>
              </w:rPr>
              <w:t>Ref Gap</w:t>
            </w:r>
          </w:p>
        </w:tc>
        <w:tc>
          <w:tcPr>
            <w:tcW w:type="dxa" w:w="1944"/>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left"/>
            </w:pPr>
            <w:r>
              <w:rPr>
                <w:rFonts w:ascii="Times New Roman" w:hAnsi="Times New Roman"/>
                <w:b/>
                <w:sz w:val="16"/>
              </w:rPr>
              <w:t>Literature Limitation</w:t>
            </w:r>
          </w:p>
        </w:tc>
        <w:tc>
          <w:tcPr>
            <w:tcW w:type="dxa" w:w="2088"/>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left"/>
            </w:pPr>
            <w:r>
              <w:rPr>
                <w:rFonts w:ascii="Times New Roman" w:hAnsi="Times New Roman"/>
                <w:b/>
                <w:sz w:val="16"/>
              </w:rPr>
              <w:t>JavaLabPortal Resolution</w:t>
            </w:r>
          </w:p>
        </w:tc>
      </w:tr>
      <w:tr>
        <w:trPr>
          <w:cantSplit/>
        </w:trPr>
        <w:tc>
          <w:tcPr>
            <w:tcW w:type="dxa" w:w="93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Gap 1</w:t>
            </w:r>
          </w:p>
        </w:tc>
        <w:tc>
          <w:tcPr>
            <w:tcW w:type="dxa" w:w="194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Virtual labs lack academic tracking, attendance, &amp; gradebooks.</w:t>
            </w:r>
          </w:p>
        </w:tc>
        <w:tc>
          <w:tcPr>
            <w:tcW w:type="dxa" w:w="208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Full 3-tier lifecycle: Enrollment, attendance, syllabus, submissions, exams, &amp; reports.</w:t>
            </w:r>
          </w:p>
        </w:tc>
      </w:tr>
      <w:tr>
        <w:trPr>
          <w:cantSplit/>
        </w:trPr>
        <w:tc>
          <w:tcPr>
            <w:tcW w:type="dxa" w:w="93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Gap 2</w:t>
            </w:r>
          </w:p>
        </w:tc>
        <w:tc>
          <w:tcPr>
            <w:tcW w:type="dxa" w:w="194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Autograders require costly k8s clusters; LLMs hallucinate.</w:t>
            </w:r>
          </w:p>
        </w:tc>
        <w:tc>
          <w:tcPr>
            <w:tcW w:type="dxa" w:w="208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Zero-cost containerized Tomcat+MySQL architecture; 100% deterministic rubric grading.</w:t>
            </w:r>
          </w:p>
        </w:tc>
      </w:tr>
      <w:tr>
        <w:trPr>
          <w:cantSplit/>
        </w:trPr>
        <w:tc>
          <w:tcPr>
            <w:tcW w:type="dxa" w:w="93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Gap 3</w:t>
            </w:r>
          </w:p>
        </w:tc>
        <w:tc>
          <w:tcPr>
            <w:tcW w:type="dxa" w:w="194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Academic portals vulnerable to SQLi, plain auth, and no RBAC.</w:t>
            </w:r>
          </w:p>
        </w:tc>
        <w:tc>
          <w:tcPr>
            <w:tcW w:type="dxa" w:w="208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Salted BCrypt (cost=12), 100% PreparedStatement queries, and AuthFilter RBAC.</w:t>
            </w:r>
          </w:p>
        </w:tc>
      </w:tr>
      <w:tr>
        <w:trPr>
          <w:cantSplit/>
        </w:trPr>
        <w:tc>
          <w:tcPr>
            <w:tcW w:type="dxa" w:w="93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Gap 4</w:t>
            </w:r>
          </w:p>
        </w:tc>
        <w:tc>
          <w:tcPr>
            <w:tcW w:type="dxa" w:w="194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Static exam orders enable cheating; oral vivas disconnected.</w:t>
            </w:r>
          </w:p>
        </w:tc>
        <w:tc>
          <w:tcPr>
            <w:tcW w:type="dxa" w:w="208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Randomized question shuffling, server-side timer, &amp; integrated faculty viva scoring.</w:t>
            </w:r>
          </w:p>
        </w:tc>
      </w:tr>
      <w:tr>
        <w:trPr>
          <w:cantSplit/>
        </w:trPr>
        <w:tc>
          <w:tcPr>
            <w:tcW w:type="dxa" w:w="93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Gap 5</w:t>
            </w:r>
          </w:p>
        </w:tc>
        <w:tc>
          <w:tcPr>
            <w:tcW w:type="dxa" w:w="194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Post-hoc end-of-term paper feedback lacks actionable insight.</w:t>
            </w:r>
          </w:p>
        </w:tc>
        <w:tc>
          <w:tcPr>
            <w:tcW w:type="dxa" w:w="208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Granular experiment-wise continuous feedback with real-time faculty analytics.</w:t>
            </w:r>
          </w:p>
        </w:tc>
      </w:tr>
    </w:tbl>
    <w:p>
      <w:pPr>
        <w:keepNext/>
        <w:spacing w:before="180" w:after="60"/>
        <w:jc w:val="left"/>
      </w:pPr>
      <w:r>
        <w:rPr>
          <w:rFonts w:ascii="Times New Roman" w:hAnsi="Times New Roman"/>
          <w:b/>
          <w:sz w:val="20"/>
        </w:rPr>
        <w:t>III.  PROBLEM FORMULATION &amp; SYSTEM REQUIREMENTS</w:t>
      </w:r>
    </w:p>
    <w:p>
      <w:pPr>
        <w:keepNext/>
        <w:spacing w:before="120" w:after="40"/>
        <w:jc w:val="left"/>
      </w:pPr>
      <w:r>
        <w:rPr>
          <w:rFonts w:ascii="Times New Roman" w:hAnsi="Times New Roman"/>
          <w:b/>
          <w:i/>
          <w:sz w:val="20"/>
        </w:rPr>
        <w:t>A. Mathematical Problem Formulation</w:t>
      </w:r>
    </w:p>
    <w:p>
      <w:pPr>
        <w:spacing w:before="0" w:after="80" w:line="252" w:lineRule="auto"/>
        <w:jc w:val="both"/>
      </w:pPr>
      <w:r>
        <w:rPr>
          <w:rFonts w:ascii="Times New Roman" w:hAnsi="Times New Roman"/>
          <w:sz w:val="20"/>
        </w:rPr>
        <w:t>Let a laboratory course be defined by a set of students S = {s_1, s_2, ..., s_N} enrolled in a section of size N, where 30 ≤ N ≤ 60. Over an academic semester, the laboratory executes a set of attendance sessions T = {t_1, t_2, ..., t_K}, a sequence of practical programming assignments P = {p_1, p_2, ..., p_M}, and a set of formal examinations E = {e_1, e_2, ..., e_L}. For each student s_i, the academic system must maintain:</w:t>
      </w:r>
    </w:p>
    <w:p>
      <w:pPr>
        <w:spacing w:before="0" w:after="60" w:line="252" w:lineRule="auto"/>
        <w:ind w:left="259"/>
        <w:jc w:val="both"/>
      </w:pPr>
      <w:r>
        <w:rPr>
          <w:rFonts w:ascii="Times New Roman" w:hAnsi="Times New Roman"/>
          <w:b/>
          <w:sz w:val="20"/>
        </w:rPr>
        <w:t xml:space="preserve">•  Attendance History: </w:t>
      </w:r>
      <w:r>
        <w:rPr>
          <w:rFonts w:ascii="Times New Roman" w:hAnsi="Times New Roman"/>
          <w:sz w:val="20"/>
        </w:rPr>
        <w:t>A binary matrix A ∈ {0, 1}^(N × K), where A_{i,j} = 1 represents presence at session t_j. The cumulative attendance percentage is given by Att(s_i) = (1/K ∑_{j=1}^K A_{i,j}) × 100.</w:t>
      </w:r>
    </w:p>
    <w:p>
      <w:pPr>
        <w:spacing w:before="0" w:after="60" w:line="252" w:lineRule="auto"/>
        <w:ind w:left="259"/>
        <w:jc w:val="both"/>
      </w:pPr>
      <w:r>
        <w:rPr>
          <w:rFonts w:ascii="Times New Roman" w:hAnsi="Times New Roman"/>
          <w:b/>
          <w:sz w:val="20"/>
        </w:rPr>
        <w:t xml:space="preserve">•  Defaulter Identification: </w:t>
      </w:r>
      <w:r>
        <w:rPr>
          <w:rFonts w:ascii="Times New Roman" w:hAnsi="Times New Roman"/>
          <w:sz w:val="20"/>
        </w:rPr>
        <w:t>A boolean predicate Def(s_i) = 1 if Att(s_i) &lt; 75.0%, requiring statutory intervention.</w:t>
      </w:r>
    </w:p>
    <w:p>
      <w:pPr>
        <w:spacing w:before="0" w:after="60" w:line="252" w:lineRule="auto"/>
        <w:ind w:left="259"/>
        <w:jc w:val="both"/>
      </w:pPr>
      <w:r>
        <w:rPr>
          <w:rFonts w:ascii="Times New Roman" w:hAnsi="Times New Roman"/>
          <w:b/>
          <w:sz w:val="20"/>
        </w:rPr>
        <w:t xml:space="preserve">•  Practical Submissions: </w:t>
      </w:r>
      <w:r>
        <w:rPr>
          <w:rFonts w:ascii="Times New Roman" w:hAnsi="Times New Roman"/>
          <w:sz w:val="20"/>
        </w:rPr>
        <w:t>A submission matrix Sub ∈ {0, 1}^(N × M) and an evaluation score matrix Marks ∈ [0, Max_p]^(N × M).</w:t>
      </w:r>
    </w:p>
    <w:p>
      <w:pPr>
        <w:spacing w:before="0" w:after="60" w:line="252" w:lineRule="auto"/>
        <w:ind w:left="259"/>
        <w:jc w:val="both"/>
      </w:pPr>
      <w:r>
        <w:rPr>
          <w:rFonts w:ascii="Times New Roman" w:hAnsi="Times New Roman"/>
          <w:b/>
          <w:sz w:val="20"/>
        </w:rPr>
        <w:t xml:space="preserve">•  Examination Performance: </w:t>
      </w:r>
      <w:r>
        <w:rPr>
          <w:rFonts w:ascii="Times New Roman" w:hAnsi="Times New Roman"/>
          <w:sz w:val="20"/>
        </w:rPr>
        <w:t>An objective score vector Obj(s_i) ∈ [0, Max_obj] generated via randomized question banks and a viva-voce vector Viva(s_i) ∈ [0, Max_viva].</w:t>
      </w:r>
    </w:p>
    <w:p>
      <w:pPr>
        <w:spacing w:before="0" w:after="60" w:line="252" w:lineRule="auto"/>
        <w:ind w:left="259"/>
        <w:jc w:val="both"/>
      </w:pPr>
      <w:r>
        <w:rPr>
          <w:rFonts w:ascii="Times New Roman" w:hAnsi="Times New Roman"/>
          <w:b/>
          <w:sz w:val="20"/>
        </w:rPr>
        <w:t xml:space="preserve">•  Cumulative RTU Grade: </w:t>
      </w:r>
      <w:r>
        <w:rPr>
          <w:rFonts w:ascii="Times New Roman" w:hAnsi="Times New Roman"/>
          <w:sz w:val="20"/>
        </w:rPr>
        <w:t>An aggregated percentage Score(s_i) mapped to an ordered grade alphabet G = {O, A, B, C, D, F} following RTU Kota university thresholds.</w:t>
      </w:r>
    </w:p>
    <w:p>
      <w:pPr>
        <w:spacing w:before="0" w:after="80" w:line="252" w:lineRule="auto"/>
        <w:jc w:val="both"/>
      </w:pPr>
      <w:r>
        <w:rPr>
          <w:rFonts w:ascii="Times New Roman" w:hAnsi="Times New Roman"/>
          <w:sz w:val="20"/>
        </w:rPr>
        <w:t>Total data points per section exceed N × (K + 2M + 2L) ≈ 3,500 records. Maintaining relational consistency across these entities without a normalized database engine is mathematically intractable under manual operations.</w:t>
      </w:r>
    </w:p>
    <w:p>
      <w:pPr>
        <w:keepNext/>
        <w:spacing w:before="120" w:after="40"/>
        <w:jc w:val="left"/>
      </w:pPr>
      <w:r>
        <w:rPr>
          <w:rFonts w:ascii="Times New Roman" w:hAnsi="Times New Roman"/>
          <w:b/>
          <w:i/>
          <w:sz w:val="20"/>
        </w:rPr>
        <w:t>B. Functional Requirements (FR)</w:t>
      </w:r>
    </w:p>
    <w:p>
      <w:pPr>
        <w:spacing w:before="0" w:after="60" w:line="252" w:lineRule="auto"/>
        <w:ind w:left="259"/>
        <w:jc w:val="both"/>
      </w:pPr>
      <w:r>
        <w:rPr>
          <w:rFonts w:ascii="Times New Roman" w:hAnsi="Times New Roman"/>
          <w:b/>
          <w:sz w:val="20"/>
        </w:rPr>
        <w:t xml:space="preserve">•  FR-1: Role-Based Authentication: </w:t>
      </w:r>
      <w:r>
        <w:rPr>
          <w:rFonts w:ascii="Times New Roman" w:hAnsi="Times New Roman"/>
          <w:sz w:val="20"/>
        </w:rPr>
        <w:t>Support distinct Student and Faculty/Admin roles with secure registration, session management, and access filters.</w:t>
      </w:r>
    </w:p>
    <w:p>
      <w:pPr>
        <w:spacing w:before="0" w:after="60" w:line="252" w:lineRule="auto"/>
        <w:ind w:left="259"/>
        <w:jc w:val="both"/>
      </w:pPr>
      <w:r>
        <w:rPr>
          <w:rFonts w:ascii="Times New Roman" w:hAnsi="Times New Roman"/>
          <w:b/>
          <w:sz w:val="20"/>
        </w:rPr>
        <w:t xml:space="preserve">•  FR-2: Interactive Experiment Sandboxes: </w:t>
      </w:r>
      <w:r>
        <w:rPr>
          <w:rFonts w:ascii="Times New Roman" w:hAnsi="Times New Roman"/>
          <w:sz w:val="20"/>
        </w:rPr>
        <w:t>Deliver browser-based visual interactive simulations demonstrating AWT events, JDBC pools, multithreading, sockets, and servlets.</w:t>
      </w:r>
    </w:p>
    <w:p>
      <w:pPr>
        <w:spacing w:before="0" w:after="60" w:line="252" w:lineRule="auto"/>
        <w:ind w:left="259"/>
        <w:jc w:val="both"/>
      </w:pPr>
      <w:r>
        <w:rPr>
          <w:rFonts w:ascii="Times New Roman" w:hAnsi="Times New Roman"/>
          <w:b/>
          <w:sz w:val="20"/>
        </w:rPr>
        <w:t xml:space="preserve">•  FR-3: Lab Manual &amp; Code Repository: </w:t>
      </w:r>
      <w:r>
        <w:rPr>
          <w:rFonts w:ascii="Times New Roman" w:hAnsi="Times New Roman"/>
          <w:sz w:val="20"/>
        </w:rPr>
        <w:t>Provide syllabus-aligned documentation, aim, theory, algorithmic flow, and copyable Java source templates for all experiments.</w:t>
      </w:r>
    </w:p>
    <w:p>
      <w:pPr>
        <w:spacing w:before="0" w:after="60" w:line="252" w:lineRule="auto"/>
        <w:ind w:left="259"/>
        <w:jc w:val="both"/>
      </w:pPr>
      <w:r>
        <w:rPr>
          <w:rFonts w:ascii="Times New Roman" w:hAnsi="Times New Roman"/>
          <w:b/>
          <w:sz w:val="20"/>
        </w:rPr>
        <w:t xml:space="preserve">•  FR-4: Randomized Online Examination: </w:t>
      </w:r>
      <w:r>
        <w:rPr>
          <w:rFonts w:ascii="Times New Roman" w:hAnsi="Times New Roman"/>
          <w:sz w:val="20"/>
        </w:rPr>
        <w:t>Administer timed online practical tests with dynamic question shuffling, auto-submission on timeout, and instant scoring.</w:t>
      </w:r>
    </w:p>
    <w:p>
      <w:pPr>
        <w:spacing w:before="0" w:after="60" w:line="252" w:lineRule="auto"/>
        <w:ind w:left="259"/>
        <w:jc w:val="both"/>
      </w:pPr>
      <w:r>
        <w:rPr>
          <w:rFonts w:ascii="Times New Roman" w:hAnsi="Times New Roman"/>
          <w:b/>
          <w:sz w:val="20"/>
        </w:rPr>
        <w:t xml:space="preserve">•  FR-5: Faculty Viva-Voce Evaluation: </w:t>
      </w:r>
      <w:r>
        <w:rPr>
          <w:rFonts w:ascii="Times New Roman" w:hAnsi="Times New Roman"/>
          <w:sz w:val="20"/>
        </w:rPr>
        <w:t>Provide an instructor marking dashboard to record oral viva marks and continuous practical observations.</w:t>
      </w:r>
    </w:p>
    <w:p>
      <w:pPr>
        <w:spacing w:before="0" w:after="60" w:line="252" w:lineRule="auto"/>
        <w:ind w:left="259"/>
        <w:jc w:val="both"/>
      </w:pPr>
      <w:r>
        <w:rPr>
          <w:rFonts w:ascii="Times New Roman" w:hAnsi="Times New Roman"/>
          <w:b/>
          <w:sz w:val="20"/>
        </w:rPr>
        <w:t xml:space="preserve">•  FR-6: Defaulter Detection &amp; Gradebook: </w:t>
      </w:r>
      <w:r>
        <w:rPr>
          <w:rFonts w:ascii="Times New Roman" w:hAnsi="Times New Roman"/>
          <w:sz w:val="20"/>
        </w:rPr>
        <w:t>Automatically compute attendance percentages, flag defaulters below 75%, assign letter grades, and generate PDF report cards.</w:t>
      </w:r>
    </w:p>
    <w:p>
      <w:pPr>
        <w:spacing w:before="0" w:after="60" w:line="252" w:lineRule="auto"/>
        <w:ind w:left="259"/>
        <w:jc w:val="both"/>
      </w:pPr>
      <w:r>
        <w:rPr>
          <w:rFonts w:ascii="Times New Roman" w:hAnsi="Times New Roman"/>
          <w:b/>
          <w:sz w:val="20"/>
        </w:rPr>
        <w:t xml:space="preserve">•  FR-7: Continuous Student Feedback: </w:t>
      </w:r>
      <w:r>
        <w:rPr>
          <w:rFonts w:ascii="Times New Roman" w:hAnsi="Times New Roman"/>
          <w:sz w:val="20"/>
        </w:rPr>
        <w:t>Enable anonymous 5-star ratings and qualitative remarks on experiments, visualized on faculty analytics dashboards.</w:t>
      </w:r>
    </w:p>
    <w:p>
      <w:pPr>
        <w:keepNext/>
        <w:spacing w:before="120" w:after="40"/>
        <w:jc w:val="left"/>
      </w:pPr>
      <w:r>
        <w:rPr>
          <w:rFonts w:ascii="Times New Roman" w:hAnsi="Times New Roman"/>
          <w:b/>
          <w:i/>
          <w:sz w:val="20"/>
        </w:rPr>
        <w:t>C. Non-Functional Requirements (NFR)</w:t>
      </w:r>
    </w:p>
    <w:p>
      <w:pPr>
        <w:spacing w:before="0" w:after="60" w:line="252" w:lineRule="auto"/>
        <w:ind w:left="259"/>
        <w:jc w:val="both"/>
      </w:pPr>
      <w:r>
        <w:rPr>
          <w:rFonts w:ascii="Times New Roman" w:hAnsi="Times New Roman"/>
          <w:b/>
          <w:sz w:val="20"/>
        </w:rPr>
        <w:t xml:space="preserve">•  NFR-1: Latency &amp; Throughput: </w:t>
      </w:r>
      <w:r>
        <w:rPr>
          <w:rFonts w:ascii="Times New Roman" w:hAnsi="Times New Roman"/>
          <w:sz w:val="20"/>
        </w:rPr>
        <w:t>95% of web requests must complete within 150 ms under a concurrent load of 50 simultaneous users.</w:t>
      </w:r>
    </w:p>
    <w:p>
      <w:pPr>
        <w:spacing w:before="0" w:after="60" w:line="252" w:lineRule="auto"/>
        <w:ind w:left="259"/>
        <w:jc w:val="both"/>
      </w:pPr>
      <w:r>
        <w:rPr>
          <w:rFonts w:ascii="Times New Roman" w:hAnsi="Times New Roman"/>
          <w:b/>
          <w:sz w:val="20"/>
        </w:rPr>
        <w:t xml:space="preserve">•  NFR-2: Cloud Container Footprint: </w:t>
      </w:r>
      <w:r>
        <w:rPr>
          <w:rFonts w:ascii="Times New Roman" w:hAnsi="Times New Roman"/>
          <w:sz w:val="20"/>
        </w:rPr>
        <w:t>Entire web runtime (Tomcat + MySQL) must operate reliably within 512 MB RAM on zero-cost cloud hosting.</w:t>
      </w:r>
    </w:p>
    <w:p>
      <w:pPr>
        <w:spacing w:before="0" w:after="60" w:line="252" w:lineRule="auto"/>
        <w:ind w:left="259"/>
        <w:jc w:val="both"/>
      </w:pPr>
      <w:r>
        <w:rPr>
          <w:rFonts w:ascii="Times New Roman" w:hAnsi="Times New Roman"/>
          <w:b/>
          <w:sz w:val="20"/>
        </w:rPr>
        <w:t xml:space="preserve">•  NFR-3: Defense-in-Depth Security: </w:t>
      </w:r>
      <w:r>
        <w:rPr>
          <w:rFonts w:ascii="Times New Roman" w:hAnsi="Times New Roman"/>
          <w:sz w:val="20"/>
        </w:rPr>
        <w:t>Zero SQL injection vulnerability via 100% PreparedStatement usage; BCrypt password hashing (cost=12); HttpOnly session cookies.</w:t>
      </w:r>
    </w:p>
    <w:p>
      <w:pPr>
        <w:spacing w:before="0" w:after="60" w:line="252" w:lineRule="auto"/>
        <w:ind w:left="259"/>
        <w:jc w:val="both"/>
      </w:pPr>
      <w:r>
        <w:rPr>
          <w:rFonts w:ascii="Times New Roman" w:hAnsi="Times New Roman"/>
          <w:b/>
          <w:sz w:val="20"/>
        </w:rPr>
        <w:t xml:space="preserve">•  NFR-4: Responsive Cross-Platform UI: </w:t>
      </w:r>
      <w:r>
        <w:rPr>
          <w:rFonts w:ascii="Times New Roman" w:hAnsi="Times New Roman"/>
          <w:sz w:val="20"/>
        </w:rPr>
        <w:t>User interfaces must adapt fluidly across desktop monitors, lab workstations, tablets, and smartphones.</w:t>
      </w:r>
    </w:p>
    <w:p>
      <w:pPr>
        <w:keepNext/>
        <w:spacing w:before="180" w:after="60"/>
        <w:jc w:val="left"/>
      </w:pPr>
      <w:r>
        <w:rPr>
          <w:rFonts w:ascii="Times New Roman" w:hAnsi="Times New Roman"/>
          <w:b/>
          <w:sz w:val="20"/>
        </w:rPr>
        <w:t>IV.  PROPOSED SYSTEM ARCHITECTURE &amp; DESIGN</w:t>
      </w:r>
    </w:p>
    <w:p>
      <w:pPr>
        <w:keepNext/>
        <w:spacing w:before="120" w:after="40"/>
        <w:jc w:val="left"/>
      </w:pPr>
      <w:r>
        <w:rPr>
          <w:rFonts w:ascii="Times New Roman" w:hAnsi="Times New Roman"/>
          <w:b/>
          <w:i/>
          <w:sz w:val="20"/>
        </w:rPr>
        <w:t>A. 3-Tier Enterprise MVC Architecture</w:t>
      </w:r>
    </w:p>
    <w:p>
      <w:pPr>
        <w:spacing w:before="0" w:after="80" w:line="252" w:lineRule="auto"/>
        <w:jc w:val="both"/>
      </w:pPr>
      <w:r>
        <w:rPr>
          <w:rFonts w:ascii="Times New Roman" w:hAnsi="Times New Roman"/>
          <w:sz w:val="20"/>
        </w:rPr>
        <w:t>JavaLabPortal is engineered using the classical 3-Tier Enterprise Model-View-Controller (MVC) architectural pattern, illustrated in Fig. 1. This decoupling separates user interface concerns from business workflows and database persistence.</w:t>
      </w:r>
    </w:p>
    <w:p>
      <w:pPr>
        <w:spacing w:before="0" w:after="60" w:line="252" w:lineRule="auto"/>
        <w:ind w:left="259"/>
        <w:jc w:val="both"/>
      </w:pPr>
      <w:r>
        <w:rPr>
          <w:rFonts w:ascii="Times New Roman" w:hAnsi="Times New Roman"/>
          <w:b/>
          <w:sz w:val="20"/>
        </w:rPr>
        <w:t xml:space="preserve">•  Presentation Tier (View): </w:t>
      </w:r>
      <w:r>
        <w:rPr>
          <w:rFonts w:ascii="Times New Roman" w:hAnsi="Times New Roman"/>
          <w:sz w:val="20"/>
        </w:rPr>
        <w:t>Constructed using JavaServer Pages (JSP 2.3), JSTL 1.2, HTML5, CSS3, and Bootstrap 5. It renders dynamic responsive web pages and provides interactive JavaScript-driven visualizers.</w:t>
      </w:r>
    </w:p>
    <w:p>
      <w:pPr>
        <w:spacing w:before="0" w:after="60" w:line="252" w:lineRule="auto"/>
        <w:ind w:left="259"/>
        <w:jc w:val="both"/>
      </w:pPr>
      <w:r>
        <w:rPr>
          <w:rFonts w:ascii="Times New Roman" w:hAnsi="Times New Roman"/>
          <w:b/>
          <w:sz w:val="20"/>
        </w:rPr>
        <w:t xml:space="preserve">•  Application Tier (Controller &amp; Logic): </w:t>
      </w:r>
      <w:r>
        <w:rPr>
          <w:rFonts w:ascii="Times New Roman" w:hAnsi="Times New Roman"/>
          <w:sz w:val="20"/>
        </w:rPr>
        <w:t>Composed of Java Servlets (Servlet 4.0 specification) acting as centralized HTTP request dispatchers. It encapsulates business logic, grading rules, exam timers, and security interceptors (AuthenticationFilter).</w:t>
      </w:r>
    </w:p>
    <w:p>
      <w:pPr>
        <w:spacing w:before="0" w:after="60" w:line="252" w:lineRule="auto"/>
        <w:ind w:left="259"/>
        <w:jc w:val="both"/>
      </w:pPr>
      <w:r>
        <w:rPr>
          <w:rFonts w:ascii="Times New Roman" w:hAnsi="Times New Roman"/>
          <w:b/>
          <w:sz w:val="20"/>
        </w:rPr>
        <w:t xml:space="preserve">•  Data Persistence Tier (Model): </w:t>
      </w:r>
      <w:r>
        <w:rPr>
          <w:rFonts w:ascii="Times New Roman" w:hAnsi="Times New Roman"/>
          <w:sz w:val="20"/>
        </w:rPr>
        <w:t>Implemented with a normalized MySQL 8.0 relational database engine managed via the Data Access Object (DAO) pattern and HikariCP connection pooling.</w:t>
      </w:r>
    </w:p>
    <w:p>
      <w:pPr>
        <w:spacing w:before="80" w:after="40"/>
        <w:jc w:val="center"/>
      </w:pPr>
      <w:r>
        <w:rPr>
          <w:rFonts w:ascii="Courier New" w:hAnsi="Courier New"/>
          <w:sz w:val="14"/>
        </w:rPr>
        <w:t>+-------------------------------------------------------+</w:t>
        <w:br/>
        <w:t>|                 PRESENTATION TIER (VIEW)             |</w:t>
        <w:br/>
        <w:t>|  JSP 2.3 | Bootstrap 5 | HTML5/CSS3 | JS Simulators  |</w:t>
        <w:br/>
        <w:t>+---------------------------+---------------------------+</w:t>
        <w:br/>
        <w:t xml:space="preserve">                            | HTTP Requests / JSON</w:t>
        <w:br/>
        <w:t xml:space="preserve">                            v</w:t>
        <w:br/>
        <w:t>+-------------------------------------------------------+</w:t>
        <w:br/>
        <w:t>|             APPLICATION CONTROLLER TIER               |</w:t>
        <w:br/>
        <w:t>|  Servlets (Login, Exam, Marks, Feedback) | Filters   |</w:t>
        <w:br/>
        <w:t>|  Business Logic | Session Management | BCrypt Engine  |</w:t>
        <w:br/>
        <w:t>+---------------------------+---------------------------+</w:t>
        <w:br/>
        <w:t xml:space="preserve">                            | JDBC via HikariCP Pool</w:t>
        <w:br/>
        <w:t xml:space="preserve">                            v</w:t>
        <w:br/>
        <w:t>+-------------------------------------------------------+</w:t>
        <w:br/>
        <w:t>|               DATA PERSISTENCE TIER (MODEL)           |</w:t>
        <w:br/>
        <w:t>|  MySQL 8.0 Database (InnoDB) | DAO Architecture       |</w:t>
        <w:br/>
        <w:t>|  Tables: users, experiments, exams, marks, feedback   |</w:t>
        <w:br/>
        <w:t>+-------------------------------------------------------+</w:t>
      </w:r>
    </w:p>
    <w:p>
      <w:pPr>
        <w:spacing w:before="40" w:after="120"/>
        <w:jc w:val="center"/>
      </w:pPr>
      <w:r>
        <w:rPr>
          <w:rFonts w:ascii="Times New Roman" w:hAnsi="Times New Roman"/>
          <w:i/>
          <w:sz w:val="17"/>
        </w:rPr>
        <w:t>Fig. 1.   Three-Tier MVC Architecture of JavaLabPortal.</w:t>
      </w:r>
    </w:p>
    <w:p>
      <w:pPr>
        <w:keepNext/>
        <w:spacing w:before="120" w:after="40"/>
        <w:jc w:val="left"/>
      </w:pPr>
      <w:r>
        <w:rPr>
          <w:rFonts w:ascii="Times New Roman" w:hAnsi="Times New Roman"/>
          <w:b/>
          <w:i/>
          <w:sz w:val="20"/>
        </w:rPr>
        <w:t>B. Role-Based Access Control (RBAC) Matrix</w:t>
      </w:r>
    </w:p>
    <w:p>
      <w:pPr>
        <w:spacing w:before="0" w:after="80" w:line="252" w:lineRule="auto"/>
        <w:jc w:val="both"/>
      </w:pPr>
      <w:r>
        <w:rPr>
          <w:rFonts w:ascii="Times New Roman" w:hAnsi="Times New Roman"/>
          <w:sz w:val="20"/>
        </w:rPr>
        <w:t>To enforce least privilege, JavaLabPortal implements declarative Role-Based Access Control (RBAC) mediated by an intercepting servlet filter (AuthenticationFilter). Table II details the permission boundaries between Student and Faculty roles.</w:t>
      </w:r>
    </w:p>
    <w:p>
      <w:pPr>
        <w:keepNext/>
        <w:spacing w:before="120" w:after="40"/>
        <w:jc w:val="center"/>
      </w:pPr>
      <w:r>
        <w:rPr>
          <w:rFonts w:ascii="Times New Roman" w:hAnsi="Times New Roman"/>
          <w:b/>
          <w:sz w:val="17"/>
        </w:rPr>
        <w:t>TABLE II.   ROLE-BASED ACCESS CONTROL MATRIX</w:t>
      </w:r>
    </w:p>
    <w:tbl>
      <w:tblPr>
        <w:tblW w:type="auto" w:w="0"/>
        <w:jc w:val="center"/>
        <w:tblLook w:firstColumn="1" w:firstRow="1" w:lastColumn="0" w:lastRow="0" w:noHBand="0" w:noVBand="1" w:val="04A0"/>
      </w:tblPr>
      <w:tblGrid>
        <w:gridCol w:w="3456"/>
        <w:gridCol w:w="3456"/>
        <w:gridCol w:w="3456"/>
      </w:tblGrid>
      <w:tr>
        <w:trPr>
          <w:cantSplit/>
        </w:trPr>
        <w:tc>
          <w:tcPr>
            <w:tcW w:type="dxa" w:w="2160"/>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left"/>
            </w:pPr>
            <w:r>
              <w:rPr>
                <w:rFonts w:ascii="Times New Roman" w:hAnsi="Times New Roman"/>
                <w:b/>
                <w:sz w:val="16"/>
              </w:rPr>
              <w:t>System Capability / Resource</w:t>
            </w:r>
          </w:p>
        </w:tc>
        <w:tc>
          <w:tcPr>
            <w:tcW w:type="dxa" w:w="1368"/>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center"/>
            </w:pPr>
            <w:r>
              <w:rPr>
                <w:rFonts w:ascii="Times New Roman" w:hAnsi="Times New Roman"/>
                <w:b/>
                <w:sz w:val="16"/>
              </w:rPr>
              <w:t>Student Role</w:t>
            </w:r>
          </w:p>
        </w:tc>
        <w:tc>
          <w:tcPr>
            <w:tcW w:type="dxa" w:w="1368"/>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center"/>
            </w:pPr>
            <w:r>
              <w:rPr>
                <w:rFonts w:ascii="Times New Roman" w:hAnsi="Times New Roman"/>
                <w:b/>
                <w:sz w:val="16"/>
              </w:rPr>
              <w:t>Faculty / Admin</w:t>
            </w:r>
          </w:p>
        </w:tc>
      </w:tr>
      <w:tr>
        <w:trPr>
          <w:cantSplit/>
        </w:trPr>
        <w:tc>
          <w:tcPr>
            <w:tcW w:type="dxa" w:w="216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View Lab Manuals &amp; Experiments</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Granted</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Granted</w:t>
            </w:r>
          </w:p>
        </w:tc>
      </w:tr>
      <w:tr>
        <w:trPr>
          <w:cantSplit/>
        </w:trPr>
        <w:tc>
          <w:tcPr>
            <w:tcW w:type="dxa" w:w="216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Execute Interactive Simulators</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Granted</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Granted</w:t>
            </w:r>
          </w:p>
        </w:tc>
      </w:tr>
      <w:tr>
        <w:trPr>
          <w:cantSplit/>
        </w:trPr>
        <w:tc>
          <w:tcPr>
            <w:tcW w:type="dxa" w:w="216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Attempt Randomized Exams</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Granted (Timed)</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Prohibited</w:t>
            </w:r>
          </w:p>
        </w:tc>
      </w:tr>
      <w:tr>
        <w:trPr>
          <w:cantSplit/>
        </w:trPr>
        <w:tc>
          <w:tcPr>
            <w:tcW w:type="dxa" w:w="216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View Personal Gradecard &amp; PDF</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Granted (Read)</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Granted (All)</w:t>
            </w:r>
          </w:p>
        </w:tc>
      </w:tr>
      <w:tr>
        <w:trPr>
          <w:cantSplit/>
        </w:trPr>
        <w:tc>
          <w:tcPr>
            <w:tcW w:type="dxa" w:w="216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Submit Anonymous Feedback</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Granted (Insert)</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Prohibited</w:t>
            </w:r>
          </w:p>
        </w:tc>
      </w:tr>
      <w:tr>
        <w:trPr>
          <w:cantSplit/>
        </w:trPr>
        <w:tc>
          <w:tcPr>
            <w:tcW w:type="dxa" w:w="216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Mark Attendance &amp; Viva Scores</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Prohibited</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Granted (Full)</w:t>
            </w:r>
          </w:p>
        </w:tc>
      </w:tr>
      <w:tr>
        <w:trPr>
          <w:cantSplit/>
        </w:trPr>
        <w:tc>
          <w:tcPr>
            <w:tcW w:type="dxa" w:w="216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Manage Question Banks &amp; Exams</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Prohibited</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Granted (Full)</w:t>
            </w:r>
          </w:p>
        </w:tc>
      </w:tr>
    </w:tbl>
    <w:p>
      <w:pPr>
        <w:keepNext/>
        <w:spacing w:before="120" w:after="40"/>
        <w:jc w:val="left"/>
      </w:pPr>
      <w:r>
        <w:rPr>
          <w:rFonts w:ascii="Times New Roman" w:hAnsi="Times New Roman"/>
          <w:b/>
          <w:i/>
          <w:sz w:val="20"/>
        </w:rPr>
        <w:t>C. Relational Database Design</w:t>
      </w:r>
    </w:p>
    <w:p>
      <w:pPr>
        <w:spacing w:before="0" w:after="80" w:line="252" w:lineRule="auto"/>
        <w:jc w:val="both"/>
      </w:pPr>
      <w:r>
        <w:rPr>
          <w:rFonts w:ascii="Times New Roman" w:hAnsi="Times New Roman"/>
          <w:sz w:val="20"/>
        </w:rPr>
        <w:t>The relational schema is normalized to Third Normal Form (3NF) to eliminate insertion, update, and deletion anomalies. Table III summarizes the core entity relational structure.</w:t>
      </w:r>
    </w:p>
    <w:p>
      <w:pPr>
        <w:keepNext/>
        <w:spacing w:before="120" w:after="40"/>
        <w:jc w:val="center"/>
      </w:pPr>
      <w:r>
        <w:rPr>
          <w:rFonts w:ascii="Times New Roman" w:hAnsi="Times New Roman"/>
          <w:b/>
          <w:sz w:val="17"/>
        </w:rPr>
        <w:t>TABLE III.   CORE DATABASE SCHEMA ENTITIES</w:t>
      </w:r>
    </w:p>
    <w:tbl>
      <w:tblPr>
        <w:tblW w:type="auto" w:w="0"/>
        <w:jc w:val="center"/>
        <w:tblLook w:firstColumn="1" w:firstRow="1" w:lastColumn="0" w:lastRow="0" w:noHBand="0" w:noVBand="1" w:val="04A0"/>
      </w:tblPr>
      <w:tblGrid>
        <w:gridCol w:w="3456"/>
        <w:gridCol w:w="3456"/>
        <w:gridCol w:w="3456"/>
      </w:tblGrid>
      <w:tr>
        <w:trPr>
          <w:cantSplit/>
        </w:trPr>
        <w:tc>
          <w:tcPr>
            <w:tcW w:type="dxa" w:w="1296"/>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left"/>
            </w:pPr>
            <w:r>
              <w:rPr>
                <w:rFonts w:ascii="Times New Roman" w:hAnsi="Times New Roman"/>
                <w:b/>
                <w:sz w:val="16"/>
              </w:rPr>
              <w:t>Table Name</w:t>
            </w:r>
          </w:p>
        </w:tc>
        <w:tc>
          <w:tcPr>
            <w:tcW w:type="dxa" w:w="1584"/>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left"/>
            </w:pPr>
            <w:r>
              <w:rPr>
                <w:rFonts w:ascii="Times New Roman" w:hAnsi="Times New Roman"/>
                <w:b/>
                <w:sz w:val="16"/>
              </w:rPr>
              <w:t>Primary / Foreign Keys</w:t>
            </w:r>
          </w:p>
        </w:tc>
        <w:tc>
          <w:tcPr>
            <w:tcW w:type="dxa" w:w="2016"/>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left"/>
            </w:pPr>
            <w:r>
              <w:rPr>
                <w:rFonts w:ascii="Times New Roman" w:hAnsi="Times New Roman"/>
                <w:b/>
                <w:sz w:val="16"/>
              </w:rPr>
              <w:t>Core Attributes</w:t>
            </w:r>
          </w:p>
        </w:tc>
      </w:tr>
      <w:tr>
        <w:trPr>
          <w:cantSplit/>
        </w:trPr>
        <w:tc>
          <w:tcPr>
            <w:tcW w:type="dxa" w:w="129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users</w:t>
            </w:r>
          </w:p>
        </w:tc>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PK: user_id (INT)</w:t>
            </w:r>
          </w:p>
        </w:tc>
        <w:tc>
          <w:tcPr>
            <w:tcW w:type="dxa" w:w="201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username, password_hash, full_name, email, role (STUDENT/FACULTY)</w:t>
            </w:r>
          </w:p>
        </w:tc>
      </w:tr>
      <w:tr>
        <w:trPr>
          <w:cantSplit/>
        </w:trPr>
        <w:tc>
          <w:tcPr>
            <w:tcW w:type="dxa" w:w="129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experiments</w:t>
            </w:r>
          </w:p>
        </w:tc>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PK: exp_id (INT)</w:t>
            </w:r>
          </w:p>
        </w:tc>
        <w:tc>
          <w:tcPr>
            <w:tcW w:type="dxa" w:w="201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title, aim, category, theory_content, code_template, week_no</w:t>
            </w:r>
          </w:p>
        </w:tc>
      </w:tr>
      <w:tr>
        <w:trPr>
          <w:cantSplit/>
        </w:trPr>
        <w:tc>
          <w:tcPr>
            <w:tcW w:type="dxa" w:w="129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exam_questions</w:t>
            </w:r>
          </w:p>
        </w:tc>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PK: q_id (INT)</w:t>
              <w:br/>
              <w:t>FK: exp_id</w:t>
            </w:r>
          </w:p>
        </w:tc>
        <w:tc>
          <w:tcPr>
            <w:tcW w:type="dxa" w:w="201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question_text, opt_a, opt_b, opt_c, opt_d, correct_opt, marks</w:t>
            </w:r>
          </w:p>
        </w:tc>
      </w:tr>
      <w:tr>
        <w:trPr>
          <w:cantSplit/>
        </w:trPr>
        <w:tc>
          <w:tcPr>
            <w:tcW w:type="dxa" w:w="129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student_marks</w:t>
            </w:r>
          </w:p>
        </w:tc>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PK: mark_id (INT)</w:t>
              <w:br/>
              <w:t>FK: user_id, exp_id</w:t>
            </w:r>
          </w:p>
        </w:tc>
        <w:tc>
          <w:tcPr>
            <w:tcW w:type="dxa" w:w="201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attendance_status, viva_marks, exam_marks, total_marks, grade</w:t>
            </w:r>
          </w:p>
        </w:tc>
      </w:tr>
      <w:tr>
        <w:trPr>
          <w:cantSplit/>
        </w:trPr>
        <w:tc>
          <w:tcPr>
            <w:tcW w:type="dxa" w:w="129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feedback</w:t>
            </w:r>
          </w:p>
        </w:tc>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PK: fb_id (INT)</w:t>
              <w:br/>
              <w:t>FK: user_id, exp_id</w:t>
            </w:r>
          </w:p>
        </w:tc>
        <w:tc>
          <w:tcPr>
            <w:tcW w:type="dxa" w:w="201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rating (1-5), clarity_rating, comments, created_at</w:t>
            </w:r>
          </w:p>
        </w:tc>
      </w:tr>
    </w:tbl>
    <w:p>
      <w:pPr>
        <w:keepNext/>
        <w:spacing w:before="180" w:after="60"/>
        <w:jc w:val="left"/>
      </w:pPr>
      <w:r>
        <w:rPr>
          <w:rFonts w:ascii="Times New Roman" w:hAnsi="Times New Roman"/>
          <w:b/>
          <w:sz w:val="20"/>
        </w:rPr>
        <w:t>V.  SYSTEM IMPLEMENTATION &amp; MODULAR BREAKDOWN</w:t>
      </w:r>
    </w:p>
    <w:p>
      <w:pPr>
        <w:spacing w:before="0" w:after="80" w:line="252" w:lineRule="auto"/>
        <w:jc w:val="both"/>
      </w:pPr>
      <w:r>
        <w:rPr>
          <w:rFonts w:ascii="Times New Roman" w:hAnsi="Times New Roman"/>
          <w:sz w:val="20"/>
        </w:rPr>
        <w:t>JavaLabPortal is engineered as a collaborative 5-module enterprise architecture, designed and implemented across the student engineering team (Krishna Gupta, Karan Ramlakhani, Kanishq Chasta, Jayesh Sharma, Juned Hussain). Table IV outlines the enterprise technology stack.</w:t>
      </w:r>
    </w:p>
    <w:p>
      <w:pPr>
        <w:keepNext/>
        <w:spacing w:before="120" w:after="40"/>
        <w:jc w:val="center"/>
      </w:pPr>
      <w:r>
        <w:rPr>
          <w:rFonts w:ascii="Times New Roman" w:hAnsi="Times New Roman"/>
          <w:b/>
          <w:sz w:val="17"/>
        </w:rPr>
        <w:t>TABLE IV.   ENTERPRISE TECHNOLOGY STACK</w:t>
      </w:r>
    </w:p>
    <w:tbl>
      <w:tblPr>
        <w:tblW w:type="auto" w:w="0"/>
        <w:jc w:val="center"/>
        <w:tblLook w:firstColumn="1" w:firstRow="1" w:lastColumn="0" w:lastRow="0" w:noHBand="0" w:noVBand="1" w:val="04A0"/>
      </w:tblPr>
      <w:tblGrid>
        <w:gridCol w:w="3456"/>
        <w:gridCol w:w="3456"/>
        <w:gridCol w:w="3456"/>
      </w:tblGrid>
      <w:tr>
        <w:trPr>
          <w:cantSplit/>
        </w:trPr>
        <w:tc>
          <w:tcPr>
            <w:tcW w:type="dxa" w:w="1440"/>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left"/>
            </w:pPr>
            <w:r>
              <w:rPr>
                <w:rFonts w:ascii="Times New Roman" w:hAnsi="Times New Roman"/>
                <w:b/>
                <w:sz w:val="16"/>
              </w:rPr>
              <w:t>Architectural Tier</w:t>
            </w:r>
          </w:p>
        </w:tc>
        <w:tc>
          <w:tcPr>
            <w:tcW w:type="dxa" w:w="1872"/>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left"/>
            </w:pPr>
            <w:r>
              <w:rPr>
                <w:rFonts w:ascii="Times New Roman" w:hAnsi="Times New Roman"/>
                <w:b/>
                <w:sz w:val="16"/>
              </w:rPr>
              <w:t>Technology / Library</w:t>
            </w:r>
          </w:p>
        </w:tc>
        <w:tc>
          <w:tcPr>
            <w:tcW w:type="dxa" w:w="1584"/>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left"/>
            </w:pPr>
            <w:r>
              <w:rPr>
                <w:rFonts w:ascii="Times New Roman" w:hAnsi="Times New Roman"/>
                <w:b/>
                <w:sz w:val="16"/>
              </w:rPr>
              <w:t>Version / Role</w:t>
            </w:r>
          </w:p>
        </w:tc>
      </w:tr>
      <w:tr>
        <w:trPr>
          <w:cantSplit/>
        </w:trPr>
        <w:tc>
          <w:tcPr>
            <w:tcW w:type="dxa" w:w="144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Web Presentation</w:t>
            </w:r>
          </w:p>
        </w:tc>
        <w:tc>
          <w:tcPr>
            <w:tcW w:type="dxa" w:w="187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Jakarta Server Pages (JSP), JSTL, Bootstrap</w:t>
            </w:r>
          </w:p>
        </w:tc>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JSP 2.3 / Bootstrap 5.3</w:t>
            </w:r>
          </w:p>
        </w:tc>
      </w:tr>
      <w:tr>
        <w:trPr>
          <w:cantSplit/>
        </w:trPr>
        <w:tc>
          <w:tcPr>
            <w:tcW w:type="dxa" w:w="144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Backend Controller</w:t>
            </w:r>
          </w:p>
        </w:tc>
        <w:tc>
          <w:tcPr>
            <w:tcW w:type="dxa" w:w="187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Java Servlets API, Java SE</w:t>
            </w:r>
          </w:p>
        </w:tc>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Servlet 4.0 / OpenJDK 11</w:t>
            </w:r>
          </w:p>
        </w:tc>
      </w:tr>
      <w:tr>
        <w:trPr>
          <w:cantSplit/>
        </w:trPr>
        <w:tc>
          <w:tcPr>
            <w:tcW w:type="dxa" w:w="144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Connection Pool</w:t>
            </w:r>
          </w:p>
        </w:tc>
        <w:tc>
          <w:tcPr>
            <w:tcW w:type="dxa" w:w="187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HikariCP JDBC Connection Pool</w:t>
            </w:r>
          </w:p>
        </w:tc>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v5.0.1 (High Throughput)</w:t>
            </w:r>
          </w:p>
        </w:tc>
      </w:tr>
      <w:tr>
        <w:trPr>
          <w:cantSplit/>
        </w:trPr>
        <w:tc>
          <w:tcPr>
            <w:tcW w:type="dxa" w:w="144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Database Engine</w:t>
            </w:r>
          </w:p>
        </w:tc>
        <w:tc>
          <w:tcPr>
            <w:tcW w:type="dxa" w:w="187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MySQL Relational Server (InnoDB)</w:t>
            </w:r>
          </w:p>
        </w:tc>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MySQL 8.0 (ACID compliant)</w:t>
            </w:r>
          </w:p>
        </w:tc>
      </w:tr>
      <w:tr>
        <w:trPr>
          <w:cantSplit/>
        </w:trPr>
        <w:tc>
          <w:tcPr>
            <w:tcW w:type="dxa" w:w="144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Security Hashing</w:t>
            </w:r>
          </w:p>
        </w:tc>
        <w:tc>
          <w:tcPr>
            <w:tcW w:type="dxa" w:w="187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BCrypt Cryptographic Hasher</w:t>
            </w:r>
          </w:p>
        </w:tc>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Cost Factor = 12</w:t>
            </w:r>
          </w:p>
        </w:tc>
      </w:tr>
      <w:tr>
        <w:trPr>
          <w:cantSplit/>
        </w:trPr>
        <w:tc>
          <w:tcPr>
            <w:tcW w:type="dxa" w:w="144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Cloud Deployment</w:t>
            </w:r>
          </w:p>
        </w:tc>
        <w:tc>
          <w:tcPr>
            <w:tcW w:type="dxa" w:w="187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Docker Container on Railway Cloud</w:t>
            </w:r>
          </w:p>
        </w:tc>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Apache Tomcat 9.0 Base</w:t>
            </w:r>
          </w:p>
        </w:tc>
      </w:tr>
    </w:tbl>
    <w:p>
      <w:pPr>
        <w:keepNext/>
        <w:spacing w:before="120" w:after="40"/>
        <w:jc w:val="left"/>
      </w:pPr>
      <w:r>
        <w:rPr>
          <w:rFonts w:ascii="Times New Roman" w:hAnsi="Times New Roman"/>
          <w:b/>
          <w:i/>
          <w:sz w:val="20"/>
        </w:rPr>
        <w:t>A. Module 1: Portal Shell, Navigation &amp; Lab Experiments Hub (Lead: Krishna Gupta)</w:t>
      </w:r>
    </w:p>
    <w:p>
      <w:pPr>
        <w:spacing w:before="0" w:after="80" w:line="252" w:lineRule="auto"/>
        <w:jc w:val="both"/>
      </w:pPr>
      <w:r>
        <w:rPr>
          <w:rFonts w:ascii="Times New Roman" w:hAnsi="Times New Roman"/>
          <w:sz w:val="20"/>
        </w:rPr>
        <w:t>Engineered by Krishna Gupta (Project Lead). This module establishes the master application layout, global CSS design tokens, responsive header/footer fragments (header.jspf), and the interactive Lab Experiments Hub (exp1 through exp9). Rather than relying on static text manuals, the hub provides syllabus-aligned documentation, aim, theory, algorithmic flow, and browser-executable visual sandboxes for RTU Advance Java practicals:</w:t>
      </w:r>
    </w:p>
    <w:p>
      <w:pPr>
        <w:spacing w:before="0" w:after="60" w:line="252" w:lineRule="auto"/>
        <w:ind w:left="259"/>
        <w:jc w:val="both"/>
      </w:pPr>
      <w:r>
        <w:rPr>
          <w:rFonts w:ascii="Times New Roman" w:hAnsi="Times New Roman"/>
          <w:b/>
          <w:sz w:val="20"/>
        </w:rPr>
        <w:t xml:space="preserve">•  AWT/Swing Event Simulation: </w:t>
      </w:r>
      <w:r>
        <w:rPr>
          <w:rFonts w:ascii="Times New Roman" w:hAnsi="Times New Roman"/>
          <w:sz w:val="20"/>
        </w:rPr>
        <w:t>Visualizes the Event Dispatch Thread (EDT), showing how ActionEvents propagate from buttons through ActionListener callbacks into UI component state updates.</w:t>
      </w:r>
    </w:p>
    <w:p>
      <w:pPr>
        <w:spacing w:before="0" w:after="60" w:line="252" w:lineRule="auto"/>
        <w:ind w:left="259"/>
        <w:jc w:val="both"/>
      </w:pPr>
      <w:r>
        <w:rPr>
          <w:rFonts w:ascii="Times New Roman" w:hAnsi="Times New Roman"/>
          <w:b/>
          <w:sz w:val="20"/>
        </w:rPr>
        <w:t xml:space="preserve">•  JDBC Connection Pooling Sandbox: </w:t>
      </w:r>
      <w:r>
        <w:rPr>
          <w:rFonts w:ascii="Times New Roman" w:hAnsi="Times New Roman"/>
          <w:sz w:val="20"/>
        </w:rPr>
        <w:t>Simulates connection lifecycle states (Idle, Active, Leaked) within a HikariCP pool, demonstrating pool sizing and transaction commit/rollback mechanics.</w:t>
      </w:r>
    </w:p>
    <w:p>
      <w:pPr>
        <w:spacing w:before="0" w:after="60" w:line="252" w:lineRule="auto"/>
        <w:ind w:left="259"/>
        <w:jc w:val="both"/>
      </w:pPr>
      <w:r>
        <w:rPr>
          <w:rFonts w:ascii="Times New Roman" w:hAnsi="Times New Roman"/>
          <w:b/>
          <w:sz w:val="20"/>
        </w:rPr>
        <w:t xml:space="preserve">•  Multithreading Life Cycle: </w:t>
      </w:r>
      <w:r>
        <w:rPr>
          <w:rFonts w:ascii="Times New Roman" w:hAnsi="Times New Roman"/>
          <w:sz w:val="20"/>
        </w:rPr>
        <w:t>Animates state transitions of Java threads (New, Runnable, Blocked, Waiting, Terminated) under synchronized locks, demonstrating race conditions and deadlocks.</w:t>
      </w:r>
    </w:p>
    <w:p>
      <w:pPr>
        <w:spacing w:before="0" w:after="60" w:line="252" w:lineRule="auto"/>
        <w:ind w:left="259"/>
        <w:jc w:val="both"/>
      </w:pPr>
      <w:r>
        <w:rPr>
          <w:rFonts w:ascii="Times New Roman" w:hAnsi="Times New Roman"/>
          <w:b/>
          <w:sz w:val="20"/>
        </w:rPr>
        <w:t xml:space="preserve">•  Client-Server Socket Communication: </w:t>
      </w:r>
      <w:r>
        <w:rPr>
          <w:rFonts w:ascii="Times New Roman" w:hAnsi="Times New Roman"/>
          <w:sz w:val="20"/>
        </w:rPr>
        <w:t>Illustrates TCP handshake, ServerSocket.accept() blocking calls, and duplex stream I/O between concurrent client threads.</w:t>
      </w:r>
    </w:p>
    <w:p>
      <w:pPr>
        <w:spacing w:before="0" w:after="60" w:line="252" w:lineRule="auto"/>
        <w:ind w:left="259"/>
        <w:jc w:val="both"/>
      </w:pPr>
      <w:r>
        <w:rPr>
          <w:rFonts w:ascii="Times New Roman" w:hAnsi="Times New Roman"/>
          <w:b/>
          <w:sz w:val="20"/>
        </w:rPr>
        <w:t xml:space="preserve">•  Servlet Request-Response Pipeline: </w:t>
      </w:r>
      <w:r>
        <w:rPr>
          <w:rFonts w:ascii="Times New Roman" w:hAnsi="Times New Roman"/>
          <w:sz w:val="20"/>
        </w:rPr>
        <w:t>Visualizes the container lifecycle: init(), service(), doGet()/doPost(), and destroy(), displaying header inspections and session cookies.</w:t>
      </w:r>
    </w:p>
    <w:p>
      <w:pPr>
        <w:keepNext/>
        <w:spacing w:before="120" w:after="40"/>
        <w:jc w:val="left"/>
      </w:pPr>
      <w:r>
        <w:rPr>
          <w:rFonts w:ascii="Times New Roman" w:hAnsi="Times New Roman"/>
          <w:b/>
          <w:i/>
          <w:sz w:val="20"/>
        </w:rPr>
        <w:t>B. Module 2: Management Forms, Class Administration &amp; Theory UI (Lead: Karan Ramlakhani)</w:t>
      </w:r>
    </w:p>
    <w:p>
      <w:pPr>
        <w:spacing w:before="0" w:after="80" w:line="252" w:lineRule="auto"/>
        <w:jc w:val="both"/>
      </w:pPr>
      <w:r>
        <w:rPr>
          <w:rFonts w:ascii="Times New Roman" w:hAnsi="Times New Roman"/>
          <w:sz w:val="20"/>
        </w:rPr>
        <w:t>Developed by Karan Ramlakhani. This module delivers the administrative and student self-service user interfaces, including studentList.jsp, addStudent.jsp, manageClasses.jsp, theoryList.jsp, and feedback.jsp. Forms integrate client-side JavaScript validation with server-side error mapping to prevent malformed submissions. The theory interface structures RTU syllabus topics into searchable, categorized accordion panels, and the feedback interface collects anonymous student observations and ratings.</w:t>
      </w:r>
    </w:p>
    <w:p>
      <w:pPr>
        <w:keepNext/>
        <w:spacing w:before="120" w:after="40"/>
        <w:jc w:val="left"/>
      </w:pPr>
      <w:r>
        <w:rPr>
          <w:rFonts w:ascii="Times New Roman" w:hAnsi="Times New Roman"/>
          <w:b/>
          <w:i/>
          <w:sz w:val="20"/>
        </w:rPr>
        <w:t>C. Module 3: Security Interceptor, Authentication &amp; Access Control (Lead: Kanishq Chasta)</w:t>
      </w:r>
    </w:p>
    <w:p>
      <w:pPr>
        <w:spacing w:before="0" w:after="80" w:line="252" w:lineRule="auto"/>
        <w:jc w:val="both"/>
      </w:pPr>
      <w:r>
        <w:rPr>
          <w:rFonts w:ascii="Times New Roman" w:hAnsi="Times New Roman"/>
          <w:sz w:val="20"/>
        </w:rPr>
        <w:t>Architected by Kanishq Chasta. Managed by LoginServlet, LogoutServlet, and AccessControlFilter (AuthenticationFilter). User registration generates a random 128-bit cryptographic salt and hashes plaintext passwords via the BCrypt key-derivation function (cost factor 12). On credential verification, an authenticated HttpSession is established with session fixation prevention. AccessControlFilter intercepts every inbound HTTP request: unauthenticated requests targeting protected endpoints are redirected to login.jsp, while unauthorized privilege escalations (such as students attempting faculty endpoints) receive an HTTP 403 Forbidden.</w:t>
      </w:r>
    </w:p>
    <w:p>
      <w:pPr>
        <w:keepNext/>
        <w:spacing w:before="120" w:after="40"/>
        <w:jc w:val="left"/>
      </w:pPr>
      <w:r>
        <w:rPr>
          <w:rFonts w:ascii="Times New Roman" w:hAnsi="Times New Roman"/>
          <w:b/>
          <w:i/>
          <w:sz w:val="20"/>
        </w:rPr>
        <w:t>D. Module 4: Business Logic Services, Calculator &amp; Experiment Servlets (Lead: Jayesh Sharma)</w:t>
      </w:r>
    </w:p>
    <w:p>
      <w:pPr>
        <w:spacing w:before="0" w:after="80" w:line="252" w:lineRule="auto"/>
        <w:jc w:val="both"/>
      </w:pPr>
      <w:r>
        <w:rPr>
          <w:rFonts w:ascii="Times New Roman" w:hAnsi="Times New Roman"/>
          <w:sz w:val="20"/>
        </w:rPr>
        <w:t>Engineered by Jayesh Sharma. Implements core application services, including CalculatorModel.java, CalculatorServlet.java, ExperimentServlet.java, and FeedbackServlet.java. Handles arithmetic operation dispatch, experiment state transitions, and randomized examination evaluations. Objective test submissions are graded deterministically against database answer keys, and feedback scores are aggregated into statistical distributions.</w:t>
      </w:r>
    </w:p>
    <w:p>
      <w:pPr>
        <w:keepNext/>
        <w:spacing w:before="120" w:after="40"/>
        <w:jc w:val="left"/>
      </w:pPr>
      <w:r>
        <w:rPr>
          <w:rFonts w:ascii="Times New Roman" w:hAnsi="Times New Roman"/>
          <w:b/>
          <w:i/>
          <w:sz w:val="20"/>
        </w:rPr>
        <w:t>E. Module 5: Database Persistence Layer, 3NF Schema &amp; DAOs (Lead: Juned Hussain)</w:t>
      </w:r>
    </w:p>
    <w:p>
      <w:pPr>
        <w:spacing w:before="0" w:after="80" w:line="252" w:lineRule="auto"/>
        <w:jc w:val="both"/>
      </w:pPr>
      <w:r>
        <w:rPr>
          <w:rFonts w:ascii="Times New Roman" w:hAnsi="Times New Roman"/>
          <w:sz w:val="20"/>
        </w:rPr>
        <w:t>Architected by Juned Hussain. Encompasses database.sql, DBConnection.java, and comprehensive Data Access Objects (StudentDAO, TeacherDAO, ExperimentDAO, ClassSectionDAO, TheoryContentDAO, FeedbackDAO). Juned Hussain designed the Third Normal Form (3NF) relational schema in MySQL 8.0, eliminating update and deletion anomalies. All DAO queries utilize 100% parameterized PreparedStatement interfaces to eliminate SQL injection vulnerabilities, managed via a high-performance HikariCP connection pool.</w:t>
      </w:r>
    </w:p>
    <w:p>
      <w:pPr>
        <w:keepNext/>
        <w:spacing w:before="180" w:after="60"/>
        <w:jc w:val="left"/>
      </w:pPr>
      <w:r>
        <w:rPr>
          <w:rFonts w:ascii="Times New Roman" w:hAnsi="Times New Roman"/>
          <w:b/>
          <w:sz w:val="20"/>
        </w:rPr>
        <w:t>VI.  EXPERIMENTAL RESULTS &amp; PERFORMANCE EVALUATION</w:t>
      </w:r>
    </w:p>
    <w:p>
      <w:pPr>
        <w:keepNext/>
        <w:spacing w:before="120" w:after="40"/>
        <w:jc w:val="left"/>
      </w:pPr>
      <w:r>
        <w:rPr>
          <w:rFonts w:ascii="Times New Roman" w:hAnsi="Times New Roman"/>
          <w:b/>
          <w:i/>
          <w:sz w:val="20"/>
        </w:rPr>
        <w:t>A. Black-Box &amp; Boundary Functional Testing</w:t>
      </w:r>
    </w:p>
    <w:p>
      <w:pPr>
        <w:spacing w:before="0" w:after="80" w:line="252" w:lineRule="auto"/>
        <w:jc w:val="both"/>
      </w:pPr>
      <w:r>
        <w:rPr>
          <w:rFonts w:ascii="Times New Roman" w:hAnsi="Times New Roman"/>
          <w:sz w:val="20"/>
        </w:rPr>
        <w:t>The complete platform underwent rigorous black-box functional testing across 45 test scenarios. Table V presents representative test cases.</w:t>
      </w:r>
    </w:p>
    <w:p>
      <w:pPr>
        <w:keepNext/>
        <w:spacing w:before="120" w:after="40"/>
        <w:jc w:val="center"/>
      </w:pPr>
      <w:r>
        <w:rPr>
          <w:rFonts w:ascii="Times New Roman" w:hAnsi="Times New Roman"/>
          <w:b/>
          <w:sz w:val="17"/>
        </w:rPr>
        <w:t>TABLE V.   SELECTED BLACK-BOX TEST CASES</w:t>
      </w:r>
    </w:p>
    <w:tbl>
      <w:tblPr>
        <w:tblW w:type="auto" w:w="0"/>
        <w:jc w:val="center"/>
        <w:tblLook w:firstColumn="1" w:firstRow="1" w:lastColumn="0" w:lastRow="0" w:noHBand="0" w:noVBand="1" w:val="04A0"/>
      </w:tblPr>
      <w:tblGrid>
        <w:gridCol w:w="2592"/>
        <w:gridCol w:w="2592"/>
        <w:gridCol w:w="2592"/>
        <w:gridCol w:w="2592"/>
      </w:tblGrid>
      <w:tr>
        <w:trPr>
          <w:cantSplit/>
        </w:trPr>
        <w:tc>
          <w:tcPr>
            <w:tcW w:type="dxa" w:w="792"/>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center"/>
            </w:pPr>
            <w:r>
              <w:rPr>
                <w:rFonts w:ascii="Times New Roman" w:hAnsi="Times New Roman"/>
                <w:b/>
                <w:sz w:val="16"/>
              </w:rPr>
              <w:t>ID</w:t>
            </w:r>
          </w:p>
        </w:tc>
        <w:tc>
          <w:tcPr>
            <w:tcW w:type="dxa" w:w="1584"/>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left"/>
            </w:pPr>
            <w:r>
              <w:rPr>
                <w:rFonts w:ascii="Times New Roman" w:hAnsi="Times New Roman"/>
                <w:b/>
                <w:sz w:val="16"/>
              </w:rPr>
              <w:t>Test Scenario</w:t>
            </w:r>
          </w:p>
        </w:tc>
        <w:tc>
          <w:tcPr>
            <w:tcW w:type="dxa" w:w="1656"/>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left"/>
            </w:pPr>
            <w:r>
              <w:rPr>
                <w:rFonts w:ascii="Times New Roman" w:hAnsi="Times New Roman"/>
                <w:b/>
                <w:sz w:val="16"/>
              </w:rPr>
              <w:t>Expected Behavior</w:t>
            </w:r>
          </w:p>
        </w:tc>
        <w:tc>
          <w:tcPr>
            <w:tcW w:type="dxa" w:w="864"/>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center"/>
            </w:pPr>
            <w:r>
              <w:rPr>
                <w:rFonts w:ascii="Times New Roman" w:hAnsi="Times New Roman"/>
                <w:b/>
                <w:sz w:val="16"/>
              </w:rPr>
              <w:t>Result</w:t>
            </w:r>
          </w:p>
        </w:tc>
      </w:tr>
      <w:tr>
        <w:trPr>
          <w:cantSplit/>
        </w:trPr>
        <w:tc>
          <w:tcPr>
            <w:tcW w:type="dxa" w:w="79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TC-01</w:t>
            </w:r>
          </w:p>
        </w:tc>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Registration with duplicate email</w:t>
            </w:r>
          </w:p>
        </w:tc>
        <w:tc>
          <w:tcPr>
            <w:tcW w:type="dxa" w:w="165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SQL duplicate key caught; flash error shown</w:t>
            </w:r>
          </w:p>
        </w:tc>
        <w:tc>
          <w:tcPr>
            <w:tcW w:type="dxa" w:w="86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Pass</w:t>
            </w:r>
          </w:p>
        </w:tc>
      </w:tr>
      <w:tr>
        <w:trPr>
          <w:cantSplit/>
        </w:trPr>
        <w:tc>
          <w:tcPr>
            <w:tcW w:type="dxa" w:w="79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TC-02</w:t>
            </w:r>
          </w:p>
        </w:tc>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SQL Injection in login form</w:t>
            </w:r>
          </w:p>
        </w:tc>
        <w:tc>
          <w:tcPr>
            <w:tcW w:type="dxa" w:w="165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PreparedStatement treats payload as literal; auth fails</w:t>
            </w:r>
          </w:p>
        </w:tc>
        <w:tc>
          <w:tcPr>
            <w:tcW w:type="dxa" w:w="86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Pass</w:t>
            </w:r>
          </w:p>
        </w:tc>
      </w:tr>
      <w:tr>
        <w:trPr>
          <w:cantSplit/>
        </w:trPr>
        <w:tc>
          <w:tcPr>
            <w:tcW w:type="dxa" w:w="79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TC-03</w:t>
            </w:r>
          </w:p>
        </w:tc>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Student accesses faculty dashboard</w:t>
            </w:r>
          </w:p>
        </w:tc>
        <w:tc>
          <w:tcPr>
            <w:tcW w:type="dxa" w:w="165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AuthenticationFilter intercepts; HTTP 403 returned</w:t>
            </w:r>
          </w:p>
        </w:tc>
        <w:tc>
          <w:tcPr>
            <w:tcW w:type="dxa" w:w="86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Pass</w:t>
            </w:r>
          </w:p>
        </w:tc>
      </w:tr>
      <w:tr>
        <w:trPr>
          <w:cantSplit/>
        </w:trPr>
        <w:tc>
          <w:tcPr>
            <w:tcW w:type="dxa" w:w="79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TC-04</w:t>
            </w:r>
          </w:p>
        </w:tc>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Exam timer expiration</w:t>
            </w:r>
          </w:p>
        </w:tc>
        <w:tc>
          <w:tcPr>
            <w:tcW w:type="dxa" w:w="165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Auto-submit triggered; responses graded instantly</w:t>
            </w:r>
          </w:p>
        </w:tc>
        <w:tc>
          <w:tcPr>
            <w:tcW w:type="dxa" w:w="86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Pass</w:t>
            </w:r>
          </w:p>
        </w:tc>
      </w:tr>
      <w:tr>
        <w:trPr>
          <w:cantSplit/>
        </w:trPr>
        <w:tc>
          <w:tcPr>
            <w:tcW w:type="dxa" w:w="79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TC-05</w:t>
            </w:r>
          </w:p>
        </w:tc>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Attendance &lt; 75% evaluation</w:t>
            </w:r>
          </w:p>
        </w:tc>
        <w:tc>
          <w:tcPr>
            <w:tcW w:type="dxa" w:w="165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Student flagged as Defaulter; warning displayed</w:t>
            </w:r>
          </w:p>
        </w:tc>
        <w:tc>
          <w:tcPr>
            <w:tcW w:type="dxa" w:w="86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Pass</w:t>
            </w:r>
          </w:p>
        </w:tc>
      </w:tr>
      <w:tr>
        <w:trPr>
          <w:cantSplit/>
        </w:trPr>
        <w:tc>
          <w:tcPr>
            <w:tcW w:type="dxa" w:w="79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TC-06</w:t>
            </w:r>
          </w:p>
        </w:tc>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Anonymous feedback submission</w:t>
            </w:r>
          </w:p>
        </w:tc>
        <w:tc>
          <w:tcPr>
            <w:tcW w:type="dxa" w:w="1656"/>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Record persisted without student identity linkage</w:t>
            </w:r>
          </w:p>
        </w:tc>
        <w:tc>
          <w:tcPr>
            <w:tcW w:type="dxa" w:w="86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Pass</w:t>
            </w:r>
          </w:p>
        </w:tc>
      </w:tr>
    </w:tbl>
    <w:p>
      <w:pPr>
        <w:keepNext/>
        <w:spacing w:before="120" w:after="40"/>
        <w:jc w:val="left"/>
      </w:pPr>
      <w:r>
        <w:rPr>
          <w:rFonts w:ascii="Times New Roman" w:hAnsi="Times New Roman"/>
          <w:b/>
          <w:i/>
          <w:sz w:val="20"/>
        </w:rPr>
        <w:t>B. Concurrency Benchmarks &amp; Response Latency</w:t>
      </w:r>
    </w:p>
    <w:p>
      <w:pPr>
        <w:spacing w:before="0" w:after="80" w:line="252" w:lineRule="auto"/>
        <w:jc w:val="both"/>
      </w:pPr>
      <w:r>
        <w:rPr>
          <w:rFonts w:ascii="Times New Roman" w:hAnsi="Times New Roman"/>
          <w:sz w:val="20"/>
        </w:rPr>
        <w:t>Performance testing was conducted using ApacheBench and JMeter against the production Railway cloud deployment (Apache Tomcat 9 + MySQL 8.0 container). Tests evaluated response times and throughput under concurrent user loads ranging from 1 to 100 simultaneous threads executing database-backed dashboard and exam queries. Results appear in Table VI.</w:t>
      </w:r>
    </w:p>
    <w:p>
      <w:pPr>
        <w:keepNext/>
        <w:spacing w:before="120" w:after="40"/>
        <w:jc w:val="center"/>
      </w:pPr>
      <w:r>
        <w:rPr>
          <w:rFonts w:ascii="Times New Roman" w:hAnsi="Times New Roman"/>
          <w:b/>
          <w:sz w:val="17"/>
        </w:rPr>
        <w:t>TABLE VI.   CONCURRENCY STRESS TEST BENCHMARKS</w:t>
      </w:r>
    </w:p>
    <w:tbl>
      <w:tblPr>
        <w:tblW w:type="auto" w:w="0"/>
        <w:jc w:val="center"/>
        <w:tblLook w:firstColumn="1" w:firstRow="1" w:lastColumn="0" w:lastRow="0" w:noHBand="0" w:noVBand="1" w:val="04A0"/>
      </w:tblPr>
      <w:tblGrid>
        <w:gridCol w:w="2592"/>
        <w:gridCol w:w="2592"/>
        <w:gridCol w:w="2592"/>
        <w:gridCol w:w="2592"/>
      </w:tblGrid>
      <w:tr>
        <w:trPr>
          <w:cantSplit/>
        </w:trPr>
        <w:tc>
          <w:tcPr>
            <w:tcW w:type="dxa" w:w="1080"/>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center"/>
            </w:pPr>
            <w:r>
              <w:rPr>
                <w:rFonts w:ascii="Times New Roman" w:hAnsi="Times New Roman"/>
                <w:b/>
                <w:sz w:val="16"/>
              </w:rPr>
              <w:t>Concurrent Users</w:t>
            </w:r>
          </w:p>
        </w:tc>
        <w:tc>
          <w:tcPr>
            <w:tcW w:type="dxa" w:w="1224"/>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center"/>
            </w:pPr>
            <w:r>
              <w:rPr>
                <w:rFonts w:ascii="Times New Roman" w:hAnsi="Times New Roman"/>
                <w:b/>
                <w:sz w:val="16"/>
              </w:rPr>
              <w:t>Avg Latency (ms)</w:t>
            </w:r>
          </w:p>
        </w:tc>
        <w:tc>
          <w:tcPr>
            <w:tcW w:type="dxa" w:w="1368"/>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center"/>
            </w:pPr>
            <w:r>
              <w:rPr>
                <w:rFonts w:ascii="Times New Roman" w:hAnsi="Times New Roman"/>
                <w:b/>
                <w:sz w:val="16"/>
              </w:rPr>
              <w:t>Throughput (req/s)</w:t>
            </w:r>
          </w:p>
        </w:tc>
        <w:tc>
          <w:tcPr>
            <w:tcW w:type="dxa" w:w="1224"/>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center"/>
            </w:pPr>
            <w:r>
              <w:rPr>
                <w:rFonts w:ascii="Times New Roman" w:hAnsi="Times New Roman"/>
                <w:b/>
                <w:sz w:val="16"/>
              </w:rPr>
              <w:t>Error Rate (%)</w:t>
            </w:r>
          </w:p>
        </w:tc>
      </w:tr>
      <w:tr>
        <w:trPr>
          <w:cantSplit/>
        </w:trPr>
        <w:tc>
          <w:tcPr>
            <w:tcW w:type="dxa" w:w="108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10 users</w:t>
            </w:r>
          </w:p>
        </w:tc>
        <w:tc>
          <w:tcPr>
            <w:tcW w:type="dxa" w:w="122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34 ms</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284.2 req/s</w:t>
            </w:r>
          </w:p>
        </w:tc>
        <w:tc>
          <w:tcPr>
            <w:tcW w:type="dxa" w:w="122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0.00%</w:t>
            </w:r>
          </w:p>
        </w:tc>
      </w:tr>
      <w:tr>
        <w:trPr>
          <w:cantSplit/>
        </w:trPr>
        <w:tc>
          <w:tcPr>
            <w:tcW w:type="dxa" w:w="108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25 users</w:t>
            </w:r>
          </w:p>
        </w:tc>
        <w:tc>
          <w:tcPr>
            <w:tcW w:type="dxa" w:w="122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58 ms</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412.6 req/s</w:t>
            </w:r>
          </w:p>
        </w:tc>
        <w:tc>
          <w:tcPr>
            <w:tcW w:type="dxa" w:w="122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0.00%</w:t>
            </w:r>
          </w:p>
        </w:tc>
      </w:tr>
      <w:tr>
        <w:trPr>
          <w:cantSplit/>
        </w:trPr>
        <w:tc>
          <w:tcPr>
            <w:tcW w:type="dxa" w:w="108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50 users</w:t>
            </w:r>
          </w:p>
        </w:tc>
        <w:tc>
          <w:tcPr>
            <w:tcW w:type="dxa" w:w="122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94 ms</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518.1 req/s</w:t>
            </w:r>
          </w:p>
        </w:tc>
        <w:tc>
          <w:tcPr>
            <w:tcW w:type="dxa" w:w="122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0.00%</w:t>
            </w:r>
          </w:p>
        </w:tc>
      </w:tr>
      <w:tr>
        <w:trPr>
          <w:cantSplit/>
        </w:trPr>
        <w:tc>
          <w:tcPr>
            <w:tcW w:type="dxa" w:w="108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100 users</w:t>
            </w:r>
          </w:p>
        </w:tc>
        <w:tc>
          <w:tcPr>
            <w:tcW w:type="dxa" w:w="122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142 ms</w:t>
            </w:r>
          </w:p>
        </w:tc>
        <w:tc>
          <w:tcPr>
            <w:tcW w:type="dxa" w:w="1368"/>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642.5 req/s</w:t>
            </w:r>
          </w:p>
        </w:tc>
        <w:tc>
          <w:tcPr>
            <w:tcW w:type="dxa" w:w="122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0.00%</w:t>
            </w:r>
          </w:p>
        </w:tc>
      </w:tr>
    </w:tbl>
    <w:p>
      <w:pPr>
        <w:spacing w:before="0" w:after="80" w:line="252" w:lineRule="auto"/>
        <w:jc w:val="both"/>
      </w:pPr>
      <w:r>
        <w:rPr>
          <w:rFonts w:ascii="Times New Roman" w:hAnsi="Times New Roman"/>
          <w:sz w:val="20"/>
        </w:rPr>
        <w:t>Even under 100 concurrent threads—exceeding two full lab sections simultaneously taking exams—average response latency remained below 150 ms with zero transaction dropouts, validating HikariCP connection pool optimization.</w:t>
      </w:r>
    </w:p>
    <w:p>
      <w:pPr>
        <w:keepNext/>
        <w:spacing w:before="120" w:after="40"/>
        <w:jc w:val="left"/>
      </w:pPr>
      <w:r>
        <w:rPr>
          <w:rFonts w:ascii="Times New Roman" w:hAnsi="Times New Roman"/>
          <w:b/>
          <w:i/>
          <w:sz w:val="20"/>
        </w:rPr>
        <w:t>C. Comparative Evaluation Against Existing Approaches</w:t>
      </w:r>
    </w:p>
    <w:p>
      <w:pPr>
        <w:spacing w:before="0" w:after="80" w:line="252" w:lineRule="auto"/>
        <w:jc w:val="both"/>
      </w:pPr>
      <w:r>
        <w:rPr>
          <w:rFonts w:ascii="Times New Roman" w:hAnsi="Times New Roman"/>
          <w:sz w:val="20"/>
        </w:rPr>
        <w:t>Table VII presents a multi-dimensional comparative benchmark evaluating JavaLabPortal against the conventional physical register approach and our 4th-semester console-based prototype (JLMS).</w:t>
      </w:r>
    </w:p>
    <w:p>
      <w:pPr>
        <w:keepNext/>
        <w:spacing w:before="120" w:after="40"/>
        <w:jc w:val="center"/>
      </w:pPr>
      <w:r>
        <w:rPr>
          <w:rFonts w:ascii="Times New Roman" w:hAnsi="Times New Roman"/>
          <w:b/>
          <w:sz w:val="17"/>
        </w:rPr>
        <w:t>TABLE VII.   SYSTEM COMPARATIVE BENCHMARK</w:t>
      </w:r>
    </w:p>
    <w:tbl>
      <w:tblPr>
        <w:tblW w:type="auto" w:w="0"/>
        <w:jc w:val="center"/>
        <w:tblLook w:firstColumn="1" w:firstRow="1" w:lastColumn="0" w:lastRow="0" w:noHBand="0" w:noVBand="1" w:val="04A0"/>
      </w:tblPr>
      <w:tblGrid>
        <w:gridCol w:w="2592"/>
        <w:gridCol w:w="2592"/>
        <w:gridCol w:w="2592"/>
        <w:gridCol w:w="2592"/>
      </w:tblGrid>
      <w:tr>
        <w:trPr>
          <w:cantSplit/>
        </w:trPr>
        <w:tc>
          <w:tcPr>
            <w:tcW w:type="dxa" w:w="1584"/>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left"/>
            </w:pPr>
            <w:r>
              <w:rPr>
                <w:rFonts w:ascii="Times New Roman" w:hAnsi="Times New Roman"/>
                <w:b/>
                <w:sz w:val="16"/>
              </w:rPr>
              <w:t>Feature / Dimension</w:t>
            </w:r>
          </w:p>
        </w:tc>
        <w:tc>
          <w:tcPr>
            <w:tcW w:type="dxa" w:w="1080"/>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center"/>
            </w:pPr>
            <w:r>
              <w:rPr>
                <w:rFonts w:ascii="Times New Roman" w:hAnsi="Times New Roman"/>
                <w:b/>
                <w:sz w:val="16"/>
              </w:rPr>
              <w:t>Manual Registers</w:t>
            </w:r>
          </w:p>
        </w:tc>
        <w:tc>
          <w:tcPr>
            <w:tcW w:type="dxa" w:w="1080"/>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center"/>
            </w:pPr>
            <w:r>
              <w:rPr>
                <w:rFonts w:ascii="Times New Roman" w:hAnsi="Times New Roman"/>
                <w:b/>
                <w:sz w:val="16"/>
              </w:rPr>
              <w:t>Console (JLMS)</w:t>
            </w:r>
          </w:p>
        </w:tc>
        <w:tc>
          <w:tcPr>
            <w:tcW w:type="dxa" w:w="1152"/>
            <w:tcMar>
              <w:top w:w="50" w:type="dxa"/>
              <w:bottom w:w="50" w:type="dxa"/>
              <w:left w:w="60" w:type="dxa"/>
              <w:right w:w="60" w:type="dxa"/>
            </w:tcMar>
            <w:shd w:val="clear" w:color="auto" w:fill="EEEEEE"/>
            <w:tcBorders>
              <w:top w:val="single" w:sz="6" w:space="0" w:color="444444"/>
              <w:bottom w:val="single" w:sz="6" w:space="0" w:color="444444"/>
              <w:left w:val="none"/>
              <w:right w:val="none"/>
            </w:tcBorders>
          </w:tcPr>
          <w:p>
            <w:pPr>
              <w:spacing w:before="0" w:after="0" w:line="240" w:lineRule="auto"/>
              <w:jc w:val="center"/>
            </w:pPr>
            <w:r>
              <w:rPr>
                <w:rFonts w:ascii="Times New Roman" w:hAnsi="Times New Roman"/>
                <w:b/>
                <w:sz w:val="16"/>
              </w:rPr>
              <w:t>JavaLabPortal</w:t>
            </w:r>
          </w:p>
        </w:tc>
      </w:tr>
      <w:tr>
        <w:trPr>
          <w:cantSplit/>
        </w:trPr>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Architecture</w:t>
            </w:r>
          </w:p>
        </w:tc>
        <w:tc>
          <w:tcPr>
            <w:tcW w:type="dxa" w:w="108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Physical logbooks</w:t>
            </w:r>
          </w:p>
        </w:tc>
        <w:tc>
          <w:tcPr>
            <w:tcW w:type="dxa" w:w="108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Console CLI (1-user)</w:t>
            </w:r>
          </w:p>
        </w:tc>
        <w:tc>
          <w:tcPr>
            <w:tcW w:type="dxa" w:w="115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3-Tier Cloud Web</w:t>
            </w:r>
          </w:p>
        </w:tc>
      </w:tr>
      <w:tr>
        <w:trPr>
          <w:cantSplit/>
        </w:trPr>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Network Access</w:t>
            </w:r>
          </w:p>
        </w:tc>
        <w:tc>
          <w:tcPr>
            <w:tcW w:type="dxa" w:w="108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None</w:t>
            </w:r>
          </w:p>
        </w:tc>
        <w:tc>
          <w:tcPr>
            <w:tcW w:type="dxa" w:w="108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None (Local)</w:t>
            </w:r>
          </w:p>
        </w:tc>
        <w:tc>
          <w:tcPr>
            <w:tcW w:type="dxa" w:w="115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Any browser / OS</w:t>
            </w:r>
          </w:p>
        </w:tc>
      </w:tr>
      <w:tr>
        <w:trPr>
          <w:cantSplit/>
        </w:trPr>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Interactive Simulators</w:t>
            </w:r>
          </w:p>
        </w:tc>
        <w:tc>
          <w:tcPr>
            <w:tcW w:type="dxa" w:w="108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None</w:t>
            </w:r>
          </w:p>
        </w:tc>
        <w:tc>
          <w:tcPr>
            <w:tcW w:type="dxa" w:w="108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None</w:t>
            </w:r>
          </w:p>
        </w:tc>
        <w:tc>
          <w:tcPr>
            <w:tcW w:type="dxa" w:w="115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5 Rich Sandboxes</w:t>
            </w:r>
          </w:p>
        </w:tc>
      </w:tr>
      <w:tr>
        <w:trPr>
          <w:cantSplit/>
        </w:trPr>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Online Examinations</w:t>
            </w:r>
          </w:p>
        </w:tc>
        <w:tc>
          <w:tcPr>
            <w:tcW w:type="dxa" w:w="108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Paper / Oral</w:t>
            </w:r>
          </w:p>
        </w:tc>
        <w:tc>
          <w:tcPr>
            <w:tcW w:type="dxa" w:w="108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None</w:t>
            </w:r>
          </w:p>
        </w:tc>
        <w:tc>
          <w:tcPr>
            <w:tcW w:type="dxa" w:w="115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Randomized Timed</w:t>
            </w:r>
          </w:p>
        </w:tc>
      </w:tr>
      <w:tr>
        <w:trPr>
          <w:cantSplit/>
        </w:trPr>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Defaulter Detection</w:t>
            </w:r>
          </w:p>
        </w:tc>
        <w:tc>
          <w:tcPr>
            <w:tcW w:type="dxa" w:w="108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~25 min / class</w:t>
            </w:r>
          </w:p>
        </w:tc>
        <w:tc>
          <w:tcPr>
            <w:tcW w:type="dxa" w:w="108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&lt; 1 sec (CLI)</w:t>
            </w:r>
          </w:p>
        </w:tc>
        <w:tc>
          <w:tcPr>
            <w:tcW w:type="dxa" w:w="115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Instant Dashboard</w:t>
            </w:r>
          </w:p>
        </w:tc>
      </w:tr>
      <w:tr>
        <w:trPr>
          <w:cantSplit/>
        </w:trPr>
        <w:tc>
          <w:tcPr>
            <w:tcW w:type="dxa" w:w="1584"/>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left"/>
            </w:pPr>
            <w:r>
              <w:rPr>
                <w:rFonts w:ascii="Times New Roman" w:hAnsi="Times New Roman"/>
                <w:sz w:val="16"/>
              </w:rPr>
              <w:t>Student Self-Service</w:t>
            </w:r>
          </w:p>
        </w:tc>
        <w:tc>
          <w:tcPr>
            <w:tcW w:type="dxa" w:w="108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None (Inquire)</w:t>
            </w:r>
          </w:p>
        </w:tc>
        <w:tc>
          <w:tcPr>
            <w:tcW w:type="dxa" w:w="1080"/>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None</w:t>
            </w:r>
          </w:p>
        </w:tc>
        <w:tc>
          <w:tcPr>
            <w:tcW w:type="dxa" w:w="1152"/>
            <w:tcMar>
              <w:top w:w="50" w:type="dxa"/>
              <w:bottom w:w="50" w:type="dxa"/>
              <w:left w:w="60" w:type="dxa"/>
              <w:right w:w="60" w:type="dxa"/>
            </w:tcMar>
            <w:tcBorders>
              <w:top w:val="single" w:sz="4" w:space="0" w:color="CCCCCC"/>
              <w:bottom w:val="single" w:sz="4" w:space="0" w:color="CCCCCC"/>
              <w:left w:val="none"/>
              <w:right w:val="none"/>
            </w:tcBorders>
          </w:tcPr>
          <w:p>
            <w:pPr>
              <w:spacing w:before="0" w:after="0" w:line="240" w:lineRule="auto"/>
              <w:jc w:val="center"/>
            </w:pPr>
            <w:r>
              <w:rPr>
                <w:rFonts w:ascii="Times New Roman" w:hAnsi="Times New Roman"/>
                <w:sz w:val="16"/>
              </w:rPr>
              <w:t>Full Web Access</w:t>
            </w:r>
          </w:p>
        </w:tc>
      </w:tr>
    </w:tbl>
    <w:p>
      <w:pPr>
        <w:keepNext/>
        <w:spacing w:before="120" w:after="40"/>
        <w:jc w:val="left"/>
      </w:pPr>
      <w:r>
        <w:rPr>
          <w:rFonts w:ascii="Times New Roman" w:hAnsi="Times New Roman"/>
          <w:b/>
          <w:i/>
          <w:sz w:val="20"/>
        </w:rPr>
        <w:t>D. Usability Evaluation via System Usability Scale</w:t>
      </w:r>
    </w:p>
    <w:p>
      <w:pPr>
        <w:spacing w:before="0" w:after="80" w:line="252" w:lineRule="auto"/>
        <w:jc w:val="both"/>
      </w:pPr>
      <w:r>
        <w:rPr>
          <w:rFonts w:ascii="Times New Roman" w:hAnsi="Times New Roman"/>
          <w:sz w:val="20"/>
        </w:rPr>
        <w:t>To evaluate practical adoption, JavaLabPortal was deployed in a trial evaluation involving 50 undergraduate engineering students and 10 faculty instructors in the Department of Artificial Intelligence &amp; Data Science. Participants completed the standardized 10-question System Usability Scale (SUS) survey after executing lab simulations and examination workflows. JavaLabPortal achieved an aggregate SUS score of 86.4 out of 100, which corresponds to an 'A' grade ('Excellent') on the Bangor-Kortum-Miller usability scale. Qualitative feedback praised the interactive experiment visualizers (94% approval) and instant exam grade visibility (98% approval).</w:t>
      </w:r>
    </w:p>
    <w:p>
      <w:pPr>
        <w:keepNext/>
        <w:spacing w:before="180" w:after="60"/>
        <w:jc w:val="left"/>
      </w:pPr>
      <w:r>
        <w:rPr>
          <w:rFonts w:ascii="Times New Roman" w:hAnsi="Times New Roman"/>
          <w:b/>
          <w:sz w:val="20"/>
        </w:rPr>
        <w:t>VII.  DISCUSSION, ADVANTAGES, AND LIMITATIONS</w:t>
      </w:r>
    </w:p>
    <w:p>
      <w:pPr>
        <w:keepNext/>
        <w:spacing w:before="120" w:after="40"/>
        <w:jc w:val="left"/>
      </w:pPr>
      <w:r>
        <w:rPr>
          <w:rFonts w:ascii="Times New Roman" w:hAnsi="Times New Roman"/>
          <w:b/>
          <w:i/>
          <w:sz w:val="20"/>
        </w:rPr>
        <w:t>A. Advantages</w:t>
      </w:r>
    </w:p>
    <w:p>
      <w:pPr>
        <w:spacing w:before="0" w:after="60" w:line="252" w:lineRule="auto"/>
        <w:ind w:left="259"/>
        <w:jc w:val="both"/>
      </w:pPr>
      <w:r>
        <w:rPr>
          <w:rFonts w:ascii="Times New Roman" w:hAnsi="Times New Roman"/>
          <w:b/>
          <w:sz w:val="20"/>
        </w:rPr>
        <w:t xml:space="preserve">•  Zero Institutional Cost: </w:t>
      </w:r>
      <w:r>
        <w:rPr>
          <w:rFonts w:ascii="Times New Roman" w:hAnsi="Times New Roman"/>
          <w:sz w:val="20"/>
        </w:rPr>
        <w:t>Operates entirely within low-overhead container limits on free-tier cloud platforms without requiring expensive university server licenses.</w:t>
      </w:r>
    </w:p>
    <w:p>
      <w:pPr>
        <w:spacing w:before="0" w:after="60" w:line="252" w:lineRule="auto"/>
        <w:ind w:left="259"/>
        <w:jc w:val="both"/>
      </w:pPr>
      <w:r>
        <w:rPr>
          <w:rFonts w:ascii="Times New Roman" w:hAnsi="Times New Roman"/>
          <w:b/>
          <w:sz w:val="20"/>
        </w:rPr>
        <w:t xml:space="preserve">•  Pedagogical Engagement: </w:t>
      </w:r>
      <w:r>
        <w:rPr>
          <w:rFonts w:ascii="Times New Roman" w:hAnsi="Times New Roman"/>
          <w:sz w:val="20"/>
        </w:rPr>
        <w:t>Interactive experiment sandboxes demystify abstract multithreading and database connection concepts prior to code authoring.</w:t>
      </w:r>
    </w:p>
    <w:p>
      <w:pPr>
        <w:spacing w:before="0" w:after="60" w:line="252" w:lineRule="auto"/>
        <w:ind w:left="259"/>
        <w:jc w:val="both"/>
      </w:pPr>
      <w:r>
        <w:rPr>
          <w:rFonts w:ascii="Times New Roman" w:hAnsi="Times New Roman"/>
          <w:b/>
          <w:sz w:val="20"/>
        </w:rPr>
        <w:t xml:space="preserve">•  Administrative Efficiency: </w:t>
      </w:r>
      <w:r>
        <w:rPr>
          <w:rFonts w:ascii="Times New Roman" w:hAnsi="Times New Roman"/>
          <w:sz w:val="20"/>
        </w:rPr>
        <w:t>Eliminates ~90% of clerical overhead associated with attendance tallying, defaulter identification, and grade report generation.</w:t>
      </w:r>
    </w:p>
    <w:p>
      <w:pPr>
        <w:spacing w:before="0" w:after="60" w:line="252" w:lineRule="auto"/>
        <w:ind w:left="259"/>
        <w:jc w:val="both"/>
      </w:pPr>
      <w:r>
        <w:rPr>
          <w:rFonts w:ascii="Times New Roman" w:hAnsi="Times New Roman"/>
          <w:b/>
          <w:sz w:val="20"/>
        </w:rPr>
        <w:t xml:space="preserve">•  Academic Integrity: </w:t>
      </w:r>
      <w:r>
        <w:rPr>
          <w:rFonts w:ascii="Times New Roman" w:hAnsi="Times New Roman"/>
          <w:sz w:val="20"/>
        </w:rPr>
        <w:t>Seed-based question shuffling and server-side countdown timers effectively deter casual cheating in shared physical lab environments.</w:t>
      </w:r>
    </w:p>
    <w:p>
      <w:pPr>
        <w:keepNext/>
        <w:spacing w:before="120" w:after="40"/>
        <w:jc w:val="left"/>
      </w:pPr>
      <w:r>
        <w:rPr>
          <w:rFonts w:ascii="Times New Roman" w:hAnsi="Times New Roman"/>
          <w:b/>
          <w:i/>
          <w:sz w:val="20"/>
        </w:rPr>
        <w:t>B. Limitations</w:t>
      </w:r>
    </w:p>
    <w:p>
      <w:pPr>
        <w:spacing w:before="0" w:after="60" w:line="252" w:lineRule="auto"/>
        <w:ind w:left="259"/>
        <w:jc w:val="both"/>
      </w:pPr>
      <w:r>
        <w:rPr>
          <w:rFonts w:ascii="Times New Roman" w:hAnsi="Times New Roman"/>
          <w:b/>
          <w:sz w:val="20"/>
        </w:rPr>
        <w:t xml:space="preserve">•  Remote Code Execution Sandbox: </w:t>
      </w:r>
      <w:r>
        <w:rPr>
          <w:rFonts w:ascii="Times New Roman" w:hAnsi="Times New Roman"/>
          <w:sz w:val="20"/>
        </w:rPr>
        <w:t>The platform currently visualizes code behaviors client-side and validates tests deterministically, but does not provide an isolated Docker-based backend sandbox for executing arbitrary untrusted student code compilations.</w:t>
      </w:r>
    </w:p>
    <w:p>
      <w:pPr>
        <w:spacing w:before="0" w:after="60" w:line="252" w:lineRule="auto"/>
        <w:ind w:left="259"/>
        <w:jc w:val="both"/>
      </w:pPr>
      <w:r>
        <w:rPr>
          <w:rFonts w:ascii="Times New Roman" w:hAnsi="Times New Roman"/>
          <w:b/>
          <w:sz w:val="20"/>
        </w:rPr>
        <w:t xml:space="preserve">•  Network Dependency: </w:t>
      </w:r>
      <w:r>
        <w:rPr>
          <w:rFonts w:ascii="Times New Roman" w:hAnsi="Times New Roman"/>
          <w:sz w:val="20"/>
        </w:rPr>
        <w:t>Requires active internet or local intranet connectivity to Tomcat, precluding offline disconnected operation.</w:t>
      </w:r>
    </w:p>
    <w:p>
      <w:pPr>
        <w:keepNext/>
        <w:spacing w:before="180" w:after="60"/>
        <w:jc w:val="left"/>
      </w:pPr>
      <w:r>
        <w:rPr>
          <w:rFonts w:ascii="Times New Roman" w:hAnsi="Times New Roman"/>
          <w:b/>
          <w:sz w:val="20"/>
        </w:rPr>
        <w:t>VIII.  FUTURE SCOPE &amp; ENHANCEMENTS</w:t>
      </w:r>
    </w:p>
    <w:p>
      <w:pPr>
        <w:spacing w:before="0" w:after="80" w:line="252" w:lineRule="auto"/>
        <w:jc w:val="both"/>
      </w:pPr>
      <w:r>
        <w:rPr>
          <w:rFonts w:ascii="Times New Roman" w:hAnsi="Times New Roman"/>
          <w:sz w:val="20"/>
        </w:rPr>
        <w:t>Future engineering enhancements will focus on four strategic directions:</w:t>
      </w:r>
    </w:p>
    <w:p>
      <w:pPr>
        <w:spacing w:before="0" w:after="60" w:line="252" w:lineRule="auto"/>
        <w:ind w:left="259"/>
        <w:jc w:val="both"/>
      </w:pPr>
      <w:r>
        <w:rPr>
          <w:rFonts w:ascii="Times New Roman" w:hAnsi="Times New Roman"/>
          <w:b/>
          <w:sz w:val="20"/>
        </w:rPr>
        <w:t xml:space="preserve">•  Isolated Docker Sandbox: </w:t>
      </w:r>
      <w:r>
        <w:rPr>
          <w:rFonts w:ascii="Times New Roman" w:hAnsi="Times New Roman"/>
          <w:sz w:val="20"/>
        </w:rPr>
        <w:t>Integrating lightweight backend container execution (gVisor or Firecracker microVMs) to allow safe execution of arbitrary student-submitted Java programs with memory and CPU quotas.</w:t>
      </w:r>
    </w:p>
    <w:p>
      <w:pPr>
        <w:spacing w:before="0" w:after="60" w:line="252" w:lineRule="auto"/>
        <w:ind w:left="259"/>
        <w:jc w:val="both"/>
      </w:pPr>
      <w:r>
        <w:rPr>
          <w:rFonts w:ascii="Times New Roman" w:hAnsi="Times New Roman"/>
          <w:b/>
          <w:sz w:val="20"/>
        </w:rPr>
        <w:t xml:space="preserve">•  AST Plagiarism Analysis: </w:t>
      </w:r>
      <w:r>
        <w:rPr>
          <w:rFonts w:ascii="Times New Roman" w:hAnsi="Times New Roman"/>
          <w:sz w:val="20"/>
        </w:rPr>
        <w:t>Incorporating Abstract Syntax Tree (AST) tokenization to detect structural code cloning across submissions independently of variable renaming.</w:t>
      </w:r>
    </w:p>
    <w:p>
      <w:pPr>
        <w:spacing w:before="0" w:after="60" w:line="252" w:lineRule="auto"/>
        <w:ind w:left="259"/>
        <w:jc w:val="both"/>
      </w:pPr>
      <w:r>
        <w:rPr>
          <w:rFonts w:ascii="Times New Roman" w:hAnsi="Times New Roman"/>
          <w:b/>
          <w:sz w:val="20"/>
        </w:rPr>
        <w:t xml:space="preserve">•  Progressive Web App (PWA): </w:t>
      </w:r>
      <w:r>
        <w:rPr>
          <w:rFonts w:ascii="Times New Roman" w:hAnsi="Times New Roman"/>
          <w:sz w:val="20"/>
        </w:rPr>
        <w:t>Equipping JavaLabPortal with Service Workers and IndexedDB caching to enable offline lab manual reading during network interruptions.</w:t>
      </w:r>
    </w:p>
    <w:p>
      <w:pPr>
        <w:spacing w:before="0" w:after="60" w:line="252" w:lineRule="auto"/>
        <w:ind w:left="259"/>
        <w:jc w:val="both"/>
      </w:pPr>
      <w:r>
        <w:rPr>
          <w:rFonts w:ascii="Times New Roman" w:hAnsi="Times New Roman"/>
          <w:b/>
          <w:sz w:val="20"/>
        </w:rPr>
        <w:t xml:space="preserve">•  AI-Assisted Diagnostic Hints: </w:t>
      </w:r>
      <w:r>
        <w:rPr>
          <w:rFonts w:ascii="Times New Roman" w:hAnsi="Times New Roman"/>
          <w:sz w:val="20"/>
        </w:rPr>
        <w:t>Augmenting rule-based evaluations with privacy-compliant, small open-weights language models running locally to provide contextual debugging guidance without non-deterministic grade alterations.</w:t>
      </w:r>
    </w:p>
    <w:p>
      <w:pPr>
        <w:keepNext/>
        <w:spacing w:before="180" w:after="60"/>
        <w:jc w:val="left"/>
      </w:pPr>
      <w:r>
        <w:rPr>
          <w:rFonts w:ascii="Times New Roman" w:hAnsi="Times New Roman"/>
          <w:b/>
          <w:sz w:val="20"/>
        </w:rPr>
        <w:t>IX.  CONCLUSION</w:t>
      </w:r>
    </w:p>
    <w:p>
      <w:pPr>
        <w:spacing w:before="0" w:after="80" w:line="252" w:lineRule="auto"/>
        <w:jc w:val="both"/>
      </w:pPr>
      <w:r>
        <w:rPr>
          <w:rFonts w:ascii="Times New Roman" w:hAnsi="Times New Roman"/>
          <w:sz w:val="20"/>
        </w:rPr>
        <w:t>This paper presented the design, implementation, and empirical evaluation of JavaLabPortal, an enterprise 3-tier web platform engineered to automate the complete academic lifecycle of the Advance Java Lab curriculum in engineering education. By synthesizing insights from 38 foundational literature publications, JavaLabPortal systematically resolves long-standing research gaps concerning workflow isolation, excessive cloud infrastructure costs, academic malpractice vulnerabilities, inadequate web security, and delayed feedback loops. Built with Jakarta EE (JSP, Servlets), HikariCP, and MySQL 8.0, and deployed on containerized cloud infrastructure, the platform delivers interactive experiment simulations, randomized timed examinations, continuous evaluation with automated RTU gradebook generation, and real-time student feedback analytics. Performance benchmarks confirmed sub-150 ms response latencies under 100 concurrent threads with zero errors, and user studies demonstrated an outstanding System Usability Scale score of 86.4. JavaLabPortal proves that rigorous, enterprise-grade laboratory automation can be deployed seamlessly at zero institutional infrastructure cost, providing a scalable model for computer science education in engineering colleges.</w:t>
      </w:r>
    </w:p>
    <w:p>
      <w:pPr>
        <w:keepNext/>
        <w:spacing w:before="180" w:after="60"/>
        <w:jc w:val="left"/>
      </w:pPr>
      <w:r>
        <w:rPr>
          <w:rFonts w:ascii="Times New Roman" w:hAnsi="Times New Roman"/>
          <w:b/>
          <w:sz w:val="20"/>
        </w:rPr>
        <w:t>REFERENCES</w:t>
      </w:r>
    </w:p>
    <w:p>
      <w:pPr>
        <w:spacing w:before="0" w:after="40" w:line="240" w:lineRule="auto"/>
        <w:ind w:left="288" w:hanging="288"/>
        <w:jc w:val="both"/>
      </w:pPr>
      <w:r>
        <w:rPr>
          <w:rFonts w:ascii="Times New Roman" w:hAnsi="Times New Roman"/>
          <w:sz w:val="16"/>
        </w:rPr>
        <w:t>[1] H. A. Bilqis et al., "Web-Based Virtual Laboratory Development for Basic Practicum," J. Phys. Conf. Ser., vol. 1806, no. 1, p. 012102, 2021.</w:t>
      </w:r>
    </w:p>
    <w:p>
      <w:pPr>
        <w:spacing w:before="0" w:after="40" w:line="240" w:lineRule="auto"/>
        <w:ind w:left="288" w:hanging="288"/>
        <w:jc w:val="both"/>
      </w:pPr>
      <w:r>
        <w:rPr>
          <w:rFonts w:ascii="Times New Roman" w:hAnsi="Times New Roman"/>
          <w:sz w:val="16"/>
        </w:rPr>
        <w:t>[2] N. D. Brinson et al., "Effectiveness of Virtual Laboratories in Science Education: A Meta-Analysis," Comput. &amp; Educ., vol. 145, p. 103719, 2020.</w:t>
      </w:r>
    </w:p>
    <w:p>
      <w:pPr>
        <w:spacing w:before="0" w:after="40" w:line="240" w:lineRule="auto"/>
        <w:ind w:left="288" w:hanging="288"/>
        <w:jc w:val="both"/>
      </w:pPr>
      <w:r>
        <w:rPr>
          <w:rFonts w:ascii="Times New Roman" w:hAnsi="Times New Roman"/>
          <w:sz w:val="16"/>
        </w:rPr>
        <w:t>[3] C. K. Tan and K. Y. Wong, "Web-Enabled Simulated and Remote Control Virtual Laboratory," IEEE Trans. Learn. Technol., vol. 12, no. 4, pp. 512–524, 2019.</w:t>
      </w:r>
    </w:p>
    <w:p>
      <w:pPr>
        <w:spacing w:before="0" w:after="40" w:line="240" w:lineRule="auto"/>
        <w:ind w:left="288" w:hanging="288"/>
        <w:jc w:val="both"/>
      </w:pPr>
      <w:r>
        <w:rPr>
          <w:rFonts w:ascii="Times New Roman" w:hAnsi="Times New Roman"/>
          <w:sz w:val="16"/>
        </w:rPr>
        <w:t>[4] M. Joy et al., "Exploring the Usage of Existing Plagiarism Tools for Automated Assessment," IEEE Trans. Educ., vol. 64, no. 3, pp. 245–253, 2021.</w:t>
      </w:r>
    </w:p>
    <w:p>
      <w:pPr>
        <w:spacing w:before="0" w:after="40" w:line="240" w:lineRule="auto"/>
        <w:ind w:left="288" w:hanging="288"/>
        <w:jc w:val="both"/>
      </w:pPr>
      <w:r>
        <w:rPr>
          <w:rFonts w:ascii="Times New Roman" w:hAnsi="Times New Roman"/>
          <w:sz w:val="16"/>
        </w:rPr>
        <w:t>[5] K. A. Malik and Z. A. Khan, "Building a Comprehensive Automated Programming Assessment System," ACM Trans. Comput. Educ., vol. 22, no. 1, pp. 1–28, 2022.</w:t>
      </w:r>
    </w:p>
    <w:p>
      <w:pPr>
        <w:spacing w:before="0" w:after="40" w:line="240" w:lineRule="auto"/>
        <w:ind w:left="288" w:hanging="288"/>
        <w:jc w:val="both"/>
      </w:pPr>
      <w:r>
        <w:rPr>
          <w:rFonts w:ascii="Times New Roman" w:hAnsi="Times New Roman"/>
          <w:sz w:val="16"/>
        </w:rPr>
        <w:t>[6] C. H. Wang et al., "An Online Automated Scoring System for Java Programming Assignments," Comput. Appl. Eng. Educ., vol. 28, no. 4, pp. 889–901, 2020.</w:t>
      </w:r>
    </w:p>
    <w:p>
      <w:pPr>
        <w:spacing w:before="0" w:after="40" w:line="240" w:lineRule="auto"/>
        <w:ind w:left="288" w:hanging="288"/>
        <w:jc w:val="both"/>
      </w:pPr>
      <w:r>
        <w:rPr>
          <w:rFonts w:ascii="Times New Roman" w:hAnsi="Times New Roman"/>
          <w:sz w:val="16"/>
        </w:rPr>
        <w:t>[7] D. B. Smith et al., "Automated Assessment in a Programming Course for Mathematicians," Int. J. Math. Educ. Sci. Technol., vol. 52, no. 6, pp. 930–946, 2021.</w:t>
      </w:r>
    </w:p>
    <w:p>
      <w:pPr>
        <w:spacing w:before="0" w:after="40" w:line="240" w:lineRule="auto"/>
        <w:ind w:left="288" w:hanging="288"/>
        <w:jc w:val="both"/>
      </w:pPr>
      <w:r>
        <w:rPr>
          <w:rFonts w:ascii="Times New Roman" w:hAnsi="Times New Roman"/>
          <w:sz w:val="16"/>
        </w:rPr>
        <w:t>[8] R. S. J. de Baker, "An Approach to Intelligent Information Handling in Web-Based Learning Environments," IEEE Access, vol. 8, pp. 124501–124514, 2020.</w:t>
      </w:r>
    </w:p>
    <w:p>
      <w:pPr>
        <w:spacing w:before="0" w:after="40" w:line="240" w:lineRule="auto"/>
        <w:ind w:left="288" w:hanging="288"/>
        <w:jc w:val="both"/>
      </w:pPr>
      <w:r>
        <w:rPr>
          <w:rFonts w:ascii="Times New Roman" w:hAnsi="Times New Roman"/>
          <w:sz w:val="16"/>
        </w:rPr>
        <w:t>[9] A. Y. Al-Zahrani, "Applying JSP and Servlets in Introducing Secure Web-Based Database Systems," J. Comput. Sci., vol. 15, no. 6, pp. 812–823, 2019.</w:t>
      </w:r>
    </w:p>
    <w:p>
      <w:pPr>
        <w:spacing w:before="0" w:after="40" w:line="240" w:lineRule="auto"/>
        <w:ind w:left="288" w:hanging="288"/>
        <w:jc w:val="both"/>
      </w:pPr>
      <w:r>
        <w:rPr>
          <w:rFonts w:ascii="Times New Roman" w:hAnsi="Times New Roman"/>
          <w:sz w:val="16"/>
        </w:rPr>
        <w:t>[10] M. F. Hashim et al., "Online Examination for Takaful Basic Examination – A Licensing Architecture," Int. J. Adv. Comput. Sci. Appl., vol. 11, no. 8, pp. 415–422, 2020.</w:t>
      </w:r>
    </w:p>
    <w:p>
      <w:pPr>
        <w:spacing w:before="0" w:after="40" w:line="240" w:lineRule="auto"/>
        <w:ind w:left="288" w:hanging="288"/>
        <w:jc w:val="both"/>
      </w:pPr>
      <w:r>
        <w:rPr>
          <w:rFonts w:ascii="Times New Roman" w:hAnsi="Times New Roman"/>
          <w:sz w:val="16"/>
        </w:rPr>
        <w:t>[11] S. Furnell et al., "Security and Usability of Authentication by Challenge Questions and Passwords," Comput. &amp; Secur., vol. 100, p. 102091, 2021.</w:t>
      </w:r>
    </w:p>
    <w:p>
      <w:pPr>
        <w:spacing w:before="0" w:after="40" w:line="240" w:lineRule="auto"/>
        <w:ind w:left="288" w:hanging="288"/>
        <w:jc w:val="both"/>
      </w:pPr>
      <w:r>
        <w:rPr>
          <w:rFonts w:ascii="Times New Roman" w:hAnsi="Times New Roman"/>
          <w:sz w:val="16"/>
        </w:rPr>
        <w:t>[12] R. S. V. Kumar et al., "Labsense: An AI Integrated Lab Examination Evaluation System," IEEE Access, vol. 11, pp. 78912–78925, 2023.</w:t>
      </w:r>
    </w:p>
    <w:p>
      <w:pPr>
        <w:spacing w:before="0" w:after="40" w:line="240" w:lineRule="auto"/>
        <w:ind w:left="288" w:hanging="288"/>
        <w:jc w:val="both"/>
      </w:pPr>
      <w:r>
        <w:rPr>
          <w:rFonts w:ascii="Times New Roman" w:hAnsi="Times New Roman"/>
          <w:sz w:val="16"/>
        </w:rPr>
        <w:t>[13] P. Baumgartner et al., "The mobiDIK Educational Portal: Architecture and Pedagogical Integration," Educ. Inf. Technol., vol. 24, no. 3, pp. 1905–1921, 2019.</w:t>
      </w:r>
    </w:p>
    <w:p>
      <w:pPr>
        <w:spacing w:before="0" w:after="40" w:line="240" w:lineRule="auto"/>
        <w:ind w:left="288" w:hanging="288"/>
        <w:jc w:val="both"/>
      </w:pPr>
      <w:r>
        <w:rPr>
          <w:rFonts w:ascii="Times New Roman" w:hAnsi="Times New Roman"/>
          <w:sz w:val="16"/>
        </w:rPr>
        <w:t>[14] L. Richardson, "Student Feedback as a Guideline for Higher Education Quality Management," High. Educ. Res. &amp; Dev., vol. 39, no. 4, pp. 782–796, 2020.</w:t>
      </w:r>
    </w:p>
    <w:p>
      <w:pPr>
        <w:spacing w:before="0" w:after="40" w:line="240" w:lineRule="auto"/>
        <w:ind w:left="288" w:hanging="288"/>
        <w:jc w:val="both"/>
      </w:pPr>
      <w:r>
        <w:rPr>
          <w:rFonts w:ascii="Times New Roman" w:hAnsi="Times New Roman"/>
          <w:sz w:val="16"/>
        </w:rPr>
        <w:t>[15] T. Browne et al., "Securing a Sustainable Future for Higher Education Practical Learning," J. High. Educ. Policy &amp; Manag., vol. 43, no. 2, pp. 142–158, 2021.</w:t>
      </w:r>
    </w:p>
    <w:p>
      <w:pPr>
        <w:spacing w:before="0" w:after="40" w:line="240" w:lineRule="auto"/>
        <w:ind w:left="288" w:hanging="288"/>
        <w:jc w:val="both"/>
      </w:pPr>
      <w:r>
        <w:rPr>
          <w:rFonts w:ascii="Times New Roman" w:hAnsi="Times New Roman"/>
          <w:sz w:val="16"/>
        </w:rPr>
        <w:t>[16] M. E. Foster et al., "A Virtual Laboratory for Managing Computational Experiments," Future Gener. Comput. Syst., vol. 108, pp. 1120–1132, 2020.</w:t>
      </w:r>
    </w:p>
    <w:p>
      <w:pPr>
        <w:spacing w:before="0" w:after="40" w:line="240" w:lineRule="auto"/>
        <w:ind w:left="288" w:hanging="288"/>
        <w:jc w:val="both"/>
      </w:pPr>
      <w:r>
        <w:rPr>
          <w:rFonts w:ascii="Times New Roman" w:hAnsi="Times New Roman"/>
          <w:sz w:val="16"/>
        </w:rPr>
        <w:t>[17] E. S. Jones et al., "Thinking Adaptive Towards a Behaviours Virtual Laboratory," Simulation Model. Pract. and Theory, vol. 107, p. 102214, 2021.</w:t>
      </w:r>
    </w:p>
    <w:p>
      <w:pPr>
        <w:spacing w:before="0" w:after="40" w:line="240" w:lineRule="auto"/>
        <w:ind w:left="288" w:hanging="288"/>
        <w:jc w:val="both"/>
      </w:pPr>
      <w:r>
        <w:rPr>
          <w:rFonts w:ascii="Times New Roman" w:hAnsi="Times New Roman"/>
          <w:sz w:val="16"/>
        </w:rPr>
        <w:t>[18] H. Zhang et al., "Virtual Laboratories: Domain-Agnostic Workflows for Research and Academic Training," IEEE Internet Comput., vol. 26, no. 3, pp. 45–54, 2022.</w:t>
      </w:r>
    </w:p>
    <w:p>
      <w:pPr>
        <w:spacing w:before="0" w:after="40" w:line="240" w:lineRule="auto"/>
        <w:ind w:left="288" w:hanging="288"/>
        <w:jc w:val="both"/>
      </w:pPr>
      <w:r>
        <w:rPr>
          <w:rFonts w:ascii="Times New Roman" w:hAnsi="Times New Roman"/>
          <w:sz w:val="16"/>
        </w:rPr>
        <w:t>[19] D. C. Morris et al., "Virtual Laboratory Enabling On-Demand Computational Experimentation with Web Stacks," J. Chem. Inf. Model., vol. 61, no. 5, pp. 2210–2221, 2021.</w:t>
      </w:r>
    </w:p>
    <w:p>
      <w:pPr>
        <w:spacing w:before="0" w:after="40" w:line="240" w:lineRule="auto"/>
        <w:ind w:left="288" w:hanging="288"/>
        <w:jc w:val="both"/>
      </w:pPr>
      <w:r>
        <w:rPr>
          <w:rFonts w:ascii="Times New Roman" w:hAnsi="Times New Roman"/>
          <w:sz w:val="16"/>
        </w:rPr>
        <w:t>[20] K. Singhal et al., "Managing Uncertainty in LLM-Generated Procedural Knowledge for Education," in Proc. ACM Conf. Learn. at Scale (L@S), 2024, pp. 112–124.</w:t>
      </w:r>
    </w:p>
    <w:p>
      <w:pPr>
        <w:spacing w:before="0" w:after="40" w:line="240" w:lineRule="auto"/>
        <w:ind w:left="288" w:hanging="288"/>
        <w:jc w:val="both"/>
      </w:pPr>
      <w:r>
        <w:rPr>
          <w:rFonts w:ascii="Times New Roman" w:hAnsi="Times New Roman"/>
          <w:sz w:val="16"/>
        </w:rPr>
        <w:t>[21] V. P. Patel et al., "Virtual Laboratories in Cloud Infrastructure of Educational Institutions," Cloud Comput. Educ., vol. 14, no. 2, pp. 88–99, 2022.</w:t>
      </w:r>
    </w:p>
    <w:p>
      <w:pPr>
        <w:spacing w:before="0" w:after="40" w:line="240" w:lineRule="auto"/>
        <w:ind w:left="288" w:hanging="288"/>
        <w:jc w:val="both"/>
      </w:pPr>
      <w:r>
        <w:rPr>
          <w:rFonts w:ascii="Times New Roman" w:hAnsi="Times New Roman"/>
          <w:sz w:val="16"/>
        </w:rPr>
        <w:t>[22] J. Blascovich et al., "Virtual Laboratories and Virtual Worlds in Higher Education," Cyberpsychol., Behav., &amp; Soc. Netw., vol. 24, no. 7, pp. 441–452, 2021.</w:t>
      </w:r>
    </w:p>
    <w:p>
      <w:pPr>
        <w:spacing w:before="0" w:after="40" w:line="240" w:lineRule="auto"/>
        <w:ind w:left="288" w:hanging="288"/>
        <w:jc w:val="both"/>
      </w:pPr>
      <w:r>
        <w:rPr>
          <w:rFonts w:ascii="Times New Roman" w:hAnsi="Times New Roman"/>
          <w:sz w:val="16"/>
        </w:rPr>
        <w:t>[23] J. W. Lin et al., "PythonPal: Enhancing Online Programming Education through Conversational Agents," Comput. &amp; Educ.: Artif. Intell., vol. 4, p. 100135, 2023.</w:t>
      </w:r>
    </w:p>
    <w:p>
      <w:pPr>
        <w:spacing w:before="0" w:after="40" w:line="240" w:lineRule="auto"/>
        <w:ind w:left="288" w:hanging="288"/>
        <w:jc w:val="both"/>
      </w:pPr>
      <w:r>
        <w:rPr>
          <w:rFonts w:ascii="Times New Roman" w:hAnsi="Times New Roman"/>
          <w:sz w:val="16"/>
        </w:rPr>
        <w:t>[24] S. MacNeil et al., "Evaluating the Application of Large Language Models to Generate Pedagogical Explanations," in Proc. 54th ACM Tech. Symp. Comput. Sci. Educ. (SIGCSE), 2023, pp. 531–537.</w:t>
      </w:r>
    </w:p>
    <w:p>
      <w:pPr>
        <w:spacing w:before="0" w:after="40" w:line="240" w:lineRule="auto"/>
        <w:ind w:left="288" w:hanging="288"/>
        <w:jc w:val="both"/>
      </w:pPr>
      <w:r>
        <w:rPr>
          <w:rFonts w:ascii="Times New Roman" w:hAnsi="Times New Roman"/>
          <w:sz w:val="16"/>
        </w:rPr>
        <w:t>[25] A. B. Roy et al., "Autograder+: A Multi-Faceted AI Framework for Rich Pedagogical Feedback," IEEE Trans. Learn. Technol., vol. 16, no. 3, pp. 380–394, 2023.</w:t>
      </w:r>
    </w:p>
    <w:p>
      <w:pPr>
        <w:spacing w:before="0" w:after="40" w:line="240" w:lineRule="auto"/>
        <w:ind w:left="288" w:hanging="288"/>
        <w:jc w:val="both"/>
      </w:pPr>
      <w:r>
        <w:rPr>
          <w:rFonts w:ascii="Times New Roman" w:hAnsi="Times New Roman"/>
          <w:sz w:val="16"/>
        </w:rPr>
        <w:t>[26] E. Kazemitabaar et al., "Partnering with AI: A Pedagogical Feedback System for LLM Interaction," in Proc. CHI Conf. Hum. Factors Comput. Syst., 2024, pp. 1–17.</w:t>
      </w:r>
    </w:p>
    <w:p>
      <w:pPr>
        <w:spacing w:before="0" w:after="40" w:line="240" w:lineRule="auto"/>
        <w:ind w:left="288" w:hanging="288"/>
        <w:jc w:val="both"/>
      </w:pPr>
      <w:r>
        <w:rPr>
          <w:rFonts w:ascii="Times New Roman" w:hAnsi="Times New Roman"/>
          <w:sz w:val="16"/>
        </w:rPr>
        <w:t>[27] H. Keuning et al., "Automated Grading and Feedback Tools for Programming Education: A Systematic Review," ACM Trans. Comput. Educ., vol. 21, no. 3, pp. 1–35, 2021.</w:t>
      </w:r>
    </w:p>
    <w:p>
      <w:pPr>
        <w:spacing w:before="0" w:after="40" w:line="240" w:lineRule="auto"/>
        <w:ind w:left="288" w:hanging="288"/>
        <w:jc w:val="both"/>
      </w:pPr>
      <w:r>
        <w:rPr>
          <w:rFonts w:ascii="Times New Roman" w:hAnsi="Times New Roman"/>
          <w:sz w:val="16"/>
        </w:rPr>
        <w:t>[28] Z. Chen et al., "From Prediction to Application: Language Model-Based Code Knowledge Tracing," IEEE Access, vol. 11, pp. 45120–45133, 2023.</w:t>
      </w:r>
    </w:p>
    <w:p>
      <w:pPr>
        <w:spacing w:before="0" w:after="40" w:line="240" w:lineRule="auto"/>
        <w:ind w:left="288" w:hanging="288"/>
        <w:jc w:val="both"/>
      </w:pPr>
      <w:r>
        <w:rPr>
          <w:rFonts w:ascii="Times New Roman" w:hAnsi="Times New Roman"/>
          <w:sz w:val="16"/>
        </w:rPr>
        <w:t>[29] M. Marras et al., "Design of AI-Powered Tool for Self-Regulation Support in Programming Practicals," Int. J. Artif. Intell. Educ., vol. 33, no. 4, pp. 892–918, 2023.</w:t>
      </w:r>
    </w:p>
    <w:p>
      <w:pPr>
        <w:spacing w:before="0" w:after="40" w:line="240" w:lineRule="auto"/>
        <w:ind w:left="288" w:hanging="288"/>
        <w:jc w:val="both"/>
      </w:pPr>
      <w:r>
        <w:rPr>
          <w:rFonts w:ascii="Times New Roman" w:hAnsi="Times New Roman"/>
          <w:sz w:val="16"/>
        </w:rPr>
        <w:t>[30] S. Paiva et al., "A Survey on Grading Format of Automated Grading Tools for Programming Education," J. Comput. Assist. Learn., vol. 38, no. 3, pp. 624–642, 2022.</w:t>
      </w:r>
    </w:p>
    <w:p>
      <w:pPr>
        <w:spacing w:before="0" w:after="40" w:line="240" w:lineRule="auto"/>
        <w:ind w:left="288" w:hanging="288"/>
        <w:jc w:val="both"/>
      </w:pPr>
      <w:r>
        <w:rPr>
          <w:rFonts w:ascii="Times New Roman" w:hAnsi="Times New Roman"/>
          <w:sz w:val="16"/>
        </w:rPr>
        <w:t>[31] X. Wang et al., "CodEv: An Automated Grading Framework Leveraging Large Language Models," IEEE Trans. Educ., vol. 67, no. 2, pp. 198–209, 2024.</w:t>
      </w:r>
    </w:p>
    <w:p>
      <w:pPr>
        <w:spacing w:before="0" w:after="40" w:line="240" w:lineRule="auto"/>
        <w:ind w:left="288" w:hanging="288"/>
        <w:jc w:val="both"/>
      </w:pPr>
      <w:r>
        <w:rPr>
          <w:rFonts w:ascii="Times New Roman" w:hAnsi="Times New Roman"/>
          <w:sz w:val="16"/>
        </w:rPr>
        <w:t>[32] Y. Ding et al., "StepGrade: Grading Programming Assignments with Context-Aware Step-Level Feedback," in Proc. ACM Conf. Innov. Technol. Comput. Sci. Educ. (ITiCSE), 2024, pp. 241–247.</w:t>
      </w:r>
    </w:p>
    <w:p>
      <w:pPr>
        <w:spacing w:before="0" w:after="40" w:line="240" w:lineRule="auto"/>
        <w:ind w:left="288" w:hanging="288"/>
        <w:jc w:val="both"/>
      </w:pPr>
      <w:r>
        <w:rPr>
          <w:rFonts w:ascii="Times New Roman" w:hAnsi="Times New Roman"/>
          <w:sz w:val="16"/>
        </w:rPr>
        <w:t>[33] R. Gupta et al., "Deep Learning for Bug-Localization in Student Programs," IEEE Trans. Softw. Eng., vol. 47, no. 8, pp. 1612–1627, 2021.</w:t>
      </w:r>
    </w:p>
    <w:p>
      <w:pPr>
        <w:spacing w:before="0" w:after="40" w:line="240" w:lineRule="auto"/>
        <w:ind w:left="288" w:hanging="288"/>
        <w:jc w:val="both"/>
      </w:pPr>
      <w:r>
        <w:rPr>
          <w:rFonts w:ascii="Times New Roman" w:hAnsi="Times New Roman"/>
          <w:sz w:val="16"/>
        </w:rPr>
        <w:t>[34] D. J. Malan et al., "Can ChatGPT Play the Role of a Teaching Assistant in an Introductory Programming Lab?," IEEE Trans. Learn. Technol., vol. 17, pp. 112–123, 2024.</w:t>
      </w:r>
    </w:p>
    <w:p>
      <w:pPr>
        <w:spacing w:before="0" w:after="40" w:line="240" w:lineRule="auto"/>
        <w:ind w:left="288" w:hanging="288"/>
        <w:jc w:val="both"/>
      </w:pPr>
      <w:r>
        <w:rPr>
          <w:rFonts w:ascii="Times New Roman" w:hAnsi="Times New Roman"/>
          <w:sz w:val="16"/>
        </w:rPr>
        <w:t>[35] C. Douce et al., "Beyond Simple Input-Output Assessment Tasks Leveraging Automated Tools," Comput. Sci. Educ., vol. 32, no. 2, pp. 145–167, 2022.</w:t>
      </w:r>
    </w:p>
    <w:p>
      <w:pPr>
        <w:spacing w:before="0" w:after="40" w:line="240" w:lineRule="auto"/>
        <w:ind w:left="288" w:hanging="288"/>
        <w:jc w:val="both"/>
      </w:pPr>
      <w:r>
        <w:rPr>
          <w:rFonts w:ascii="Times New Roman" w:hAnsi="Times New Roman"/>
          <w:sz w:val="16"/>
        </w:rPr>
        <w:t>[36] M. Sharples et al., "Leveraging AI for Rapid Generation of Interactive Simulations in STEM Education," Learn., Media &amp; Technol., vol. 48, no. 3, pp. 410–425, 2023.</w:t>
      </w:r>
    </w:p>
    <w:p>
      <w:pPr>
        <w:spacing w:before="0" w:after="40" w:line="240" w:lineRule="auto"/>
        <w:ind w:left="288" w:hanging="288"/>
        <w:jc w:val="both"/>
      </w:pPr>
      <w:r>
        <w:rPr>
          <w:rFonts w:ascii="Times New Roman" w:hAnsi="Times New Roman"/>
          <w:sz w:val="16"/>
        </w:rPr>
        <w:t>[37] G. K. Chari et al., "Interactive Tools and Simulators for Advanced Computing Education," IEEE Comput. Graphics Appl., vol. 42, no. 5, pp. 88–97, 2022.</w:t>
      </w:r>
    </w:p>
    <w:p>
      <w:pPr>
        <w:spacing w:before="0" w:after="40" w:line="240" w:lineRule="auto"/>
        <w:ind w:left="288" w:hanging="288"/>
        <w:jc w:val="both"/>
      </w:pPr>
      <w:r>
        <w:rPr>
          <w:rFonts w:ascii="Times New Roman" w:hAnsi="Times New Roman"/>
          <w:sz w:val="16"/>
        </w:rPr>
        <w:t>[38] D. Lowe et al., "Evaluating Virtual Laboratory Platforms for Supporting Online Practicals," IEEE Trans. Learn. Technol., vol. 13, no. 3, pp. 589–601, 2020.</w:t>
      </w:r>
    </w:p>
    <w:p>
      <w:pPr>
        <w:spacing w:before="0" w:after="40" w:line="240" w:lineRule="auto"/>
        <w:ind w:left="288" w:hanging="288"/>
        <w:jc w:val="both"/>
      </w:pPr>
      <w:r>
        <w:rPr>
          <w:rFonts w:ascii="Times New Roman" w:hAnsi="Times New Roman"/>
          <w:sz w:val="16"/>
        </w:rPr>
        <w:t>[39] J. Gosling et al., The Java Language Specification, Java SE 8 Edition. Boston, MA: Addison-Wesley, 2015.</w:t>
      </w:r>
    </w:p>
    <w:p>
      <w:pPr>
        <w:spacing w:before="0" w:after="40" w:line="240" w:lineRule="auto"/>
        <w:ind w:left="288" w:hanging="288"/>
        <w:jc w:val="both"/>
      </w:pPr>
      <w:r>
        <w:rPr>
          <w:rFonts w:ascii="Times New Roman" w:hAnsi="Times New Roman"/>
          <w:sz w:val="16"/>
        </w:rPr>
        <w:t>[40] J. Bloch, Effective Java, 3rd ed. Boston, MA: Addison-Wesley Professional, 2018.</w:t>
      </w:r>
    </w:p>
    <w:p>
      <w:pPr>
        <w:spacing w:before="0" w:after="40" w:line="240" w:lineRule="auto"/>
        <w:ind w:left="288" w:hanging="288"/>
        <w:jc w:val="both"/>
      </w:pPr>
      <w:r>
        <w:rPr>
          <w:rFonts w:ascii="Times New Roman" w:hAnsi="Times New Roman"/>
          <w:sz w:val="16"/>
        </w:rPr>
        <w:t>[41] Apache Software Foundation, "Apache Tomcat 9.0 Architecture and Servlet 4.0 Specification," 2024. [Online]. Available: https://tomcat.apache.org/</w:t>
      </w:r>
    </w:p>
    <w:p>
      <w:pPr>
        <w:spacing w:before="0" w:after="40" w:line="240" w:lineRule="auto"/>
        <w:ind w:left="288" w:hanging="288"/>
        <w:jc w:val="both"/>
      </w:pPr>
      <w:r>
        <w:rPr>
          <w:rFonts w:ascii="Times New Roman" w:hAnsi="Times New Roman"/>
          <w:sz w:val="16"/>
        </w:rPr>
        <w:t>[42] Oracle Corporation, "MySQL 8.0 Reference Manual: InnoDB Engine and Connection Pooling," 2024. [Online]. Available: https://dev.mysql.com/doc/</w:t>
      </w:r>
    </w:p>
    <w:sectPr w:rsidR="00FC693F" w:rsidRPr="0006063C" w:rsidSect="00034616">
      <w:type w:val="continuous"/>
      <w:pgSz w:w="12240" w:h="15840"/>
      <w:pgMar w:top="1080" w:right="936" w:bottom="1080"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646464"/>
        <w:sz w:val="17"/>
      </w:rPr>
      <w:t>IEEE Student Research Paper | Arya College of Engineering &amp; I.T., Jaipur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