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EMPLOYMENT AGREEMENT</w:t>
      </w:r>
    </w:p>
    <w:p>
      <w:r>
        <w:t>This Executive Employment Agreement is made between Quantum Dynamics Ltd. ('Company') and Elena Rostova ('Executive'), dated November 1, 2024.</w:t>
      </w:r>
    </w:p>
    <w:p>
      <w:pPr>
        <w:pStyle w:val="Heading1"/>
      </w:pPr>
      <w:r>
        <w:t>1. Position and Responsibilities</w:t>
      </w:r>
    </w:p>
    <w:p>
      <w:r>
        <w:t>Executive shall serve as Vice President of AI Engineering. Executive will report directly to the Chief Technology Officer and oversee all algorithmic research and infrastructure operations.</w:t>
      </w:r>
    </w:p>
    <w:p>
      <w:pPr>
        <w:pStyle w:val="Heading1"/>
      </w:pPr>
      <w:r>
        <w:t>2. Compensation and Benefits</w:t>
      </w:r>
    </w:p>
    <w:p>
      <w:r>
        <w:t>The Company will provide Executive with the compensation package outlined in the schedule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Compensation Component</w:t>
            </w:r>
          </w:p>
        </w:tc>
        <w:tc>
          <w:tcPr>
            <w:tcW w:type="dxa" w:w="4320"/>
          </w:tcPr>
          <w:p>
            <w:r>
              <w:t>Terms &amp; Valuation</w:t>
            </w:r>
          </w:p>
        </w:tc>
      </w:tr>
      <w:tr>
        <w:tc>
          <w:tcPr>
            <w:tcW w:type="dxa" w:w="4320"/>
          </w:tcPr>
          <w:p>
            <w:r>
              <w:t>Base Salary</w:t>
            </w:r>
          </w:p>
        </w:tc>
        <w:tc>
          <w:tcPr>
            <w:tcW w:type="dxa" w:w="4320"/>
          </w:tcPr>
          <w:p>
            <w:r>
              <w:t>$260,000 annualized, payable bi-weekly</w:t>
            </w:r>
          </w:p>
        </w:tc>
      </w:tr>
      <w:tr>
        <w:tc>
          <w:tcPr>
            <w:tcW w:type="dxa" w:w="4320"/>
          </w:tcPr>
          <w:p>
            <w:r>
              <w:t>Target Performance Bonus</w:t>
            </w:r>
          </w:p>
        </w:tc>
        <w:tc>
          <w:tcPr>
            <w:tcW w:type="dxa" w:w="4320"/>
          </w:tcPr>
          <w:p>
            <w:r>
              <w:t>30% of Base Salary tied to delivery of TrustRAG v1.0</w:t>
            </w:r>
          </w:p>
        </w:tc>
      </w:tr>
      <w:tr>
        <w:tc>
          <w:tcPr>
            <w:tcW w:type="dxa" w:w="4320"/>
          </w:tcPr>
          <w:p>
            <w:r>
              <w:t>Equity Grant</w:t>
            </w:r>
          </w:p>
        </w:tc>
        <w:tc>
          <w:tcPr>
            <w:tcW w:type="dxa" w:w="4320"/>
          </w:tcPr>
          <w:p>
            <w:r>
              <w:t>120,000 Restricted Stock Units (RSUs) vesting over 4 years</w:t>
            </w:r>
          </w:p>
        </w:tc>
      </w:tr>
      <w:tr>
        <w:tc>
          <w:tcPr>
            <w:tcW w:type="dxa" w:w="4320"/>
          </w:tcPr>
          <w:p>
            <w:r>
              <w:t>Annual Continuing Education</w:t>
            </w:r>
          </w:p>
        </w:tc>
        <w:tc>
          <w:tcPr>
            <w:tcW w:type="dxa" w:w="4320"/>
          </w:tcPr>
          <w:p>
            <w:r>
              <w:t>$5,000 stipend for AI research conferences</w:t>
            </w:r>
          </w:p>
        </w:tc>
      </w:tr>
    </w:tbl>
    <w:p>
      <w:pPr>
        <w:pStyle w:val="Heading1"/>
      </w:pPr>
      <w:r>
        <w:t>3. Restrictive Covenants</w:t>
      </w:r>
    </w:p>
    <w:p>
      <w:r>
        <w:t>During employment and for twelve (12) months following termination, Executive shall not solicit Company clients or induce employees to terminate employment with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