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56"/>
          <w:szCs w:val="56"/>
        </w:rPr>
        <w:t xml:space="preserve">DIGITIZATION AND DATA ANALYTICS</w:t>
      </w:r>
    </w:p>
    <w:p>
      <w:pPr>
        <w:spacing w:after="400"/>
        <w:jc w:val="center"/>
      </w:pPr>
      <w:r>
        <w:rPr>
          <w:b/>
          <w:bCs/>
          <w:color w:val="2E74B5"/>
          <w:sz w:val="32"/>
          <w:szCs w:val="32"/>
        </w:rPr>
        <w:t xml:space="preserve">Complete Exam Preparation Compendium</w:t>
      </w:r>
    </w:p>
    <w:p>
      <w:pPr>
        <w:spacing w:after="120"/>
        <w:jc w:val="center"/>
      </w:pPr>
      <w:r>
        <w:rPr>
          <w:i/>
          <w:iCs/>
          <w:sz w:val="24"/>
          <w:szCs w:val="24"/>
        </w:rPr>
        <w:t xml:space="preserve">TU Dresden — DDA Lecture Series (Lectures 1–12)</w:t>
      </w:r>
    </w:p>
    <w:p>
      <w:pPr>
        <w:spacing w:after="600"/>
        <w:jc w:val="center"/>
      </w:pPr>
      <w:r>
        <w:rPr>
          <w:color w:val="444444"/>
          <w:sz w:val="21"/>
          <w:szCs w:val="21"/>
        </w:rPr>
        <w:t xml:space="preserve">Covering: Data Preprocessing · Research Data Management · Machine Learning I–III · Statistics · Deep Learning I–II · Distributed Computing I–II · Consequences</w:t>
      </w:r>
    </w:p>
    <w:p>
      <w:pPr>
        <w:spacing w:after="1600"/>
        <w:jc w:val="center"/>
      </w:pPr>
      <w:r>
        <w:rPr>
          <w:i/>
          <w:iCs/>
          <w:sz w:val="20"/>
          <w:szCs w:val="20"/>
        </w:rPr>
        <w:t xml:space="preserve">Detailed notes · Concept tables · Formula sheets · Flowchart diagrams · Exam-style Q&amp;A with elaborate, research-paper-oriented answers</w:t>
      </w:r>
    </w:p>
    <w:p>
      <w:r>
        <w:br w:type="page"/>
      </w:r>
    </w:p>
    <w:p>
      <w:pPr>
        <w:pStyle w:val="Heading1"/>
        <w:spacing w:after="120" w:before="24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40"/>
      </w:pPr>
      <w:r>
        <w:rPr>
          <w:b/>
          <w:bCs/>
          <w:color w:val="2E74B5"/>
          <w:sz w:val="22"/>
          <w:szCs w:val="22"/>
        </w:rPr>
        <w:t xml:space="preserve">LECTURE 1</w:t>
      </w:r>
    </w:p>
    <w:p>
      <w:pPr>
        <w:pStyle w:val="Heading1"/>
        <w:spacing w:after="120" w:before="240"/>
      </w:pPr>
      <w:r>
        <w:t xml:space="preserve">Introduction — Architectures, Methods, and Consequences</w:t>
      </w:r>
    </w:p>
    <w:p>
      <w:pPr>
        <w:pStyle w:val="Heading2"/>
        <w:spacing w:after="120" w:before="240"/>
      </w:pPr>
      <w:r>
        <w:t xml:space="preserve">1. Overview</w:t>
      </w:r>
    </w:p>
    <w:p>
      <w:pPr>
        <w:spacing w:after="140"/>
        <w:jc w:val="both"/>
      </w:pPr>
      <w:r>
        <w:t xml:space="preserve">This introductory lecture frames the entire course around the historical and technical evolution of data analytics, from 19th-century manual epidemiological record-keeping (cholera statistics in Hamburg/Altona, 1892/93) to modern billion-row datasets (NYC taxi/Uber trips) and large language models (GPT, Gemini, Claude).</w:t>
      </w:r>
    </w:p>
    <w:p>
      <w:pPr>
        <w:spacing w:after="140"/>
        <w:jc w:val="both"/>
      </w:pPr>
      <w:r>
        <w:t xml:space="preserve">The central thesis: digitization has increased data VOLUME, VELOCITY, VARIETY, VERACITY (the 4/5 V's of Big Data) to a point where new hardware architectures (multicore, GPU, HPC, distributed/cloud systems) and new analytical methods (statistics + machine learning = 'Data Analytics') are required.</w:t>
      </w:r>
    </w:p>
    <w:p>
      <w:pPr>
        <w:spacing w:after="140"/>
        <w:jc w:val="both"/>
      </w:pPr>
      <w:r>
        <w:t xml:space="preserve">The lecture also raises open, unresolved questions that recur throughout the course: What kinds of data exist? How can humans be supported in coping with such data volumes? Which analytics/ML methods are appropriate? What hardware is required? What are the societal/ethical consequences of data-driven decision making?</w:t>
      </w:r>
    </w:p>
    <w:p>
      <w:pPr>
        <w:pStyle w:val="Heading2"/>
        <w:spacing w:after="120" w:before="240"/>
      </w:pPr>
      <w:r>
        <w:t xml:space="preserve">2. Key Concepts &amp; Definitions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80"/>
              <w:left w:type="dxa" w:w="120"/>
              <w:bottom w:type="dxa" w:w="80"/>
              <w:right w:type="dxa" w:w="120"/>
            </w:tcMar>
            <w:vAlign w:val="center"/>
          </w:tcPr>
          <w:p>
            <w:r>
              <w:rPr>
                <w:b/>
                <w:bCs/>
                <w:color w:val="FFFFFF"/>
                <w:sz w:val="20"/>
                <w:szCs w:val="20"/>
              </w:rPr>
              <w:t xml:space="preserve">Term / Concept</w:t>
            </w:r>
          </w:p>
        </w:tc>
        <w:tc>
          <w:tcPr>
            <w:tcW w:type="dxa" w:w="7000"/>
            <w:shd w:fill="1F3864" w:color="auto" w:val="clear"/>
            <w:tcMar>
              <w:top w:type="dxa" w:w="80"/>
              <w:left w:type="dxa" w:w="120"/>
              <w:bottom w:type="dxa" w:w="80"/>
              <w:right w:type="dxa" w:w="120"/>
            </w:tcMar>
            <w:vAlign w:val="center"/>
          </w:tcPr>
          <w:p>
            <w:r>
              <w:rPr>
                <w:b/>
                <w:bCs/>
                <w:color w:val="FFFFFF"/>
                <w:sz w:val="20"/>
                <w:szCs w:val="20"/>
              </w:rPr>
              <w:t xml:space="preserve">Definition / Explanation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Digitization</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The conversion of analog information/processes into digital (machine-readable) form; the enabling precondition for large-scale data collection.</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Data Analytics</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The umbrella discipline combining Statistics and Machine Learning to extract information, support decisions, and suggest conclusions from data.</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Big Data — 5 V's</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Volume (data at rest, TB–EB), Velocity (data in motion, streaming), Variety (data in many forms: structured/unstructured/multimedia), Veracity (data in doubt: inconsistency, ambiguity, latency), Value (usefulness of extracted knowledge).</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Scale-up vs Scale-out</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Scale-up = one very powerful machine (vertical scaling, HPC style); Scale-out = many commodity machines (horizontal scaling, cloud/Big-Data style).</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Data Lifecycle</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Create/Collect → Process → Analyze → Archive → Publish → Re-use, a cyclical view of how research/business data moves through a pipeline.</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Moore's Law &amp; its end</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Historically transistor count doubled ~ every 2 years, translating into higher clock speed/IPC. Since ~2005 clock rates stagnated (power/heat wall) so performance gains now come from parallelism (more cores, wider SIMD) rather than higher frequency.</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HPC vs Big Data paradigm</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HPC: tightly-coupled, communication-intensive, simulation-oriented, uses MPI, scheduled by SLURM/Grid Engine. Big Data: loosely-coupled, data-parallel, batch/stream oriented, uses Hadoop/Spark, scheduled by YARN/Mesos. Convergence is an active research trend (HPDA).</w:t>
            </w:r>
          </w:p>
        </w:tc>
      </w:tr>
    </w:tbl>
    <w:p>
      <w:pPr>
        <w:spacing w:after="160"/>
      </w:pPr>
    </w:p>
    <w:p>
      <w:pPr>
        <w:pStyle w:val="Heading2"/>
        <w:spacing w:after="120" w:before="240"/>
      </w:pPr>
      <w:r>
        <w:t xml:space="preserve">3. Diagrams &amp; Visual Flowcharts</w:t>
      </w:r>
    </w:p>
    <w:p>
      <w:pPr>
        <w:spacing w:after="120" w:before="200"/>
      </w:pPr>
      <w:r>
        <w:rPr>
          <w:b/>
          <w:bCs/>
          <w:i/>
          <w:iCs/>
          <w:color w:val="1F3864"/>
          <w:sz w:val="22"/>
          <w:szCs w:val="22"/>
        </w:rPr>
        <w:t xml:space="preserve">Figure 1.1 — The General Data Processing Pipeline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Data Collection</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Extraction / Cleaning / Annotation</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Integration / Aggregation</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Analysis / Modelling</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5</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Interpretation</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6</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Value</w:t>
            </w:r>
          </w:p>
        </w:tc>
      </w:tr>
    </w:tbl>
    <w:p>
      <w:pPr>
        <w:spacing w:after="200" w:before="100"/>
      </w:pPr>
      <w:r>
        <w:rPr>
          <w:i/>
          <w:iCs/>
          <w:color w:val="555555"/>
          <w:sz w:val="19"/>
          <w:szCs w:val="19"/>
        </w:rPr>
        <w:t xml:space="preserve">↳ Every stage introduces its own challenges (Volume, Veracity, Velocity, Variety, Privacy, Human Interaction) that propagate downstream if not handled — 'garbage in, garbage out'.</w:t>
      </w:r>
    </w:p>
    <w:p>
      <w:pPr>
        <w:spacing w:after="120" w:before="200"/>
      </w:pPr>
      <w:r>
        <w:rPr>
          <w:b/>
          <w:bCs/>
          <w:i/>
          <w:iCs/>
          <w:color w:val="1F3864"/>
          <w:sz w:val="22"/>
          <w:szCs w:val="22"/>
        </w:rPr>
        <w:t xml:space="preserve">Figure 1.2 — Historical Timeline of Data-Driven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1892/93: Cholera statistics (manual)</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2003–2004: GFS &amp; MapReduce (Google)</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2009–2015: NYC Taxi/Uber (1.1B rows)</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2017+: Deep Learning at scale</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5</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2020+: Large Language Models (GPT/Gemini/Claude)</w:t>
            </w:r>
          </w:p>
        </w:tc>
      </w:tr>
    </w:tbl>
    <w:p>
      <w:pPr>
        <w:spacing w:after="200" w:before="100"/>
      </w:pPr>
      <w:r>
        <w:rPr>
          <w:i/>
          <w:iCs/>
          <w:color w:val="555555"/>
          <w:sz w:val="19"/>
          <w:szCs w:val="19"/>
        </w:rPr>
        <w:t xml:space="preserve">↳ Illustrates how the same fundamental goal (deriving knowledge/decisions from observations) has been re-enabled at ever larger scale by hardware and algorithmic progress.</w:t>
      </w:r>
    </w:p>
    <w:p>
      <w:pPr>
        <w:pStyle w:val="Heading2"/>
        <w:spacing w:after="120" w:before="240"/>
      </w:pPr>
      <w:r>
        <w:t xml:space="preserve">5. Exam-Style Questions &amp; Detailed Answers</w:t>
      </w:r>
    </w:p>
    <w:p>
      <w:pPr>
        <w:shd w:fill="DCE6F1" w:color="auto" w:val="clear"/>
        <w:spacing w:after="100" w:before="200"/>
      </w:pPr>
      <w:r>
        <w:rPr>
          <w:b/>
          <w:bCs/>
          <w:color w:val="1F3864"/>
          <w:sz w:val="22"/>
          <w:szCs w:val="22"/>
        </w:rPr>
        <w:t xml:space="preserve">Q1. Define 'Big Data' using the 5 V model and explain why 'Volume' alone is an insufficient characterization.</w:t>
      </w:r>
    </w:p>
    <w:p>
      <w:pPr>
        <w:spacing w:after="140"/>
        <w:jc w:val="both"/>
      </w:pPr>
      <w:r>
        <w:t xml:space="preserve">Big Data is commonly characterized along five dimensions rather than sheer size alone: </w:t>
      </w:r>
      <w:r>
        <w:rPr>
          <w:b/>
          <w:bCs/>
        </w:rPr>
        <w:t xml:space="preserve">Volume</w:t>
      </w:r>
      <w:r>
        <w:t xml:space="preserve"> (the raw quantity of data, from terabytes to exabytes, 'data at rest'), </w:t>
      </w:r>
      <w:r>
        <w:rPr>
          <w:b/>
          <w:bCs/>
        </w:rPr>
        <w:t xml:space="preserve">Velocity</w:t>
      </w:r>
      <w:r>
        <w:t xml:space="preserve"> (the rate at which data is generated and must be processed, 'data in motion', e.g. streaming sensor feeds requiring millisecond-to-second response), </w:t>
      </w:r>
      <w:r>
        <w:rPr>
          <w:b/>
          <w:bCs/>
        </w:rPr>
        <w:t xml:space="preserve">Variety</w:t>
      </w:r>
      <w:r>
        <w:t xml:space="preserve"> (heterogeneity of data forms — structured relational tables, semi-structured logs, unstructured text, images, video — 'data in many forms'), </w:t>
      </w:r>
      <w:r>
        <w:rPr>
          <w:b/>
          <w:bCs/>
        </w:rPr>
        <w:t xml:space="preserve">Veracity</w:t>
      </w:r>
      <w:r>
        <w:t xml:space="preserve"> (the trustworthiness of the data, i.e. uncertainty stemming from inconsistency, incompleteness, ambiguity, latency, deception, or model approximation — 'data in doubt'), and often a fifth dimension, </w:t>
      </w:r>
      <w:r>
        <w:rPr>
          <w:b/>
          <w:bCs/>
        </w:rPr>
        <w:t xml:space="preserve">Value</w:t>
      </w:r>
      <w:r>
        <w:t xml:space="preserve"> (whether new, useful content/knowledge can actually be extracted).</w:t>
      </w:r>
    </w:p>
    <w:p>
      <w:pPr>
        <w:spacing w:after="140"/>
        <w:jc w:val="both"/>
      </w:pPr>
      <w:r>
        <w:t xml:space="preserve">Volume alone is insufficient because a dataset can be enormous yet trivial to process (e.g., a single repeated value billions of times) or comparatively small yet extremely hard to analyze because it arrives as an unbounded, heterogeneous, noisy stream that must be processed in real time under uncertainty. It is precisely the *combination* of high volume with high velocity, variety and low veracity that creates the genuine technical challenge historically termed 'Big Data', and that motivated the rise of distributed and stream-processing architectures (Hadoop, Spark, Flink) described later in the course. The Value dimension additionally reminds us that data has no intrinsic worth — the entire point of Data Analytics is to convert raw data into decision-relevant information; a Big Data pipeline that produces no usable Value has failed regardless of how large Volume, Velocity or Variety were.</w:t>
      </w:r>
    </w:p>
    <w:p>
      <w:pPr>
        <w:shd w:fill="DCE6F1" w:color="auto" w:val="clear"/>
        <w:spacing w:after="100" w:before="200"/>
      </w:pPr>
      <w:r>
        <w:rPr>
          <w:b/>
          <w:bCs/>
          <w:color w:val="1F3864"/>
          <w:sz w:val="22"/>
          <w:szCs w:val="22"/>
        </w:rPr>
        <w:t xml:space="preserve">Q2. Explain the difference between 'scale-up' and 'scale-out' computing and relate each to a historical driving force.</w:t>
      </w:r>
    </w:p>
    <w:p>
      <w:pPr>
        <w:spacing w:after="140"/>
        <w:jc w:val="both"/>
      </w:pPr>
      <w:r>
        <w:rPr>
          <w:b/>
          <w:bCs/>
        </w:rPr>
        <w:t xml:space="preserve">Scale-up</w:t>
      </w:r>
      <w:r>
        <w:t xml:space="preserve"> (vertical scaling) means increasing the capability of a *single* system — faster CPU, more RAM, more cores in one shared-memory machine — as historically pursued in classical High-Performance Computing (HPC) for tightly-coupled, communication-intensive simulations (e.g. climate models, fluid dynamics) where processes must exchange data frequently and therefore benefit from low-latency shared memory or fast interconnects (MPI-based supercomputers such as El Capitan).</w:t>
      </w:r>
    </w:p>
    <w:p>
      <w:pPr>
        <w:spacing w:after="140"/>
        <w:jc w:val="both"/>
      </w:pPr>
      <w:r>
        <w:rPr>
          <w:b/>
          <w:bCs/>
        </w:rPr>
        <w:t xml:space="preserve">Scale-out</w:t>
      </w:r>
      <w:r>
        <w:t xml:space="preserve"> (horizontal scaling) means adding *more* (typically commodity, less reliable) machines and distributing the workload across them, so that no single instance needs to be especially powerful and the system tolerates individual node failures as 'the norm rather than the exception' (as stated explicitly in the Hadoop/HDFS design goals). This was the driving philosophy behind Google's GFS/MapReduce (2003/2004) and the resulting Hadoop ecosystem: because commodity hardware became cheap while network and per-node reliability were secondary concerns, it became economical to process massive, loosely-coupled ('trivially parallel') Big-Data workloads by moving computation to where the data already resides rather than moving data to a few powerful compute nodes.</w:t>
      </w:r>
    </w:p>
    <w:p>
      <w:pPr>
        <w:spacing w:after="140"/>
        <w:jc w:val="both"/>
      </w:pPr>
      <w:r>
        <w:t xml:space="preserve">The two paradigms differ fundamentally in assumptions: scale-up assumes reliable, powerful, expensive nodes and communication-intensive iterative algorithms; scale-out assumes cheap, failure-prone, numerous nodes and embarrassingly parallel, partitionable workloads. Modern trends (HPDA — High Performance Data Analytics) attempt to converge the two, e.g. running Big-Data-style analytics jobs opportunistically in idle HPC 'holes', or building schedulers (Mesos, YARN) that abstract over both worlds.</w:t>
      </w:r>
    </w:p>
    <w:p>
      <w:pPr>
        <w:shd w:fill="DCE6F1" w:color="auto" w:val="clear"/>
        <w:spacing w:after="100" w:before="200"/>
      </w:pPr>
      <w:r>
        <w:rPr>
          <w:b/>
          <w:bCs/>
          <w:color w:val="1F3864"/>
          <w:sz w:val="22"/>
          <w:szCs w:val="22"/>
        </w:rPr>
        <w:t xml:space="preserve">Q3. Using the NYC Taxi/Uber case study, explain how descriptive data analytics can (and cannot) support causal business/policy conclusions.</w:t>
      </w:r>
    </w:p>
    <w:p>
      <w:pPr>
        <w:spacing w:after="140"/>
        <w:jc w:val="both"/>
      </w:pPr>
      <w:r>
        <w:t xml:space="preserve">The Todd Schneider case study analyzed 1.1 billion NYC taxi trips (2009–2015) plus Uber/Lyft data to visualize pickup/dropoff density by neighbourhood and time of day, compute a 'Late Night Taxi Index' by borough, and correlate market-share shifts (e.g., Lyft gaining share from Uber) with 2016 election voting patterns by neighbourhood.</w:t>
      </w:r>
    </w:p>
    <w:p>
      <w:pPr>
        <w:spacing w:after="140"/>
        <w:jc w:val="both"/>
      </w:pPr>
      <w:r>
        <w:t xml:space="preserve">This is a textbook example of purely *descriptive/exploratory* analytics: aggregating, visualizing and correlating existing observational data to reveal patterns (e.g., which neighbourhoods have vibrant nightlife, or that Lyft gained more share in neighbourhoods that voted more for Clinton). However, as repeatedly emphasized in the course (Basics of Statistics lecture), </w:t>
      </w:r>
      <w:r>
        <w:rPr>
          <w:b/>
          <w:bCs/>
        </w:rPr>
        <w:t xml:space="preserve">correlation is not causation</w:t>
      </w:r>
      <w:r>
        <w:t xml:space="preserve"> — the fact that Lyft's gains correlate with voting patterns does not prove that political orientation *causes* switching platforms; it is merely the author's own explicitly labeled 'guess' at an underlying causal story. Many confounding variables (urban density, income, age demographics, marketing intensity) could explain both variables jointly.</w:t>
      </w:r>
    </w:p>
    <w:p>
      <w:pPr>
        <w:spacing w:after="140"/>
        <w:jc w:val="both"/>
      </w:pPr>
      <w:r>
        <w:t xml:space="preserve">The pedagogical point is that descriptive data analytics is extremely powerful for hypothesis generation, visualization and business intelligence, but any causal or policy conclusion drawn from it must be treated with caution, ideally validated by a controlled experiment (A/B test) or a formal causal-inference framework, not by inspecting a correlation coefficient or a scatterplot alone.</w:t>
      </w:r>
    </w:p>
    <w:p>
      <w:pPr>
        <w:shd w:fill="DCE6F1" w:color="auto" w:val="clear"/>
        <w:spacing w:after="100" w:before="200"/>
      </w:pPr>
      <w:r>
        <w:rPr>
          <w:b/>
          <w:bCs/>
          <w:color w:val="1F3864"/>
          <w:sz w:val="22"/>
          <w:szCs w:val="22"/>
        </w:rPr>
        <w:t xml:space="preserve">Q4. Why did processor clock frequency stop increasing after the mid-2000s, and what architectural consequence followed?</w:t>
      </w:r>
    </w:p>
    <w:p>
      <w:pPr>
        <w:spacing w:after="140"/>
        <w:jc w:val="both"/>
      </w:pPr>
      <w:r>
        <w:t xml:space="preserve">Historically, transistor density followed Moore's Law (exponential growth), and for decades this translated directly into higher clock frequencies and thus faster single-threaded performance. Around the mid-2000s, however, power density and heat dissipation ('the power wall') made further frequency scaling impractical — Thermal Design Power (TDP) per socket reached a manageable ceiling, and Instructions-Per-Cycle (IPC) improvements also plateaued because deeper pipelines yield diminishing returns.</w:t>
      </w:r>
    </w:p>
    <w:p>
      <w:pPr>
        <w:spacing w:after="140"/>
        <w:jc w:val="both"/>
      </w:pPr>
      <w:r>
        <w:t xml:space="preserve">The architectural consequence was a shift from frequency scaling to </w:t>
      </w:r>
      <w:r>
        <w:rPr>
          <w:b/>
          <w:bCs/>
        </w:rPr>
        <w:t xml:space="preserve">parallelism scaling</w:t>
      </w:r>
      <w:r>
        <w:t xml:space="preserve">: transistor budgets kept growing (per Moore's Law) but were invested in *more cores per chip* (multicore/many-core processors) and *wider SIMD units* (vector instructions operating on multiple data elements per cycle) rather than a single faster core. This directly motivates the course's subsequent treatment of distributed and parallel computing (MPI/HPC scale-up, MapReduce/Spark scale-out) as the *only* remaining path to higher aggregate performance, and explains why modern software must be explicitly written to exploit parallelism (multithreading, distributed frameworks) instead of passively benefiting from ever-faster serial hardware.</w:t>
      </w:r>
    </w:p>
    <w:p>
      <w:pPr>
        <w:shd w:fill="DCE6F1" w:color="auto" w:val="clear"/>
        <w:spacing w:after="100" w:before="200"/>
      </w:pPr>
      <w:r>
        <w:rPr>
          <w:b/>
          <w:bCs/>
          <w:color w:val="1F3864"/>
          <w:sz w:val="22"/>
          <w:szCs w:val="22"/>
        </w:rPr>
        <w:t xml:space="preserve">Q5. List and briefly justify four open, unresolved questions raised about the societal consequences of data-driven methods.</w:t>
      </w:r>
    </w:p>
    <w:p>
      <w:pPr>
        <w:spacing w:after="140"/>
        <w:jc w:val="both"/>
      </w:pPr>
      <w:r>
        <w:t xml:space="preserve">The lecture explicitly poses these as still-open questions to keep in mind throughout the course (and especially in Lecture 12, 'Consequences'):</w:t>
      </w:r>
    </w:p>
    <w:p>
      <w:pPr>
        <w:spacing w:after="140"/>
        <w:jc w:val="both"/>
      </w:pPr>
      <w:r>
        <w:t xml:space="preserve">1. </w:t>
      </w:r>
      <w:r>
        <w:rPr>
          <w:b/>
          <w:bCs/>
        </w:rPr>
        <w:t xml:space="preserve">Bias</w:t>
      </w:r>
      <w:r>
        <w:t xml:space="preserve">: Do the data (and the models trained on them) systematically misrepresent parts of the population, and how would we detect this without ground truth?</w:t>
      </w:r>
    </w:p>
    <w:p>
      <w:pPr>
        <w:spacing w:after="140"/>
        <w:jc w:val="both"/>
      </w:pPr>
      <w:r>
        <w:t xml:space="preserve">2. </w:t>
      </w:r>
      <w:r>
        <w:rPr>
          <w:b/>
          <w:bCs/>
        </w:rPr>
        <w:t xml:space="preserve">Responsibility/Accountability</w:t>
      </w:r>
      <w:r>
        <w:t xml:space="preserve">: When an automated/statistical decision (e.g., a face-recognition match, a credit-scoring output) is wrong, who is accountable — the data provider, the model developer, or the deploying organization?</w:t>
      </w:r>
    </w:p>
    <w:p>
      <w:pPr>
        <w:spacing w:after="140"/>
        <w:jc w:val="both"/>
      </w:pPr>
      <w:r>
        <w:t xml:space="preserve">3. </w:t>
      </w:r>
      <w:r>
        <w:rPr>
          <w:b/>
          <w:bCs/>
        </w:rPr>
        <w:t xml:space="preserve">Resource and energy cost</w:t>
      </w:r>
      <w:r>
        <w:t xml:space="preserve">: Given that exascale HPC systems already consume tens of megawatts (e.g., El Capitan ≈ 29.6 MW), is the environmental/economic cost of ever-larger data-driven models justified by their marginal Value?</w:t>
      </w:r>
    </w:p>
    <w:p>
      <w:pPr>
        <w:spacing w:after="140"/>
        <w:jc w:val="both"/>
      </w:pPr>
      <w:r>
        <w:t xml:space="preserve">4. </w:t>
      </w:r>
      <w:r>
        <w:rPr>
          <w:b/>
          <w:bCs/>
        </w:rPr>
        <w:t xml:space="preserve">Epistemic/ethical shift ('how are we going to think?')</w:t>
      </w:r>
      <w:r>
        <w:t xml:space="preserve">: As decision support increasingly comes from opaque statistical/ML systems rather than transparent human reasoning or theory-driven models, what happens to human judgment, critical thinking, and democratic accountability?</w:t>
      </w:r>
    </w:p>
    <w:p>
      <w:pPr>
        <w:spacing w:after="140"/>
        <w:jc w:val="both"/>
      </w:pPr>
      <w:r>
        <w:t xml:space="preserve">These questions are deliberately left open in Lecture 1 because they require the technical vocabulary (bias-variance, base-rate fallacy, model evaluation, distributed infrastructure) developed across the rest of the course before they can be meaningfully analyzed — they are revisited with concrete statistical tools (e.g., the base-rate fallacy example with face recognition) in the Basics-of-Statistics lecture.</w:t>
      </w:r>
    </w:p>
    <w:p>
      <w:r>
        <w:br w:type="page"/>
      </w:r>
    </w:p>
    <w:p>
      <w:pPr>
        <w:spacing w:after="40"/>
      </w:pPr>
      <w:r>
        <w:rPr>
          <w:b/>
          <w:bCs/>
          <w:color w:val="2E74B5"/>
          <w:sz w:val="22"/>
          <w:szCs w:val="22"/>
        </w:rPr>
        <w:t xml:space="preserve">LECTURE 2</w:t>
      </w:r>
    </w:p>
    <w:p>
      <w:pPr>
        <w:pStyle w:val="Heading1"/>
        <w:spacing w:after="120" w:before="240"/>
      </w:pPr>
      <w:r>
        <w:t xml:space="preserve">Data Preprocessing</w:t>
      </w:r>
    </w:p>
    <w:p>
      <w:pPr>
        <w:pStyle w:val="Heading2"/>
        <w:spacing w:after="120" w:before="240"/>
      </w:pPr>
      <w:r>
        <w:t xml:space="preserve">1. Overview</w:t>
      </w:r>
    </w:p>
    <w:p>
      <w:pPr>
        <w:spacing w:after="140"/>
        <w:jc w:val="both"/>
      </w:pPr>
      <w:r>
        <w:t xml:space="preserve">Data preprocessing is presented as the (often underestimated) foundation of any analytics pipeline: surveys cited in the lecture (Forbes/Gil Press, 2016) suggest data scientists spend up to 80% of their time on cleaning and preparing data rather than modelling.</w:t>
      </w:r>
    </w:p>
    <w:p>
      <w:pPr>
        <w:spacing w:after="140"/>
        <w:jc w:val="both"/>
      </w:pPr>
      <w:r>
        <w:t xml:space="preserve">The lecture organizes preprocessing into five overlapping sub-tasks — Data Cleaning, Data Integration, Data Transformation, Data Reduction, Feature Extraction — governed by the 'Garbage In, Garbage Out' principle: no analytics method, however sophisticated, can compensate for poor-quality input data.</w:t>
      </w:r>
    </w:p>
    <w:p>
      <w:pPr>
        <w:spacing w:after="140"/>
        <w:jc w:val="both"/>
      </w:pPr>
      <w:r>
        <w:t xml:space="preserve">A running real-world example (a production site with heterogeneous departments, sensors, spreadsheets, and handwritten logs) motivates why preprocessing is not a fixed, linear procedure but a context- and domain-dependent craft requiring documentation (metadata) at every step.</w:t>
      </w:r>
    </w:p>
    <w:p>
      <w:pPr>
        <w:pStyle w:val="Heading2"/>
        <w:spacing w:after="120" w:before="240"/>
      </w:pPr>
      <w:r>
        <w:t xml:space="preserve">2. Key Concepts &amp; Definitions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80"/>
              <w:left w:type="dxa" w:w="120"/>
              <w:bottom w:type="dxa" w:w="80"/>
              <w:right w:type="dxa" w:w="120"/>
            </w:tcMar>
            <w:vAlign w:val="center"/>
          </w:tcPr>
          <w:p>
            <w:r>
              <w:rPr>
                <w:b/>
                <w:bCs/>
                <w:color w:val="FFFFFF"/>
                <w:sz w:val="20"/>
                <w:szCs w:val="20"/>
              </w:rPr>
              <w:t xml:space="preserve">Term / Concept</w:t>
            </w:r>
          </w:p>
        </w:tc>
        <w:tc>
          <w:tcPr>
            <w:tcW w:type="dxa" w:w="7000"/>
            <w:shd w:fill="1F3864" w:color="auto" w:val="clear"/>
            <w:tcMar>
              <w:top w:type="dxa" w:w="80"/>
              <w:left w:type="dxa" w:w="120"/>
              <w:bottom w:type="dxa" w:w="80"/>
              <w:right w:type="dxa" w:w="120"/>
            </w:tcMar>
            <w:vAlign w:val="center"/>
          </w:tcPr>
          <w:p>
            <w:r>
              <w:rPr>
                <w:b/>
                <w:bCs/>
                <w:color w:val="FFFFFF"/>
                <w:sz w:val="20"/>
                <w:szCs w:val="20"/>
              </w:rPr>
              <w:t xml:space="preserve">Definition / Explanation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Data Cleaning</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Detecting/correcting incomplete (missing values), noisy (errors/outliers), and inconsistent (contradictory codes/values) data. Missing-value handling: delete the record, or impute (e.g., using nearby time-series values).</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Data Integration</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Combining heterogeneous, distributed, redundant, and inconsistent sources into one coherent store; goals are consolidation/homogenization, interoperability, and performance/availability.</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Semantic Heterogeneity</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Attribute-level mismatches even when structures look similar: synonyms/homonyms (e.g. 'singer' vs 'vocalist'), unit mappings (20°C vs 293K), union types (numeric vs string postal codes), language differences (Farbe/colour/color), missing/virtual columns, semantic incompatibility.</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Structural Heterogeneity</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Same attribute represented in different schema structures/positions, different handling of sets (multi-value vs single-value attributes), meaningless attribute names, differing composition of attributes across schemata.</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Data Transformation</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Converting data between representation types to make it usable by a chosen analytics method while minimizing information loss, e.g. Normalization/Standardization (z-scores), text→numeric (LSA/SVD), time series→discrete sequence (SAX), discrete sequence→binary encoding.</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Data Reduction</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Reducing the number of records (sampling: unbiased/biased/stratified) or dimensions (feature selection, PCA/SVD axis rotation, type transformation) to enable more sophisticated but computationally expensive downstream algorithms.</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Feature Extraction</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Converting raw, heterogeneous data (sensor signals, images, text, logs) into a unified numeric feature-vector representation usable by ML algorithms, e.g. Fourier/Wavelet transforms for signals, pixel-block color histograms for images, bag-of-words for text.</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Data Quality Dimensions</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Accuracy, Completeness, Consistency, Timeliness, Credibility, Interpretability.</w:t>
            </w:r>
          </w:p>
        </w:tc>
      </w:tr>
    </w:tbl>
    <w:p>
      <w:pPr>
        <w:spacing w:after="160"/>
      </w:pPr>
    </w:p>
    <w:p>
      <w:pPr>
        <w:pStyle w:val="Heading2"/>
        <w:spacing w:after="120" w:before="240"/>
      </w:pPr>
      <w:r>
        <w:t xml:space="preserve">3. Diagrams &amp; Visual Flowcharts</w:t>
      </w:r>
    </w:p>
    <w:p>
      <w:pPr>
        <w:spacing w:after="120" w:before="200"/>
      </w:pPr>
      <w:r>
        <w:rPr>
          <w:b/>
          <w:bCs/>
          <w:i/>
          <w:iCs/>
          <w:color w:val="1F3864"/>
          <w:sz w:val="22"/>
          <w:szCs w:val="22"/>
        </w:rPr>
        <w:t xml:space="preserve">Figure 2.1 — Data Preprocessing Pipeline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Raw / Dirty Data</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Data Cleaning</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Data Integration</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Data Transformation</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5</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Data Reduction</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6</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Feature Extraction</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7</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Analysis-Ready Data</w:t>
            </w:r>
          </w:p>
        </w:tc>
      </w:tr>
    </w:tbl>
    <w:p>
      <w:pPr>
        <w:spacing w:after="200" w:before="100"/>
      </w:pPr>
      <w:r>
        <w:rPr>
          <w:i/>
          <w:iCs/>
          <w:color w:val="555555"/>
          <w:sz w:val="19"/>
          <w:szCs w:val="19"/>
        </w:rPr>
        <w:t xml:space="preserve">↳ Steps overlap and are not strictly ordered in practice — cleaning, transforming and reducing are often interleaved iteratively.</w:t>
      </w:r>
    </w:p>
    <w:p>
      <w:pPr>
        <w:spacing w:after="120" w:before="200"/>
      </w:pPr>
      <w:r>
        <w:rPr>
          <w:b/>
          <w:bCs/>
          <w:i/>
          <w:iCs/>
          <w:color w:val="1F3864"/>
          <w:sz w:val="22"/>
          <w:szCs w:val="22"/>
        </w:rPr>
        <w:t xml:space="preserve">Figure 2.2 — Types of Semantic Heterogeneity (Taxonomy)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Attribute Heterogeneity (synonyms, mappings, union types, language)</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Missing Data (null values, virtual columns, semantic incompatibility)</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Structural Heterogeneity (same attribute different structure, set handling, meaningless names, attribute composition)</w:t>
            </w:r>
          </w:p>
        </w:tc>
      </w:tr>
    </w:tbl>
    <w:p>
      <w:pPr>
        <w:spacing w:after="200" w:before="100"/>
      </w:pPr>
      <w:r>
        <w:rPr>
          <w:i/>
          <w:iCs/>
          <w:color w:val="555555"/>
          <w:sz w:val="19"/>
          <w:szCs w:val="19"/>
        </w:rPr>
        <w:t xml:space="preserve">↳ Based on Hammer, Stonebraker &amp; Topsakal's THALIA framework for assessing legacy information-integration approaches.</w:t>
      </w:r>
    </w:p>
    <w:p>
      <w:pPr>
        <w:pStyle w:val="Heading2"/>
        <w:spacing w:after="120" w:before="240"/>
      </w:pPr>
      <w:r>
        <w:t xml:space="preserve">4. Formula Sheet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2400"/>
            <w:shd w:fill="2E74B5" w:color="auto" w:val="clear"/>
            <w:tcMar>
              <w:top w:type="dxa" w:w="80"/>
              <w:left w:type="dxa" w:w="120"/>
              <w:bottom w:type="dxa" w:w="80"/>
              <w:right w:type="dxa" w:w="120"/>
            </w:tcMar>
            <w:vAlign w:val="center"/>
          </w:tcPr>
          <w:p>
            <w:r>
              <w:rPr>
                <w:b/>
                <w:bCs/>
                <w:color w:val="FFFFFF"/>
                <w:sz w:val="20"/>
                <w:szCs w:val="20"/>
              </w:rPr>
              <w:t xml:space="preserve">Name</w:t>
            </w:r>
          </w:p>
        </w:tc>
        <w:tc>
          <w:tcPr>
            <w:tcW w:type="dxa" w:w="3200"/>
            <w:shd w:fill="2E74B5" w:color="auto" w:val="clear"/>
            <w:tcMar>
              <w:top w:type="dxa" w:w="80"/>
              <w:left w:type="dxa" w:w="120"/>
              <w:bottom w:type="dxa" w:w="80"/>
              <w:right w:type="dxa" w:w="120"/>
            </w:tcMar>
            <w:vAlign w:val="center"/>
          </w:tcPr>
          <w:p>
            <w:r>
              <w:rPr>
                <w:b/>
                <w:bCs/>
                <w:color w:val="FFFFFF"/>
                <w:sz w:val="20"/>
                <w:szCs w:val="20"/>
              </w:rPr>
              <w:t xml:space="preserve">Formula</w:t>
            </w:r>
          </w:p>
        </w:tc>
        <w:tc>
          <w:tcPr>
            <w:tcW w:type="dxa" w:w="4000"/>
            <w:shd w:fill="2E74B5" w:color="auto" w:val="clear"/>
            <w:tcMar>
              <w:top w:type="dxa" w:w="80"/>
              <w:left w:type="dxa" w:w="120"/>
              <w:bottom w:type="dxa" w:w="80"/>
              <w:right w:type="dxa" w:w="120"/>
            </w:tcMar>
            <w:vAlign w:val="center"/>
          </w:tcPr>
          <w:p>
            <w:r>
              <w:rPr>
                <w:b/>
                <w:bCs/>
                <w:color w:val="FFFFFF"/>
                <w:sz w:val="20"/>
                <w:szCs w:val="20"/>
              </w:rPr>
              <w:t xml:space="preserve">Meaning / Use</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Standardization (Z-score)</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z = (x − μ) / σ</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Centers data to mean 0, std 1; required before methods sensitive to scale (e.g. PCA, k-means, gradient descent based learners).</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Symbolic Aggregate Approximation (SAX)</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Window average → discretize into symbolic alphabet (e.g. a,b,c)</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Reduces a real-valued time series into a short symbolic string enabling string-based similarity search/algorithms.</w:t>
            </w:r>
          </w:p>
        </w:tc>
      </w:tr>
    </w:tbl>
    <w:p>
      <w:pPr>
        <w:spacing w:after="160"/>
      </w:pPr>
    </w:p>
    <w:p>
      <w:pPr>
        <w:pStyle w:val="Heading2"/>
        <w:spacing w:after="120" w:before="240"/>
      </w:pPr>
      <w:r>
        <w:t xml:space="preserve">5. Exam-Style Questions &amp; Detailed Answers</w:t>
      </w:r>
    </w:p>
    <w:p>
      <w:pPr>
        <w:shd w:fill="DCE6F1" w:color="auto" w:val="clear"/>
        <w:spacing w:after="100" w:before="200"/>
      </w:pPr>
      <w:r>
        <w:rPr>
          <w:b/>
          <w:bCs/>
          <w:color w:val="1F3864"/>
          <w:sz w:val="22"/>
          <w:szCs w:val="22"/>
        </w:rPr>
        <w:t xml:space="preserve">Q1. Explain the 'Garbage In, Garbage Out' principle and connect it to at least two concrete data-quality dimensions.</w:t>
      </w:r>
    </w:p>
    <w:p>
      <w:pPr>
        <w:spacing w:after="140"/>
        <w:jc w:val="both"/>
      </w:pPr>
      <w:r>
        <w:t xml:space="preserve">'Garbage In, Garbage Out' (GIGO) states that the quality of any analytics output is bounded by the quality of its input data — no statistical or machine-learning method can produce trustworthy conclusions from fundamentally flawed data, regardless of the sophistication of the modelling technique applied afterward.</w:t>
      </w:r>
    </w:p>
    <w:p>
      <w:pPr>
        <w:spacing w:after="140"/>
        <w:jc w:val="both"/>
      </w:pPr>
      <w:r>
        <w:t xml:space="preserve">This connects directly to the data-quality dimensions taught in the lecture: </w:t>
      </w:r>
      <w:r>
        <w:rPr>
          <w:b/>
          <w:bCs/>
        </w:rPr>
        <w:t xml:space="preserve">Accuracy</w:t>
      </w:r>
      <w:r>
        <w:t xml:space="preserve"> (are recorded values correct?) — if sensor readings are systematically miscalibrated, even a perfect regression model will faithfully learn the wrong relationship. </w:t>
      </w:r>
      <w:r>
        <w:rPr>
          <w:b/>
          <w:bCs/>
        </w:rPr>
        <w:t xml:space="preserve">Completeness</w:t>
      </w:r>
      <w:r>
        <w:t xml:space="preserve"> (are values missing?) — naive deletion or careless imputation of missing entries can bias downstream estimates (e.g., dropping all records with missing income systematically removes low-income non-respondents, biasing the sample). </w:t>
      </w:r>
      <w:r>
        <w:rPr>
          <w:b/>
          <w:bCs/>
        </w:rPr>
        <w:t xml:space="preserve">Consistency</w:t>
      </w:r>
      <w:r>
        <w:t xml:space="preserve"> (are some records updated/coded while others are not, e.g. mixing 'A/B/C' and '1/2/3' rating scales) directly corrupts any aggregation or join across the inconsistent parts. </w:t>
      </w:r>
      <w:r>
        <w:rPr>
          <w:b/>
          <w:bCs/>
        </w:rPr>
        <w:t xml:space="preserve">Timeliness and Credibility</w:t>
      </w:r>
      <w:r>
        <w:t xml:space="preserve"> matter especially for streaming/sensor data where stale or untrustworthy readings silently propagate into 'live' dashboards.</w:t>
      </w:r>
    </w:p>
    <w:p>
      <w:pPr>
        <w:spacing w:after="140"/>
        <w:jc w:val="both"/>
      </w:pPr>
      <w:r>
        <w:t xml:space="preserve">The remaining questions posed by the lecture — 'Is it possible to answer the question(s) of interest with the given data and the chosen method?' and 'Does the chosen method yield sensible results for the given data?' — operationalize GIGO as an explicit checklist that should precede any modelling step, not merely a slogan.</w:t>
      </w:r>
    </w:p>
    <w:p>
      <w:pPr>
        <w:shd w:fill="DCE6F1" w:color="auto" w:val="clear"/>
        <w:spacing w:after="100" w:before="200"/>
      </w:pPr>
      <w:r>
        <w:rPr>
          <w:b/>
          <w:bCs/>
          <w:color w:val="1F3864"/>
          <w:sz w:val="22"/>
          <w:szCs w:val="22"/>
        </w:rPr>
        <w:t xml:space="preserve">Q2. Differentiate Data Cleaning from Data Integration from Data Reduction, and give one concrete technique for each.</w:t>
      </w:r>
    </w:p>
    <w:p>
      <w:pPr>
        <w:spacing w:after="140"/>
        <w:jc w:val="both"/>
      </w:pPr>
      <w:r>
        <w:rPr>
          <w:b/>
          <w:bCs/>
        </w:rPr>
        <w:t xml:space="preserve">Data Cleaning</w:t>
      </w:r>
      <w:r>
        <w:t xml:space="preserve"> addresses defects *within* a single data source: incompleteness (missing attribute values), noise (measurement errors/outliers), and inconsistency (contradictory codes, e.g. Age='42' but Birthday='03/07/2010'). Concrete technique: for missing dependency-oriented (e.g. time-series) data, impute using contextually nearby values (interpolation from neighbouring timestamps) rather than deleting the record outright.</w:t>
      </w:r>
    </w:p>
    <w:p>
      <w:pPr>
        <w:spacing w:after="140"/>
        <w:jc w:val="both"/>
      </w:pPr>
      <w:r>
        <w:rPr>
          <w:b/>
          <w:bCs/>
        </w:rPr>
        <w:t xml:space="preserve">Data Integration</w:t>
      </w:r>
      <w:r>
        <w:t xml:space="preserve"> addresses defects *across* multiple sources that must be merged into one coherent representation: it resolves semantic heterogeneity (synonyms, unit mismatches, language differences) and structural heterogeneity (same attribute at different schema positions). Concrete technique: redundancy detection — recognizing that one schema stores 'Year of Birth' and 'Age' while another only stores 'Year of Birth' plus a derived rule (Age = current year − year of birth), allowing the redundant attribute to be represented with less data / a documented derivation rule instead of being duplicated.</w:t>
      </w:r>
    </w:p>
    <w:p>
      <w:pPr>
        <w:spacing w:after="140"/>
        <w:jc w:val="both"/>
      </w:pPr>
      <w:r>
        <w:rPr>
          <w:b/>
          <w:bCs/>
        </w:rPr>
        <w:t xml:space="preserve">Data Reduction</w:t>
      </w:r>
      <w:r>
        <w:t xml:space="preserve"> addresses the *volume/dimensionality* of an already clean, integrated dataset, in order to make downstream analysis computationally tractable: it reduces the number of records (sampling) or number of dimensions (feature selection, PCA-based axis rotation). Concrete technique: Principal Component Analysis — computing the covariance matrix, its eigenvectors/eigenvalues, and retaining only the top-k principal components that explain most of the variance, thereby replacing p original correlated features with a much smaller number of uncorrelated components.</w:t>
      </w:r>
    </w:p>
    <w:p>
      <w:pPr>
        <w:spacing w:after="140"/>
        <w:jc w:val="both"/>
      </w:pPr>
      <w:r>
        <w:t xml:space="preserve">In short: Cleaning fixes quality within one source, Integration reconciles multiple sources into one, and Reduction compresses an already-good dataset for efficiency — and in practice these steps are interleaved rather than strictly sequential, as the lecture explicitly states ('order of single steps not fixed').</w:t>
      </w:r>
    </w:p>
    <w:p>
      <w:pPr>
        <w:shd w:fill="DCE6F1" w:color="auto" w:val="clear"/>
        <w:spacing w:after="100" w:before="200"/>
      </w:pPr>
      <w:r>
        <w:rPr>
          <w:b/>
          <w:bCs/>
          <w:color w:val="1F3864"/>
          <w:sz w:val="22"/>
          <w:szCs w:val="22"/>
        </w:rPr>
        <w:t xml:space="preserve">Q3. A company merges customer records from two CRM systems. System A stores 'Country: France, Capital: London'. Which type of data-quality problem is this, and how would you detect/resolve it?</w:t>
      </w:r>
    </w:p>
    <w:p>
      <w:pPr>
        <w:spacing w:after="140"/>
        <w:jc w:val="both"/>
      </w:pPr>
      <w:r>
        <w:t xml:space="preserve">This is a classic example of an </w:t>
      </w:r>
      <w:r>
        <w:rPr>
          <w:b/>
          <w:bCs/>
        </w:rPr>
        <w:t xml:space="preserve">inconsistency</w:t>
      </w:r>
      <w:r>
        <w:t xml:space="preserve"> (specifically domain-knowledge inconsistency) within Data Cleaning: the record is internally contradictory because Paris, not London, is the capital of France. It is not a missing-value problem (both fields are populated) nor a structural-integration problem (both records live in comparable schema positions) — it is a *correctness/consistency* defect.</w:t>
      </w:r>
    </w:p>
    <w:p>
      <w:pPr>
        <w:spacing w:after="140"/>
        <w:jc w:val="both"/>
      </w:pPr>
      <w:r>
        <w:t xml:space="preserve">Detection follows the lecture's recommended approach of 'inconsistency detection using domain knowledge': maintain a reference lookup table of (Country → Capital) pairs and flag any record whose Capital value does not match the expected value for its Country. More generally, data-centric methods (statistical outlier/anomaly detection) could flag Capital='London' as anomalous if, across the whole dataset, 'London' almost always co-occurs with Country='United Kingdom', making the France/London pairing a statistical outlier in the joint distribution.</w:t>
      </w:r>
    </w:p>
    <w:p>
      <w:pPr>
        <w:spacing w:after="140"/>
        <w:jc w:val="both"/>
      </w:pPr>
      <w:r>
        <w:t xml:space="preserve">Resolution requires either (a) automatic correction against the trusted reference table if the erroneous field can be unambiguously identified (unclear here — is 'Country' or 'Capital' wrong?), or, more safely, (b) flagging the record for manual review/human-in-the-loop correction, since automatically 'fixing' the wrong field without additional context risks introducing a new (silent) error. This illustrates why the lecture stresses that cleaning is rarely fully automatable and needs domain knowledge plus documentation (metadata) of the correction rules applied.</w:t>
      </w:r>
    </w:p>
    <w:p>
      <w:pPr>
        <w:shd w:fill="DCE6F1" w:color="auto" w:val="clear"/>
        <w:spacing w:after="100" w:before="200"/>
      </w:pPr>
      <w:r>
        <w:rPr>
          <w:b/>
          <w:bCs/>
          <w:color w:val="1F3864"/>
          <w:sz w:val="22"/>
          <w:szCs w:val="22"/>
        </w:rPr>
        <w:t xml:space="preserve">Q4. Explain Symbolic Aggregate Approximation (SAX) and state one reason to convert a time series into a discrete symbolic sequence.</w:t>
      </w:r>
    </w:p>
    <w:p>
      <w:pPr>
        <w:spacing w:after="140"/>
        <w:jc w:val="both"/>
      </w:pPr>
      <w:r>
        <w:t xml:space="preserve">SAX transforms a real-valued time series into a short string over a small alphabet in two steps: (1) </w:t>
      </w:r>
      <w:r>
        <w:rPr>
          <w:b/>
          <w:bCs/>
        </w:rPr>
        <w:t xml:space="preserve">window-based averaging (PAA — Piecewise Aggregate Approximation)</w:t>
      </w:r>
      <w:r>
        <w:t xml:space="preserve"> — divide the series into equal-length windows and replace each window by its mean value, drastically reducing dimensionality while preserving the coarse shape; (2) </w:t>
      </w:r>
      <w:r>
        <w:rPr>
          <w:b/>
          <w:bCs/>
        </w:rPr>
        <w:t xml:space="preserve">value-based discretization</w:t>
      </w:r>
      <w:r>
        <w:t xml:space="preserve"> — map the (already averaged) values into a small number of intervals (bins), each labelled with a symbol (e.g. 'a', 'b', 'c'), typically chosen so that, under a Gaussian assumption, each symbol is equiprobable.</w:t>
      </w:r>
    </w:p>
    <w:p>
      <w:pPr>
        <w:spacing w:after="140"/>
        <w:jc w:val="both"/>
      </w:pPr>
      <w:r>
        <w:t xml:space="preserve">The concrete benefit demonstrated in the lecture (window average f(t) → discretized symbols producing a string like 'baabccbc') is dimensionality/storage reduction combined with enabling </w:t>
      </w:r>
      <w:r>
        <w:rPr>
          <w:b/>
          <w:bCs/>
        </w:rPr>
        <w:t xml:space="preserve">discrete-sequence algorithms</w:t>
      </w:r>
      <w:r>
        <w:t xml:space="preserve">: once a time series is a symbol string, well-studied string-processing techniques become applicable — e.g. Edit (Levenshtein) Distance or Longest Common Subsequence (LCSS) for similarity search, suffix-tree indexing for fast pattern matching, or simple lookup-table-based compression — none of which apply directly to raw floating-point series. This is a specific instance of the general Data-Transformation goal stated in the lecture: 'restrict loss of representational accuracy/expressiveness while making data usable for well-known analytics methods'.</w:t>
      </w:r>
    </w:p>
    <w:p>
      <w:pPr>
        <w:shd w:fill="DCE6F1" w:color="auto" w:val="clear"/>
        <w:spacing w:after="100" w:before="200"/>
      </w:pPr>
      <w:r>
        <w:rPr>
          <w:b/>
          <w:bCs/>
          <w:color w:val="1F3864"/>
          <w:sz w:val="22"/>
          <w:szCs w:val="22"/>
        </w:rPr>
        <w:t xml:space="preserve">Q5. Describe the difference between unbiased, biased and stratified sampling as data-reduction techniques, and identify a risk of each.</w:t>
      </w:r>
    </w:p>
    <w:p>
      <w:pPr>
        <w:spacing w:after="140"/>
        <w:jc w:val="both"/>
      </w:pPr>
      <w:r>
        <w:rPr>
          <w:b/>
          <w:bCs/>
        </w:rPr>
        <w:t xml:space="preserve">Unbiased sampling</w:t>
      </w:r>
      <w:r>
        <w:t xml:space="preserve">: select a random subset of data points with equal probability, intended to preserve the overall distribution of the full dataset. Risk: for rare classes/subpopulations (e.g., fraud cases, minority classes), a small unbiased sample may contain too few (or zero) instances of the rare group, making downstream models unable to learn its characteristics — this is closely related to the 'Class Imbalance Problem' discussed elsewhere in the course.</w:t>
      </w:r>
    </w:p>
    <w:p>
      <w:pPr>
        <w:spacing w:after="140"/>
        <w:jc w:val="both"/>
      </w:pPr>
      <w:r>
        <w:rPr>
          <w:b/>
          <w:bCs/>
        </w:rPr>
        <w:t xml:space="preserve">Biased sampling</w:t>
      </w:r>
      <w:r>
        <w:t xml:space="preserve">: deliberately over- (or under-) represent some parts of the data considered more important for the analysis goal, e.g. temporal-decay bias where more recent records are included with higher probability. Risk: the resulting sample no longer represents the true underlying population, so any inferential statistic computed on it (mean, variance, correlation) is systematically skewed unless the bias is explicitly corrected for (e.g. via importance weighting) in later analysis.</w:t>
      </w:r>
    </w:p>
    <w:p>
      <w:pPr>
        <w:spacing w:after="140"/>
        <w:jc w:val="both"/>
      </w:pPr>
      <w:r>
        <w:rPr>
          <w:b/>
          <w:bCs/>
        </w:rPr>
        <w:t xml:space="preserve">Stratified sampling</w:t>
      </w:r>
      <w:r>
        <w:t xml:space="preserve">: partition the data into strata (subgroups, e.g. by class label) and sample independently within each stratum (often to guarantee a minimum representation of rare strata). Risk: requires the strata to be correctly and meaningfully defined in advance — if the true relevant subpopulation structure does not align with the chosen strata (e.g. stratifying by country when the truly relevant factor is income level), the sample can still misrepresent the phenomenon of interest, and stratification adds design complexity and potential for user-error in stratum definition.</w:t>
      </w:r>
    </w:p>
    <w:p>
      <w:pPr>
        <w:spacing w:after="140"/>
        <w:jc w:val="both"/>
      </w:pPr>
      <w:r>
        <w:t xml:space="preserve">All three are explicitly contrasted with each other in the lecture as answers to the same underlying reduction goal — 'reduce number of records' — but trading off representativeness (unbiased/stratified) against task-relevance emphasis (biased).</w:t>
      </w:r>
    </w:p>
    <w:p>
      <w:r>
        <w:br w:type="page"/>
      </w:r>
    </w:p>
    <w:p>
      <w:pPr>
        <w:spacing w:after="40"/>
      </w:pPr>
      <w:r>
        <w:rPr>
          <w:b/>
          <w:bCs/>
          <w:color w:val="2E74B5"/>
          <w:sz w:val="22"/>
          <w:szCs w:val="22"/>
        </w:rPr>
        <w:t xml:space="preserve">LECTURE 3</w:t>
      </w:r>
    </w:p>
    <w:p>
      <w:pPr>
        <w:pStyle w:val="Heading1"/>
        <w:spacing w:after="120" w:before="240"/>
      </w:pPr>
      <w:r>
        <w:t xml:space="preserve">Research Data Management (RDM)</w:t>
      </w:r>
    </w:p>
    <w:p>
      <w:pPr>
        <w:pStyle w:val="Heading2"/>
        <w:spacing w:after="120" w:before="240"/>
      </w:pPr>
      <w:r>
        <w:t xml:space="preserve">1. Overview</w:t>
      </w:r>
    </w:p>
    <w:p>
      <w:pPr>
        <w:spacing w:after="140"/>
        <w:jc w:val="both"/>
      </w:pPr>
      <w:r>
        <w:t xml:space="preserve">This lecture (Dr. Ralph Müller-Pfefferkorn) treats data itself — independent of any specific analysis — as a valuable, manageable asset across its entire life cycle: planning, generation, processing, documentation, publication, and long-term preservation.</w:t>
      </w:r>
    </w:p>
    <w:p>
      <w:pPr>
        <w:spacing w:after="140"/>
        <w:jc w:val="both"/>
      </w:pPr>
      <w:r>
        <w:t xml:space="preserve">Central motivations given: (1) information content of data decays over time as context is forgotten ('information entropy' of metadata, Michener et al. 1997) unless actively counteracted by documentation; (2) RDM is a prerequisite for Data Analysis, since ML needs large, well-documented, trustworthy data volumes; (3) safety against data loss (hardware failure, human error, malicious attack); (4) quality control, reproducibility, collaboration; (5) political/funder requirements (DFG, EU, institutional guidelines) increasingly mandate Data Management Plans and FAIR-compliant publication.</w:t>
      </w:r>
    </w:p>
    <w:p>
      <w:pPr>
        <w:spacing w:after="140"/>
        <w:jc w:val="both"/>
      </w:pPr>
      <w:r>
        <w:t xml:space="preserve">The FAIR principles (Findable, Accessible, Interoperable, Reusable) are introduced as the guiding standard for making data usable by both humans and machines, both by oneself and by others.</w:t>
      </w:r>
    </w:p>
    <w:p>
      <w:pPr>
        <w:pStyle w:val="Heading2"/>
        <w:spacing w:after="120" w:before="240"/>
      </w:pPr>
      <w:r>
        <w:t xml:space="preserve">2. Key Concepts &amp; Definitions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80"/>
              <w:left w:type="dxa" w:w="120"/>
              <w:bottom w:type="dxa" w:w="80"/>
              <w:right w:type="dxa" w:w="120"/>
            </w:tcMar>
            <w:vAlign w:val="center"/>
          </w:tcPr>
          <w:p>
            <w:r>
              <w:rPr>
                <w:b/>
                <w:bCs/>
                <w:color w:val="FFFFFF"/>
                <w:sz w:val="20"/>
                <w:szCs w:val="20"/>
              </w:rPr>
              <w:t xml:space="preserve">Term / Concept</w:t>
            </w:r>
          </w:p>
        </w:tc>
        <w:tc>
          <w:tcPr>
            <w:tcW w:type="dxa" w:w="7000"/>
            <w:shd w:fill="1F3864" w:color="auto" w:val="clear"/>
            <w:tcMar>
              <w:top w:type="dxa" w:w="80"/>
              <w:left w:type="dxa" w:w="120"/>
              <w:bottom w:type="dxa" w:w="80"/>
              <w:right w:type="dxa" w:w="120"/>
            </w:tcMar>
            <w:vAlign w:val="center"/>
          </w:tcPr>
          <w:p>
            <w:r>
              <w:rPr>
                <w:b/>
                <w:bCs/>
                <w:color w:val="FFFFFF"/>
                <w:sz w:val="20"/>
                <w:szCs w:val="20"/>
              </w:rPr>
              <w:t xml:space="preserve">Definition / Explanation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Research Data</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'Any output from research projects that is not a publication' (Rombouts &amp; Prinčič, 2010); types include Observations, Experiments, Simulations, Derived data, References, Digitized data — each with different reproducibility/replaceability characteristics.</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Research Data Life Cycle</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Plan → Collect/Create → Process/Analyze → Document (Metadata) → Preserve/Archive → Share/Publish → Re-use — a cyclical process, not a one-way pipeline.</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FAIR Principles</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Findable (standardized metadata, persistent identifiers), Accessible (documented access protocols/rights), Interoperable (non-proprietary formats, shared vocabularies), Reusable (clear licenses, provenance, documented quality) — each formulated both from 'my' and 'someone else's' perspective.</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Metadata</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'Data about data': Administrative (technical/legal: format, size, license, access rights), Structural (organization: table schema, chapters), Descriptive (content: experimental setup, controlled vocabulary). Prevents information entropy and enables findability, reuse, and long-term archiving.</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Metadata Schema / Standard</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A formal definition of which metadata fields exist and how they are structured (e.g. DataCite schema with Mandatory/Recommended/Optional properties: Identifier, Creator, Title, Publisher, PublicationYear, etc.); domain-specific schemas exist (e.g. OME for microscopy, DDI for social science).</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3-2-1 Backup Rule</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Keep at least 3 copies of data, on 2 different storage media, with 1 copy physically/geographically separated — protects against hardware failure, disaster, and human error.</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Backup vs. Archiving</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Backup = short-term, multiple versions of *changing* 'living' data, for restoring after accidental loss/corruption. Archiving = long-term preservation of one selected, finalized version for re-use/legal compliance, typically with a DOI and open/standard file formats.</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Persistent Identifier (PID / DOI)</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A permanent, unique, resolvable link (analogous to an ISBN for books) attached to a dataset, enabling stable citation of data exactly like a publication.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Repositories</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Services offering archiving + publishing with standardized interfaces, searchability, and curation. Types: disciplinary/domain-specific (Pangea, GESIS), general/institutional (OPARA, Zenodo), media-specific.</w:t>
            </w:r>
          </w:p>
        </w:tc>
      </w:tr>
    </w:tbl>
    <w:p>
      <w:pPr>
        <w:spacing w:after="160"/>
      </w:pPr>
    </w:p>
    <w:p>
      <w:pPr>
        <w:pStyle w:val="Heading2"/>
        <w:spacing w:after="120" w:before="240"/>
      </w:pPr>
      <w:r>
        <w:t xml:space="preserve">3. Diagrams &amp; Visual Flowcharts</w:t>
      </w:r>
    </w:p>
    <w:p>
      <w:pPr>
        <w:spacing w:after="120" w:before="200"/>
      </w:pPr>
      <w:r>
        <w:rPr>
          <w:b/>
          <w:bCs/>
          <w:i/>
          <w:iCs/>
          <w:color w:val="1F3864"/>
          <w:sz w:val="22"/>
          <w:szCs w:val="22"/>
        </w:rPr>
        <w:t xml:space="preserve">Figure 3.1 — Research Data Life Cycle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Plan (Data Management Plan)</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Create / Collect</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Process &amp; Analyze</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Document (Metadata)</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5</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Preserve / Archive</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6</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Share / Publish (DOI)</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7</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Re-use → back to Plan</w:t>
            </w:r>
          </w:p>
        </w:tc>
      </w:tr>
    </w:tbl>
    <w:p>
      <w:pPr>
        <w:spacing w:after="200" w:before="100"/>
      </w:pPr>
      <w:r>
        <w:rPr>
          <w:i/>
          <w:iCs/>
          <w:color w:val="555555"/>
          <w:sz w:val="19"/>
          <w:szCs w:val="19"/>
        </w:rPr>
        <w:t xml:space="preserve">↳ Cyclical: re-used/published data can become the input ('Create/Collect') of a new research cycle.</w:t>
      </w:r>
    </w:p>
    <w:p>
      <w:pPr>
        <w:spacing w:after="120" w:before="200"/>
      </w:pPr>
      <w:r>
        <w:rPr>
          <w:b/>
          <w:bCs/>
          <w:i/>
          <w:iCs/>
          <w:color w:val="1F3864"/>
          <w:sz w:val="22"/>
          <w:szCs w:val="22"/>
        </w:rPr>
        <w:t xml:space="preserve">Figure 3.2 — FAIR Principles (dual perspective)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Findable — can I / can someone else find the data?</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Accessible — can I / can someone else access the data?</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Interoperable — can I / can someone else understand &amp; combine the data?</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Reusable — can I / can someone else (re)use the data?</w:t>
            </w:r>
          </w:p>
        </w:tc>
      </w:tr>
    </w:tbl>
    <w:p>
      <w:pPr>
        <w:spacing w:after="200" w:before="100"/>
      </w:pPr>
      <w:r>
        <w:rPr>
          <w:i/>
          <w:iCs/>
          <w:color w:val="555555"/>
          <w:sz w:val="19"/>
          <w:szCs w:val="19"/>
        </w:rPr>
        <w:t xml:space="preserve">↳ Each FAIR letter is evaluated twice: from the data producer's own perspective and from an external reuser's perspective.</w:t>
      </w:r>
    </w:p>
    <w:p>
      <w:pPr>
        <w:pStyle w:val="Heading2"/>
        <w:spacing w:after="120" w:before="240"/>
      </w:pPr>
      <w:r>
        <w:t xml:space="preserve">5. Exam-Style Questions &amp; Detailed Answers</w:t>
      </w:r>
    </w:p>
    <w:p>
      <w:pPr>
        <w:shd w:fill="DCE6F1" w:color="auto" w:val="clear"/>
        <w:spacing w:after="100" w:before="200"/>
      </w:pPr>
      <w:r>
        <w:rPr>
          <w:b/>
          <w:bCs/>
          <w:color w:val="1F3864"/>
          <w:sz w:val="22"/>
          <w:szCs w:val="22"/>
        </w:rPr>
        <w:t xml:space="preserve">Q1. Explain 'information entropy of data' (Michener et al., 1997) and how metadata counteracts it.</w:t>
      </w:r>
    </w:p>
    <w:p>
      <w:pPr>
        <w:spacing w:after="140"/>
        <w:jc w:val="both"/>
      </w:pPr>
      <w:r>
        <w:t xml:space="preserve">Michener et al. (1997) describe an empirical phenomenon whereby the *informational content* that can actually be extracted from a dataset decreases over time following its creation, even though the raw bits themselves remain unchanged on disk. This happens because: specific contextual details (exact experimental conditions, known deviations, undocumented anomalies) are forgotten relatively quickly; general knowledge about how the data was collected fades more slowly but still erodes; the people who created the dataset ('mental storage' of tacit knowledge) leave the research group, making informal clarification impossible; and accidents/mistakes can destroy remaining documentation entirely.</w:t>
      </w:r>
    </w:p>
    <w:p>
      <w:pPr>
        <w:spacing w:after="140"/>
        <w:jc w:val="both"/>
      </w:pPr>
      <w:r>
        <w:t xml:space="preserve">The lecture visualizes this as a decay curve of 'information content of data and metadata' against time. </w:t>
      </w:r>
      <w:r>
        <w:rPr>
          <w:b/>
          <w:bCs/>
        </w:rPr>
        <w:t xml:space="preserve">Systematic, structured metadata directly counteracts this decay</w:t>
      </w:r>
      <w:r>
        <w:t xml:space="preserve">: by externalizing the tacit knowledge (experimental setup, units, instrument calibration, deviations, code sheets decoding abbreviations) into a persistent, structured, both human- and machine-readable artifact at or near the time of data creation, the information no longer depends on any individual's memory. The lecture's slide explicitly shows that 'RDM practices slow down the decrease in information content' — i.e., good metadata practice flattens the decay curve rather than eliminating decay entirely (some highly specific tacit context can still never be fully captured), which is why documentation should begin as early as possible in the life cycle, ideally via a Data Management Plan created before data collection starts.</w:t>
      </w:r>
    </w:p>
    <w:p>
      <w:pPr>
        <w:shd w:fill="DCE6F1" w:color="auto" w:val="clear"/>
        <w:spacing w:after="100" w:before="200"/>
      </w:pPr>
      <w:r>
        <w:rPr>
          <w:b/>
          <w:bCs/>
          <w:color w:val="1F3864"/>
          <w:sz w:val="22"/>
          <w:szCs w:val="22"/>
        </w:rPr>
        <w:t xml:space="preserve">Q2. Compare Administrative, Structural, and Descriptive metadata with one example of each, using the 'apple' taxonomy example from the lecture.</w:t>
      </w:r>
    </w:p>
    <w:p>
      <w:pPr>
        <w:spacing w:after="140"/>
        <w:jc w:val="both"/>
      </w:pPr>
      <w:r>
        <w:rPr>
          <w:b/>
          <w:bCs/>
        </w:rPr>
        <w:t xml:space="preserve">Administrative metadata</w:t>
      </w:r>
      <w:r>
        <w:t xml:space="preserve"> captures technical/legal facts about the digital object itself, independent of its content meaning: file format, file size, date/time of creation, applicable license, and access rights. Apple-analogy equivalent: metadata about the *photo file* of the apple (JPEG, 4MB, taken 2026-04-27, CC-BY license) rather than about the apple itself.</w:t>
      </w:r>
    </w:p>
    <w:p>
      <w:pPr>
        <w:spacing w:after="140"/>
        <w:jc w:val="both"/>
      </w:pPr>
      <w:r>
        <w:rPr>
          <w:b/>
          <w:bCs/>
        </w:rPr>
        <w:t xml:space="preserve">Structural metadata</w:t>
      </w:r>
      <w:r>
        <w:t xml:space="preserve"> describes how the data is organized and how parts relate to one another or to other data objects: e.g. table/column descriptions, or chapter/page structure of a book. Apple-analogy: if we had a dataset of many apples, structural metadata would describe how individual apple records are grouped into a table (one row per apple, columns for shape/aroma/variety) or linked to a parent 'orchard' dataset.</w:t>
      </w:r>
    </w:p>
    <w:p>
      <w:pPr>
        <w:spacing w:after="140"/>
        <w:jc w:val="both"/>
      </w:pPr>
      <w:r>
        <w:rPr>
          <w:b/>
          <w:bCs/>
        </w:rPr>
        <w:t xml:space="preserve">Descriptive metadata</w:t>
      </w:r>
      <w:r>
        <w:t xml:space="preserve"> describes *what the data is about*, using controlled vocabulary/taxonomies for each field: in the lecture's own worked example, an apple is described via metadata fields Shape='Round' (taxonomy: list of geometric forms), Aroma='Sweet' (taxonomy: thesaurus of flavours), Variety='Idared' (taxonomy: ontology of the Rosaceae/rose family). This is the category most directly aimed at enabling *content-based* search and scientific interpretation — e.g., a description of the experimental setup or the controlled vocabulary used for a variable.</w:t>
      </w:r>
    </w:p>
    <w:p>
      <w:pPr>
        <w:spacing w:after="140"/>
        <w:jc w:val="both"/>
      </w:pPr>
      <w:r>
        <w:t xml:space="preserve">All three metadata files ultimately populate a formally defined </w:t>
      </w:r>
      <w:r>
        <w:rPr>
          <w:b/>
          <w:bCs/>
        </w:rPr>
        <w:t xml:space="preserve">Metadata Schema</w:t>
      </w:r>
      <w:r>
        <w:t xml:space="preserve"> (e.g., in JSON), and following a recognized </w:t>
      </w:r>
      <w:r>
        <w:rPr>
          <w:b/>
          <w:bCs/>
        </w:rPr>
        <w:t xml:space="preserve">Metadata Standard</w:t>
      </w:r>
      <w:r>
        <w:t xml:space="preserve"> (rather than an ad-hoc private scheme) additionally guarantees interoperability and machine-readability across institutions, per the lecture's DataCite example.</w:t>
      </w:r>
    </w:p>
    <w:p>
      <w:pPr>
        <w:shd w:fill="DCE6F1" w:color="auto" w:val="clear"/>
        <w:spacing w:after="100" w:before="200"/>
      </w:pPr>
      <w:r>
        <w:rPr>
          <w:b/>
          <w:bCs/>
          <w:color w:val="1F3864"/>
          <w:sz w:val="22"/>
          <w:szCs w:val="22"/>
        </w:rPr>
        <w:t xml:space="preserve">Q3. A PhD student wants to publish the dataset behind their paper. Outline, step-by-step, the actions required to make it FAIR-compliant, referencing concrete TU Dresden infrastructure discussed in the lecture.</w:t>
      </w:r>
    </w:p>
    <w:p>
      <w:pPr>
        <w:spacing w:after="140"/>
        <w:jc w:val="both"/>
      </w:pPr>
      <w:r>
        <w:rPr>
          <w:b/>
          <w:bCs/>
        </w:rPr>
        <w:t xml:space="preserve">Step 1 — Prepare/clean the data</w:t>
      </w:r>
      <w:r>
        <w:t xml:space="preserve"> and eliminate 'ROT data' (Redundant, Obsolete, or Trivial), ideally as an ongoing habit (e.g. 5–10 minutes every Friday) rather than only at the end, since preparation should never be left for last.</w:t>
      </w:r>
    </w:p>
    <w:p>
      <w:pPr>
        <w:spacing w:after="140"/>
        <w:jc w:val="both"/>
      </w:pPr>
      <w:r>
        <w:rPr>
          <w:b/>
          <w:bCs/>
        </w:rPr>
        <w:t xml:space="preserve">Step 2 — Convert to archival-safe, non-proprietary formats</w:t>
      </w:r>
      <w:r>
        <w:t xml:space="preserve"> as recommended in the lecture: e.g. PDF/A or plain UTF-8 text for documents, TIFF/PNG for images, CSV for tabular/spreadsheet data — avoiding proprietary formats that risk future unreadability ('format obsolescence').</w:t>
      </w:r>
    </w:p>
    <w:p>
      <w:pPr>
        <w:spacing w:after="140"/>
        <w:jc w:val="both"/>
      </w:pPr>
      <w:r>
        <w:rPr>
          <w:b/>
          <w:bCs/>
        </w:rPr>
        <w:t xml:space="preserve">Step 3 — Attach structured metadata</w:t>
      </w:r>
      <w:r>
        <w:t xml:space="preserve"> following a recognized standard where one exists for the discipline (check https://rdamsc.bath.ac.uk/ for a domain-specific schema, e.g. OME for microscopy or DDI for social-science data); if no domain standard exists, document anyway using at least the generic mandatory DataCite fields (Identifier, Creator, Title, Publisher, PublicationYear, ResourceType).</w:t>
      </w:r>
    </w:p>
    <w:p>
      <w:pPr>
        <w:spacing w:after="140"/>
        <w:jc w:val="both"/>
      </w:pPr>
      <w:r>
        <w:rPr>
          <w:b/>
          <w:bCs/>
        </w:rPr>
        <w:t xml:space="preserve">Step 4 — Deposit in a repository.</w:t>
      </w:r>
      <w:r>
        <w:t xml:space="preserve"> Since TU Dresden participates in </w:t>
      </w:r>
      <w:r>
        <w:rPr>
          <w:b/>
          <w:bCs/>
        </w:rPr>
        <w:t xml:space="preserve">OpARA</w:t>
      </w:r>
      <w:r>
        <w:t xml:space="preserve"> (Open Access Repository and Archive, jointly operated with TUBA Freiberg, HTW Dresden, and Universität Leipzig), the student uploads via the OpARA web interface or command-line tool, benefitting from triple-redundant, spatially separated tape-archive storage, free archiving for an initial 10-year period, unlimited storage if published, double-review quality assurance, and a choice of access model (Open Access / Embargo / Limited access).</w:t>
      </w:r>
    </w:p>
    <w:p>
      <w:pPr>
        <w:spacing w:after="140"/>
        <w:jc w:val="both"/>
      </w:pPr>
      <w:r>
        <w:rPr>
          <w:b/>
          <w:bCs/>
        </w:rPr>
        <w:t xml:space="preserve">Step 5 — Obtain a DOI</w:t>
      </w:r>
      <w:r>
        <w:t xml:space="preserve">: OpARA assigns a persistent Digital Object Identifier upon publication (analogous to an ISBN), enabling the dataset to be permanently and unambiguously cited — e.g. in the exact format shown in the lecture, 'M. Trommler ... doi: 10.25532/OPARA-1083' — satisfying the Findable (F) criterion.</w:t>
      </w:r>
    </w:p>
    <w:p>
      <w:pPr>
        <w:spacing w:after="140"/>
        <w:jc w:val="both"/>
      </w:pPr>
      <w:r>
        <w:rPr>
          <w:b/>
          <w:bCs/>
        </w:rPr>
        <w:t xml:space="preserve">Step 6 — Cross-check the remaining FAIR letters</w:t>
      </w:r>
      <w:r>
        <w:t xml:space="preserve"> explicitly: Accessible (has responsibility for access management been assigned, and is the access protocol standardized, e.g. REST?), Interoperable (are non-proprietary formats used, and would an external reader understand the vocabulary?), Reusable (is a clear license attached, and is data provenance/quality documented?). Only once all four letters are satisfied — for both the depositor's own future self and for external reusers — is the dataset genuinely FAIR.</w:t>
      </w:r>
    </w:p>
    <w:p>
      <w:pPr>
        <w:shd w:fill="DCE6F1" w:color="auto" w:val="clear"/>
        <w:spacing w:after="100" w:before="200"/>
      </w:pPr>
      <w:r>
        <w:rPr>
          <w:b/>
          <w:bCs/>
          <w:color w:val="1F3864"/>
          <w:sz w:val="22"/>
          <w:szCs w:val="22"/>
        </w:rPr>
        <w:t xml:space="preserve">Q4. Why does the lecture argue that RDM benefits the individual researcher even before any consideration of sharing/publication?</w:t>
      </w:r>
    </w:p>
    <w:p>
      <w:pPr>
        <w:spacing w:after="140"/>
        <w:jc w:val="both"/>
      </w:pPr>
      <w:r>
        <w:t xml:space="preserve">The lecture makes an explicitly self-interested argument for RDM, independent of altruistic 'open science' motivations: 'The next person you share your data with is your future self.' Concretely: (1) *organization* — systematic folder/file naming and metadata practices let a researcher actually find their own data again months or years later, when memory of the exact experimental parameters has already faded (per the information-entropy argument); (2) *safety* — since data (alongside the researcher's own brain) is described as 'your most valuable research good', following the 3-2-1 backup rule and archiving strategy protects against the numerous listed loss scenarios (hardware failure, human error, malicious attack, natural disaster, loss of institutional commitment); (3) *quality control and reproducibility* — systematic documentation and consistent processes let the researcher later verify or reproduce their own earlier results, matching inputs to outputs through the recorded transformation steps; (4) it is explicitly stated to be the *prerequisite* for any downstream Data Analysis, particularly ML, which requires vast, well-documented data amounts — meaning that neglecting RDM early in a project directly undermines the researcher's own later ability to apply the analytics methods taught in the rest of this course.</w:t>
      </w:r>
    </w:p>
    <w:p>
      <w:pPr>
        <w:spacing w:after="140"/>
        <w:jc w:val="both"/>
      </w:pPr>
      <w:r>
        <w:t xml:space="preserve">Only after these self-serving benefits are established does the lecture proceed to the collaborative/institutional/political motivations (funder mandates such as DFG guidelines, FAIR principles for external reuse, and Open Science publication requirements), positioning good personal RDM habits as a necessary foundation rather than an optional extra chore performed only for others.</w:t>
      </w:r>
    </w:p>
    <w:p>
      <w:r>
        <w:br w:type="page"/>
      </w:r>
    </w:p>
    <w:p>
      <w:pPr>
        <w:spacing w:after="40"/>
      </w:pPr>
      <w:r>
        <w:rPr>
          <w:b/>
          <w:bCs/>
          <w:color w:val="2E74B5"/>
          <w:sz w:val="22"/>
          <w:szCs w:val="22"/>
        </w:rPr>
        <w:t xml:space="preserve">LECTURE 4</w:t>
      </w:r>
    </w:p>
    <w:p>
      <w:pPr>
        <w:pStyle w:val="Heading1"/>
        <w:spacing w:after="120" w:before="240"/>
      </w:pPr>
      <w:r>
        <w:t xml:space="preserve">Machine Learning I — Unsupervised Learning, Similarity &amp; Clustering</w:t>
      </w:r>
    </w:p>
    <w:p>
      <w:pPr>
        <w:pStyle w:val="Heading2"/>
        <w:spacing w:after="120" w:before="240"/>
      </w:pPr>
      <w:r>
        <w:t xml:space="preserve">1. Overview</w:t>
      </w:r>
    </w:p>
    <w:p>
      <w:pPr>
        <w:spacing w:after="140"/>
        <w:jc w:val="both"/>
      </w:pPr>
      <w:r>
        <w:t xml:space="preserve">This lecture (Jana Klimpke) opens the Machine Learning block by classifying ML into Supervised, Unsupervised, Semi-Supervised, and Reinforcement Learning, then focuses on the mathematical foundation shared by almost all unsupervised methods: how to quantify similarity/distance between data objects.</w:t>
      </w:r>
    </w:p>
    <w:p>
      <w:pPr>
        <w:spacing w:after="140"/>
        <w:jc w:val="both"/>
      </w:pPr>
      <w:r>
        <w:t xml:space="preserve">The bulk of the lecture is devoted to Clustering — grouping unlabeled data into internally-cohesive, externally-separated groups — surveyed via its four major algorithmic families: Partitioning (k-means/k-medoids), Hierarchical (AGNES/DIANA), Density-based (DBSCAN), and Grid-based approaches, plus methods for assessing cluster quality without ground truth.</w:t>
      </w:r>
    </w:p>
    <w:p>
      <w:pPr>
        <w:spacing w:after="140"/>
        <w:jc w:val="both"/>
      </w:pPr>
      <w:r>
        <w:t xml:space="preserve">A recurring theme is the 'Curse of Dimensionality': intuitions from 2-D/3-D clustering break down in high-dimensional spaces, where almost all pairwise distances become similar and almost all vectors become nearly orthogonal.</w:t>
      </w:r>
    </w:p>
    <w:p>
      <w:pPr>
        <w:pStyle w:val="Heading2"/>
        <w:spacing w:after="120" w:before="240"/>
      </w:pPr>
      <w:r>
        <w:t xml:space="preserve">2. Key Concepts &amp; Definitions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80"/>
              <w:left w:type="dxa" w:w="120"/>
              <w:bottom w:type="dxa" w:w="80"/>
              <w:right w:type="dxa" w:w="120"/>
            </w:tcMar>
            <w:vAlign w:val="center"/>
          </w:tcPr>
          <w:p>
            <w:r>
              <w:rPr>
                <w:b/>
                <w:bCs/>
                <w:color w:val="FFFFFF"/>
                <w:sz w:val="20"/>
                <w:szCs w:val="20"/>
              </w:rPr>
              <w:t xml:space="preserve">Term / Concept</w:t>
            </w:r>
          </w:p>
        </w:tc>
        <w:tc>
          <w:tcPr>
            <w:tcW w:type="dxa" w:w="7000"/>
            <w:shd w:fill="1F3864" w:color="auto" w:val="clear"/>
            <w:tcMar>
              <w:top w:type="dxa" w:w="80"/>
              <w:left w:type="dxa" w:w="120"/>
              <w:bottom w:type="dxa" w:w="80"/>
              <w:right w:type="dxa" w:w="120"/>
            </w:tcMar>
            <w:vAlign w:val="center"/>
          </w:tcPr>
          <w:p>
            <w:r>
              <w:rPr>
                <w:b/>
                <w:bCs/>
                <w:color w:val="FFFFFF"/>
                <w:sz w:val="20"/>
                <w:szCs w:val="20"/>
              </w:rPr>
              <w:t xml:space="preserve">Definition / Explanation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Types of ML</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Supervised (labeled data, predictive, 'what could happen?'), Unsupervised (unlabeled data, descriptive/exploratory, 'what has happened?'), Semi-supervised (mix of labeled + unlabeled), Reinforcement (learning via reward/punishment signals, e.g. a baby learning to walk).</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Similarity vs. Distance/Dissimilarity</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Similarity: higher when objects more alike, typically in [0,1]. Dissimilarity/Distance: lower when objects more alike, minimum usually 0, no fixed upper bound. Poor choice of distance function can be 'disastrously misleading' depending on domain (Aggarwal).</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Minkowski (Lp) Distances</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L1 = Manhattan (sum of absolute coordinate differences), L2 = Euclidean (square root of sum of squared differences), L∞ = Chebyshev/Maximum norm (largest single-coordinate difference). Each yields materially different distance matrices for the same points.</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Categorical Similarity</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Simplest measure: S(xi,yi)=1 if equal else 0, summed over attributes; refined via Inverse Occurrence Frequency, which weights rarer shared values more heavily than common ones.</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Cosine Similarity (Text)</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Computes the angle between two document vectors (raw term-frequency vectors); insensitive to document length, widely used in information retrieval.</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Edit Distance / LCSS (Sequences)</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Edit (Levenshtein) Distance: minimal-cost sequence of insert/delete/replace operations to transform one string into another. Longest Common Subsequence: length of the longest subsequence common to both (computable in polynomial time).</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Dynamic Time Warping (DTW)</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For time series: stretches/repeats elements along the time axis so that two series of possibly different lengths/speeds/phases become comparable via any standard distance measure afterward.</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Curse of Dimensionality</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In high-dimensional spaces (n≪d), the 'center' becomes almost empty, points scatter toward corners/boundaries, almost all pairs of points are approximately equidistant, and almost any two vectors are nearly orthogonal — undermining distance-based methods designed with low-dimensional intuition.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k-Means Algorithm</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Partitioning method: initialize k centroids (arbitrary/random), repeat {assign each point to its nearest centroid; recompute each centroid as the mean of its assigned points} until convergence (no reassignment). Minimizes sum of squared distances (SSE) to centroids. Sensitive to outliers (mean is pulled by extreme values).</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k-Medoids (PAM)</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Like k-means but each cluster is represented by an actual, centrally-located data point (the medoid) rather than an abstract mean — far more robust to outliers, at higher computational cost.</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Hierarchical Clustering</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Builds a nested tree (dendrogram) of clusters; no need to pre-specify k, but needs a termination/cut condition. AGNES (agglomerative, bottom-up merging) vs DIANA (divisive, top-down splitting). Cluster-to-cluster distance defined via Single Linkage (min pairwise distance), Complete Linkage (max pairwise distance), or Average Linkage (mean pairwise distance).</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DBSCAN (Density-based)</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Parameters ε (neighbourhood radius) and minPts (minimum neighbours to be 'dense'). Classifies every point as Core (≥minPts neighbours within ε), Border (within ε of a core point but not itself dense), or Noise (neither). Naturally finds arbitrarily-shaped clusters and explicit outliers, unlike k-means which assumes convex/spherical clusters and forces every point into some cluster.</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Cluster Assessment</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Without ground truth: Hopkins Statistic (tests spatial randomness, i.e. whether any cluster structure exists at all), Elbow Method (plot SSE vs. k, look for the 'elbow'), Silhouette Coefficient (per-point balance of intra-cluster compactness a(i) vs. nearest-cluster separation b(i)). With ground truth: Purity, Jaccard Index, F-score/Confusion Matrix.</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Big-Data Clustering Aspects</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Because clustering (e.g. k-means) can be NP-hard / iteratively expensive, scaling strategies include reducing iteration count, reducing data-point access (randomized sampling), and distributing/parallelizing the computation across machines.</w:t>
            </w:r>
          </w:p>
        </w:tc>
      </w:tr>
    </w:tbl>
    <w:p>
      <w:pPr>
        <w:spacing w:after="160"/>
      </w:pPr>
    </w:p>
    <w:p>
      <w:pPr>
        <w:pStyle w:val="Heading2"/>
        <w:spacing w:after="120" w:before="240"/>
      </w:pPr>
      <w:r>
        <w:t xml:space="preserve">3. Diagrams &amp; Visual Flowcharts</w:t>
      </w:r>
    </w:p>
    <w:p>
      <w:pPr>
        <w:spacing w:after="120" w:before="200"/>
      </w:pPr>
      <w:r>
        <w:rPr>
          <w:b/>
          <w:bCs/>
          <w:i/>
          <w:iCs/>
          <w:color w:val="1F3864"/>
          <w:sz w:val="22"/>
          <w:szCs w:val="22"/>
        </w:rPr>
        <w:t xml:space="preserve">Figure 4.1 — Taxonomy of Machine Learning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Machine Learning</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 Supervised (labeled): Classification (discrete) / Regression (continuous)</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 Unsupervised (unlabeled): Clustering / Dimensionality Reduction</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 Semi-supervised (mixed)</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5</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 Reinforcement (reward-driven)</w:t>
            </w:r>
          </w:p>
        </w:tc>
      </w:tr>
    </w:tbl>
    <w:p>
      <w:pPr>
        <w:spacing w:after="200" w:before="100"/>
      </w:pPr>
      <w:r>
        <w:rPr>
          <w:i/>
          <w:iCs/>
          <w:color w:val="555555"/>
          <w:sz w:val="19"/>
          <w:szCs w:val="19"/>
        </w:rPr>
        <w:t xml:space="preserve">↳ Supervised further splits by target type (discrete → Classification: Decision Trees, Naïve Bayes, SVM, ANN; continuous → Regression: Linear/Logistic Regression, ANN). Unsupervised splits into Clustering (Partitioning, Hierarchical) and Dimensionality Reduction (PCA).</w:t>
      </w:r>
    </w:p>
    <w:p>
      <w:pPr>
        <w:spacing w:after="120" w:before="200"/>
      </w:pPr>
      <w:r>
        <w:rPr>
          <w:b/>
          <w:bCs/>
          <w:i/>
          <w:iCs/>
          <w:color w:val="1F3864"/>
          <w:sz w:val="22"/>
          <w:szCs w:val="22"/>
        </w:rPr>
        <w:t xml:space="preserve">Figure 4.2 — k-Means Iteration Cycle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Initialize: pick k random centroids</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Assign each point to nearest centroid</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Recompute centroid = mean of assigned points</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Converged? (no reassignment) — if NO, loop back to Assign</w:t>
            </w:r>
          </w:p>
        </w:tc>
      </w:tr>
    </w:tbl>
    <w:p>
      <w:pPr>
        <w:spacing w:after="200" w:before="100"/>
      </w:pPr>
      <w:r>
        <w:rPr>
          <w:i/>
          <w:iCs/>
          <w:color w:val="555555"/>
          <w:sz w:val="19"/>
          <w:szCs w:val="19"/>
        </w:rPr>
        <w:t xml:space="preserve">↳ Classic Lloyd's algorithm; guaranteed to converge to a local optimum of the sum-of-squared-errors objective, not necessarily the global optimum — hence multiple random restarts are common in practice.</w:t>
      </w:r>
    </w:p>
    <w:p>
      <w:pPr>
        <w:spacing w:after="120" w:before="200"/>
      </w:pPr>
      <w:r>
        <w:rPr>
          <w:b/>
          <w:bCs/>
          <w:i/>
          <w:iCs/>
          <w:color w:val="1F3864"/>
          <w:sz w:val="22"/>
          <w:szCs w:val="22"/>
        </w:rPr>
        <w:t xml:space="preserve">Figure 4.3 — DBSCAN Point Classification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Core point: ≥ minPts within radius ε</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Border point: within ε of a core point, but itself has &lt; minPts neighbours</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Noise point: neither core nor border → labeled as outlier</w:t>
            </w:r>
          </w:p>
        </w:tc>
      </w:tr>
    </w:tbl>
    <w:p>
      <w:pPr>
        <w:spacing w:after="200" w:before="100"/>
      </w:pPr>
      <w:r>
        <w:rPr>
          <w:i/>
          <w:iCs/>
          <w:color w:val="555555"/>
          <w:sz w:val="19"/>
          <w:szCs w:val="19"/>
        </w:rPr>
        <w:t xml:space="preserve">↳ Because DBSCAN explicitly models 'noise', it handles non-convex cluster shapes and outliers far better than centroid-based k-means, at the cost of sensitivity to the choice of ε and minPts.</w:t>
      </w:r>
    </w:p>
    <w:p>
      <w:pPr>
        <w:pStyle w:val="Heading2"/>
        <w:spacing w:after="120" w:before="240"/>
      </w:pPr>
      <w:r>
        <w:t xml:space="preserve">4. Formula Sheet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2400"/>
            <w:shd w:fill="2E74B5" w:color="auto" w:val="clear"/>
            <w:tcMar>
              <w:top w:type="dxa" w:w="80"/>
              <w:left w:type="dxa" w:w="120"/>
              <w:bottom w:type="dxa" w:w="80"/>
              <w:right w:type="dxa" w:w="120"/>
            </w:tcMar>
            <w:vAlign w:val="center"/>
          </w:tcPr>
          <w:p>
            <w:r>
              <w:rPr>
                <w:b/>
                <w:bCs/>
                <w:color w:val="FFFFFF"/>
                <w:sz w:val="20"/>
                <w:szCs w:val="20"/>
              </w:rPr>
              <w:t xml:space="preserve">Name</w:t>
            </w:r>
          </w:p>
        </w:tc>
        <w:tc>
          <w:tcPr>
            <w:tcW w:type="dxa" w:w="3200"/>
            <w:shd w:fill="2E74B5" w:color="auto" w:val="clear"/>
            <w:tcMar>
              <w:top w:type="dxa" w:w="80"/>
              <w:left w:type="dxa" w:w="120"/>
              <w:bottom w:type="dxa" w:w="80"/>
              <w:right w:type="dxa" w:w="120"/>
            </w:tcMar>
            <w:vAlign w:val="center"/>
          </w:tcPr>
          <w:p>
            <w:r>
              <w:rPr>
                <w:b/>
                <w:bCs/>
                <w:color w:val="FFFFFF"/>
                <w:sz w:val="20"/>
                <w:szCs w:val="20"/>
              </w:rPr>
              <w:t xml:space="preserve">Formula</w:t>
            </w:r>
          </w:p>
        </w:tc>
        <w:tc>
          <w:tcPr>
            <w:tcW w:type="dxa" w:w="4000"/>
            <w:shd w:fill="2E74B5" w:color="auto" w:val="clear"/>
            <w:tcMar>
              <w:top w:type="dxa" w:w="80"/>
              <w:left w:type="dxa" w:w="120"/>
              <w:bottom w:type="dxa" w:w="80"/>
              <w:right w:type="dxa" w:w="120"/>
            </w:tcMar>
            <w:vAlign w:val="center"/>
          </w:tcPr>
          <w:p>
            <w:r>
              <w:rPr>
                <w:b/>
                <w:bCs/>
                <w:color w:val="FFFFFF"/>
                <w:sz w:val="20"/>
                <w:szCs w:val="20"/>
              </w:rPr>
              <w:t xml:space="preserve">Meaning / Use</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Manhattan (L1) distance</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d(x,y) = Σ|xi − yi|</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Sum of absolute per-dimension differences; robust to outliers relative to L2.</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Euclidean (L2) distance</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d(x,y) = √(Σ(xi − yi)²)</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Standard straight-line distance; most common default metric.</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Chebyshev (L∞) distance</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d(x,y) = max_i |xi − yi|</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Distance dominated by the single largest coordinate difference.</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Silhouette Coefficient</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sc(i) = (b_i − a_i) / max(a_i, b_i)</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a_i = mean intra-cluster distance (compactness); b_i = mean distance to nearest other cluster (separation); range [-1,1], higher is better.</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Explained-variance elbow (k-Means)</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SSE(k) = Σ_clusters Σ_points ||x − centroid||²</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Plotted against k; the 'elbow' (sharp bend) suggests a good trade-off k, though the choice remains subjective.</w:t>
            </w:r>
          </w:p>
        </w:tc>
      </w:tr>
    </w:tbl>
    <w:p>
      <w:pPr>
        <w:spacing w:after="160"/>
      </w:pPr>
    </w:p>
    <w:p>
      <w:pPr>
        <w:pStyle w:val="Heading2"/>
        <w:spacing w:after="120" w:before="240"/>
      </w:pPr>
      <w:r>
        <w:t xml:space="preserve">5. Exam-Style Questions &amp; Detailed Answers</w:t>
      </w:r>
    </w:p>
    <w:p>
      <w:pPr>
        <w:shd w:fill="DCE6F1" w:color="auto" w:val="clear"/>
        <w:spacing w:after="100" w:before="200"/>
      </w:pPr>
      <w:r>
        <w:rPr>
          <w:b/>
          <w:bCs/>
          <w:color w:val="1F3864"/>
          <w:sz w:val="22"/>
          <w:szCs w:val="22"/>
        </w:rPr>
        <w:t xml:space="preserve">Q1. Contrast Supervised and Unsupervised Learning along four dimensions: input data, guiding question, goal, and a concrete example from the Iris dataset.</w:t>
      </w:r>
    </w:p>
    <w:p>
      <w:pPr>
        <w:spacing w:after="140"/>
        <w:jc w:val="both"/>
      </w:pPr>
      <w:r>
        <w:rPr>
          <w:b/>
          <w:bCs/>
        </w:rPr>
        <w:t xml:space="preserve">Input data</w:t>
      </w:r>
      <w:r>
        <w:t xml:space="preserve">: Supervised learning requires a *labeled* training set D = {(x_j, y_j)}_{j=1}^N of input–output pairs, where y_j is a known target (class label or continuous response). Unsupervised learning uses only *unlabeled* inputs D = {x_j}_{j=1}^N, with no target variable available at all.</w:t>
      </w:r>
    </w:p>
    <w:p>
      <w:pPr>
        <w:spacing w:after="140"/>
        <w:jc w:val="both"/>
      </w:pPr>
      <w:r>
        <w:rPr>
          <w:b/>
          <w:bCs/>
        </w:rPr>
        <w:t xml:space="preserve">Guiding question</w:t>
      </w:r>
      <w:r>
        <w:t xml:space="preserve">: Supervised learning is described informally as answering 'What could happen?' — it is predictive/forecasting-oriented. Unsupervised learning answers 'What has happened?' — it is descriptive/exploratory, aiming to characterize the *existing* structure of the data rather than to forecast unseen labels.</w:t>
      </w:r>
    </w:p>
    <w:p>
      <w:pPr>
        <w:spacing w:after="140"/>
        <w:jc w:val="both"/>
      </w:pPr>
      <w:r>
        <w:rPr>
          <w:b/>
          <w:bCs/>
        </w:rPr>
        <w:t xml:space="preserve">Goal (formal)</w:t>
      </w:r>
      <w:r>
        <w:t xml:space="preserve">: Supervised learning seeks a mapping f: x → y that generalizes to new, unseen (x,y) pairs — probabilistically, fitting a *conditional* model p(y|x). Unsupervised learning seeks to discover interesting patterns/groupings among the x_j themselves — probabilistically, fitting an *unconditional* generative model p(x) capable of describing (or even generating new samples resembling) the data, without reference to any label.</w:t>
      </w:r>
    </w:p>
    <w:p>
      <w:pPr>
        <w:spacing w:after="140"/>
        <w:jc w:val="both"/>
      </w:pPr>
      <w:r>
        <w:rPr>
          <w:b/>
          <w:bCs/>
        </w:rPr>
        <w:t xml:space="preserve">Iris example</w:t>
      </w:r>
      <w:r>
        <w:t xml:space="preserve">: In the *supervised* framing, each of the 150 Iris flowers has a known species label (setosa/versicolor/virginica) alongside its four measurements (sepal/petal length &amp; width), and the task is to learn a classifier that predicts species for a *new, unlabeled* flower. In the *unsupervised* framing, the species labels are hidden/ignored entirely, and clustering algorithms (e.g. k-means with k=3) are applied purely to the four numeric measurements to discover natural groupings — the resulting clusters have no inherent semantic meaning (the algorithm does not know it has found 'species') until a human interprets them, and cluster quality can then optionally be checked against the true species labels as an external validation, even though those labels were never used for training.</w:t>
      </w:r>
    </w:p>
    <w:p>
      <w:pPr>
        <w:shd w:fill="DCE6F1" w:color="auto" w:val="clear"/>
        <w:spacing w:after="100" w:before="200"/>
      </w:pPr>
      <w:r>
        <w:rPr>
          <w:b/>
          <w:bCs/>
          <w:color w:val="1F3864"/>
          <w:sz w:val="22"/>
          <w:szCs w:val="22"/>
        </w:rPr>
        <w:t xml:space="preserve">Q2. Explain why 'poor choices of the distance function can sometimes be disastrously misleading' using the alphabet-color example from the lecture, and generalize the lesson to feature scaling.</w:t>
      </w:r>
    </w:p>
    <w:p>
      <w:pPr>
        <w:spacing w:after="140"/>
        <w:jc w:val="both"/>
      </w:pPr>
      <w:r>
        <w:t xml:space="preserve">The lecture poses the question 'What's more similar — green and blue, or green and red?' and answers 'green and blue', justified visually by their proximity on the visible-light spectrum/color wheel — yet if one instead measured 'distance' by alphabetical position of the color names (blue, green, red), a naive string-position-based distance function would give an entirely different (and semantically meaningless) answer, since 'green' and 'red' happen to be alphabetically closer to each other in English than a spectral notion would suggest.</w:t>
      </w:r>
    </w:p>
    <w:p>
      <w:pPr>
        <w:spacing w:after="140"/>
        <w:jc w:val="both"/>
      </w:pPr>
      <w:r>
        <w:t xml:space="preserve">The general lesson (attributed to Aggarwal's Data Mining textbook) is that the *choice of representation and distance/similarity function must match the semantics of the application domain* — a distance function that is mathematically well-defined can still be practically meaningless or misleading if it does not encode the notion of similarity that actually matters for the task (e.g., perceptual/spectral similarity of colors vs. arbitrary lexical ordering of their names).</w:t>
      </w:r>
    </w:p>
    <w:p>
      <w:pPr>
        <w:spacing w:after="140"/>
        <w:jc w:val="both"/>
      </w:pPr>
      <w:r>
        <w:t xml:space="preserve">This generalizes directly to </w:t>
      </w:r>
      <w:r>
        <w:rPr>
          <w:b/>
          <w:bCs/>
        </w:rPr>
        <w:t xml:space="preserve">feature scaling</w:t>
      </w:r>
      <w:r>
        <w:t xml:space="preserve"> in multidimensional numeric data: if one feature is measured in kilometers (range 0–500) and another in millimeters (range 0–500,000), a raw Euclidean distance will be almost entirely dominated by the millimeter feature purely due to unit choice, not because it is actually more discriminative — an entirely analogous 'disastrously misleading' distance judgement caused by an unconsidered representation choice. This is precisely why the Data Preprocessing lecture's Standardization/Z-score transform (z = (x−μ)/σ) is a near-mandatory preprocessing step before applying any distance-based unsupervised method (k-means, DBSCAN, hierarchical clustering with Euclidean linkage): it removes the arbitrary influence of measurement units so that the resulting distance function actually reflects application-relevant (dis)similarity.</w:t>
      </w:r>
    </w:p>
    <w:p>
      <w:pPr>
        <w:shd w:fill="DCE6F1" w:color="auto" w:val="clear"/>
        <w:spacing w:after="100" w:before="200"/>
      </w:pPr>
      <w:r>
        <w:rPr>
          <w:b/>
          <w:bCs/>
          <w:color w:val="1F3864"/>
          <w:sz w:val="22"/>
          <w:szCs w:val="22"/>
        </w:rPr>
        <w:t xml:space="preserve">Q3. Walk through the k-means algorithm step by step and explain two concrete weaknesses, along with the alternative method that addresses each.</w:t>
      </w:r>
    </w:p>
    <w:p>
      <w:pPr>
        <w:spacing w:after="140"/>
        <w:jc w:val="both"/>
      </w:pPr>
      <w:r>
        <w:rPr>
          <w:b/>
          <w:bCs/>
        </w:rPr>
        <w:t xml:space="preserve">Algorithm</w:t>
      </w:r>
      <w:r>
        <w:t xml:space="preserve">: (1) Choose k and initialize k centroids, typically by randomly selecting k data points or random locations. (2) *Assignment step*: assign every data point to the cluster of its nearest centroid (using, typically, Euclidean distance). (3) *Update step*: recompute each centroid as the arithmetic mean of all points currently assigned to it. (4) Repeat steps 2–3 until no point changes cluster membership (or a maximum iteration count/convergence tolerance is reached). The objective being (approximately, heuristically) minimized is the total within-cluster sum of squared distances (SSE).</w:t>
      </w:r>
    </w:p>
    <w:p>
      <w:pPr>
        <w:spacing w:after="140"/>
        <w:jc w:val="both"/>
      </w:pPr>
      <w:r>
        <w:rPr>
          <w:b/>
          <w:bCs/>
        </w:rPr>
        <w:t xml:space="preserve">Weakness 1 — sensitivity to outliers</w:t>
      </w:r>
      <w:r>
        <w:t xml:space="preserve">: because the centroid is an arithmetic *mean*, a single data point with an extremely large or small value can substantially shift the centroid away from the 'true' bulk of its cluster, distorting the partition for every other point assigned to that cluster. </w:t>
      </w:r>
      <w:r>
        <w:rPr>
          <w:b/>
          <w:bCs/>
        </w:rPr>
        <w:t xml:space="preserve">Remedy</w:t>
      </w:r>
      <w:r>
        <w:t xml:space="preserve">: k-medoids (PAM), which represents each cluster by the most centrally-located *actual data point* (the medoid, minimizing total distance to all cluster members) rather than an abstract mean, making the representative point immune to being pulled by a single extreme outlier (since it must be an existing, typical member of the data).</w:t>
      </w:r>
    </w:p>
    <w:p>
      <w:pPr>
        <w:spacing w:after="140"/>
        <w:jc w:val="both"/>
      </w:pPr>
      <w:r>
        <w:rPr>
          <w:b/>
          <w:bCs/>
        </w:rPr>
        <w:t xml:space="preserve">Weakness 2 — inability to find non-convex/arbitrarily-shaped clusters and inability to model noise</w:t>
      </w:r>
      <w:r>
        <w:t xml:space="preserve">: k-means implicitly assumes roughly spherical, similarly-sized clusters (because it partitions space via nearest-centroid Voronoi regions) and forces *every* point into some cluster, even genuine outliers/noise. </w:t>
      </w:r>
      <w:r>
        <w:rPr>
          <w:b/>
          <w:bCs/>
        </w:rPr>
        <w:t xml:space="preserve">Remedy</w:t>
      </w:r>
      <w:r>
        <w:t xml:space="preserve">: DBSCAN (density-based clustering), which defines clusters via connected regions of sufficient point density (parameters ε and minPts) rather than proximity to a single centroid, so it naturally discovers non-convex/elongated cluster shapes and explicitly labels sparse points as 'Noise' rather than force-assigning them, as directly contrasted in the lecture's 'DBSCAN vs. K-Means' comparison slide.</w:t>
      </w:r>
    </w:p>
    <w:p>
      <w:pPr>
        <w:spacing w:after="140"/>
        <w:jc w:val="both"/>
      </w:pPr>
      <w:r>
        <w:t xml:space="preserve">A third, related but separate limitation is that k requires a-priori specification; </w:t>
      </w:r>
      <w:r>
        <w:rPr>
          <w:b/>
          <w:bCs/>
        </w:rPr>
        <w:t xml:space="preserve">Hierarchical Clustering</w:t>
      </w:r>
      <w:r>
        <w:t xml:space="preserve"> (AGNES/DIANA) removes this requirement by building a full dendrogram, letting k be chosen afterward by cutting the tree at a desired height/number of clusters.</w:t>
      </w:r>
    </w:p>
    <w:p>
      <w:pPr>
        <w:shd w:fill="DCE6F1" w:color="auto" w:val="clear"/>
        <w:spacing w:after="100" w:before="200"/>
      </w:pPr>
      <w:r>
        <w:rPr>
          <w:b/>
          <w:bCs/>
          <w:color w:val="1F3864"/>
          <w:sz w:val="22"/>
          <w:szCs w:val="22"/>
        </w:rPr>
        <w:t xml:space="preserve">Q4. Define the Silhouette Coefficient formally, interpret its range, and explain how it is used to select the number of clusters k.</w:t>
      </w:r>
    </w:p>
    <w:p>
      <w:pPr>
        <w:spacing w:after="140"/>
        <w:jc w:val="both"/>
      </w:pPr>
      <w:r>
        <w:t xml:space="preserve">For a data point i, define a_i as the mean distance from i to all other points *within its own cluster* (a measure of compactness — lower is better/tighter), and b_i as the mean distance from i to all points in the *nearest other cluster* (a measure of separation — higher is better). The Silhouette Coefficient is then sc(i) = (b_i − a_i) / max(a_i, b_i), which lies in the range [−1, 1].</w:t>
      </w:r>
    </w:p>
    <w:p>
      <w:pPr>
        <w:spacing w:after="140"/>
        <w:jc w:val="both"/>
      </w:pPr>
      <w:r>
        <w:rPr>
          <w:b/>
          <w:bCs/>
        </w:rPr>
        <w:t xml:space="preserve">Interpretation</w:t>
      </w:r>
      <w:r>
        <w:t xml:space="preserve">: sc(i) ≈ 1 means point i is much closer, on average, to its own cluster than to the nearest neighbouring cluster — a well-clustered point. sc(i) ≈ 0 means the point lies roughly on the boundary between two clusters (ambiguous assignment). sc(i) ≈ −1 means the point is, on average, closer to a *different* cluster than to its own — a strong sign of misassignment. Averaging sc(i) over all points yields the overall Silhouette Score for a given clustering K.</w:t>
      </w:r>
    </w:p>
    <w:p>
      <w:pPr>
        <w:spacing w:after="140"/>
        <w:jc w:val="both"/>
      </w:pPr>
      <w:r>
        <w:rPr>
          <w:b/>
          <w:bCs/>
        </w:rPr>
        <w:t xml:space="preserve">Use for choosing k</w:t>
      </w:r>
      <w:r>
        <w:t xml:space="preserve">: compute the mean Silhouette Score for several candidate values of k (e.g. k=2,3,4,5,...), and select the k that *maximizes* the mean Silhouette Score, since this represents the best empirical balance between intra-cluster compactness and inter-cluster separation across the whole dataset. This is presented alongside the Elbow Method (plotting SSE against k and looking for a bend) as one of the two internal-validation techniques for determining k without any ground-truth labels; the lecture notes the Elbow Method is 'very subjective' precisely because the Silhouette Score gives a more quantitative, comparable criterion across candidate k values.</w:t>
      </w:r>
    </w:p>
    <w:p>
      <w:pPr>
        <w:shd w:fill="DCE6F1" w:color="auto" w:val="clear"/>
        <w:spacing w:after="100" w:before="200"/>
      </w:pPr>
      <w:r>
        <w:rPr>
          <w:b/>
          <w:bCs/>
          <w:color w:val="1F3864"/>
          <w:sz w:val="22"/>
          <w:szCs w:val="22"/>
        </w:rPr>
        <w:t xml:space="preserve">Q5. Explain the 'Curse of Dimensionality' and its implication for clustering algorithms that rely on distance thresholds (e.g., DBSCAN's ε).</w:t>
      </w:r>
    </w:p>
    <w:p>
      <w:pPr>
        <w:spacing w:after="140"/>
        <w:jc w:val="both"/>
      </w:pPr>
      <w:r>
        <w:t xml:space="preserve">The Curse of Dimensionality refers to a set of counter-intuitive geometric phenomena that emerge as the number of dimensions d grows large (especially when the number of available samples n is much smaller than d, i.e. n ≪ d, as occurs e.g. in genome analysis or spatial statistics with d ~ 10^6): the *center* of a high-dimensional unit hypercube/hypersphere becomes almost empty relative to its 'corners'/boundary, so data points tend to scatter toward the periphery; almost all pairs of points become approximately equidistant from one another (the *relative contrast* between the nearest and farthest neighbour distances shrinks toward zero); and almost any two randomly chosen vectors become nearly orthogonal to each other.</w:t>
      </w:r>
    </w:p>
    <w:p>
      <w:pPr>
        <w:spacing w:after="140"/>
        <w:jc w:val="both"/>
      </w:pPr>
      <w:r>
        <w:rPr>
          <w:b/>
          <w:bCs/>
        </w:rPr>
        <w:t xml:space="preserve">Implication for distance-threshold clustering (DBSCAN)</w:t>
      </w:r>
      <w:r>
        <w:t xml:space="preserve">: DBSCAN's entire notion of a cluster depends on being able to meaningfully distinguish 'dense' neighbourhoods (many points within radius ε) from 'sparse' regions. If, in high dimensions, essentially *all* pairwise distances converge to a similar magnitude (because of the curse of dimensionality), then there is no longer a clear gap between 'nearby' and 'far' points — any single global ε threshold will either classify almost everything as one giant connected cluster (ε too large relative to the collapsed distance scale) or almost everything as noise (ε too small), making DBSCAN's core parameter effectively impossible to tune meaningfully. The same problem afflicts k-means/hierarchical clustering with Euclidean distance, since the notion of 'nearest centroid' or 'nearest neighbouring cluster' similarly loses discriminative power.</w:t>
      </w:r>
    </w:p>
    <w:p>
      <w:pPr>
        <w:spacing w:after="140"/>
        <w:jc w:val="both"/>
      </w:pPr>
      <w:r>
        <w:rPr>
          <w:b/>
          <w:bCs/>
        </w:rPr>
        <w:t xml:space="preserve">Practical mitigation</w:t>
      </w:r>
      <w:r>
        <w:t xml:space="preserve"> (bridging back to the Data Preprocessing / Dimension-Reduction lectures): apply a dimensionality-reduction technique (PCA, or nonlinear alternatives like t-SNE/autoencoders, covered in the Machine-Learning-III lecture) *before* clustering, so that the actual clustering algorithm operates in a lower-dimensional space (e.g. the first q principal components explaining ~90–95% of variance) where distance-based notions of density/proximity remain meaningful — one of the several concrete reasons for dimension reduction (alongside visualization, noise reduction, computational efficiency) explicitly listed elsewhere in the course.</w:t>
      </w:r>
    </w:p>
    <w:p>
      <w:r>
        <w:br w:type="page"/>
      </w:r>
    </w:p>
    <w:p>
      <w:pPr>
        <w:spacing w:after="40"/>
      </w:pPr>
      <w:r>
        <w:rPr>
          <w:b/>
          <w:bCs/>
          <w:color w:val="2E74B5"/>
          <w:sz w:val="22"/>
          <w:szCs w:val="22"/>
        </w:rPr>
        <w:t xml:space="preserve">LECTURE 5</w:t>
      </w:r>
    </w:p>
    <w:p>
      <w:pPr>
        <w:pStyle w:val="Heading1"/>
        <w:spacing w:after="120" w:before="240"/>
      </w:pPr>
      <w:r>
        <w:t xml:space="preserve">Machine Learning II — Supervised Learning: Training, Decision Trees, Naïve Bayes, Model Evaluation</w:t>
      </w:r>
    </w:p>
    <w:p>
      <w:pPr>
        <w:pStyle w:val="Heading2"/>
        <w:spacing w:after="120" w:before="240"/>
      </w:pPr>
      <w:r>
        <w:t xml:space="preserve">1. Overview</w:t>
      </w:r>
    </w:p>
    <w:p>
      <w:pPr>
        <w:spacing w:after="140"/>
        <w:jc w:val="both"/>
      </w:pPr>
      <w:r>
        <w:t xml:space="preserve">This lecture builds the complete supervised-learning workflow: formal problem setup (features/labels), the train/validation/test split discipline, overfitting and generalization, and cross-validation, before covering two concrete classification algorithms in depth — Decision Trees (ID3, entropy/information gain) and the Naïve Bayes Classifier (Bayes' theorem, conditional independence assumption, Laplacian correction).</w:t>
      </w:r>
    </w:p>
    <w:p>
      <w:pPr>
        <w:spacing w:after="140"/>
        <w:jc w:val="both"/>
      </w:pPr>
      <w:r>
        <w:t xml:space="preserve">The final third of the lecture is a rigorous treatment of Model Evaluation metrics — Confusion Matrix, Accuracy/Error rate, Sensitivity/Specificity, Precision/Recall/F-measure, ROC curves — and estimation methodologies (Holdout, Cross-Validation, Bootstrap/.632 method).</w:t>
      </w:r>
    </w:p>
    <w:p>
      <w:pPr>
        <w:spacing w:after="140"/>
        <w:jc w:val="both"/>
      </w:pPr>
      <w:r>
        <w:t xml:space="preserve">A running spam-filter and 'buys_computer' dataset motivate every formula with concrete worked numeric examples, matching the exam's expected computational style.</w:t>
      </w:r>
    </w:p>
    <w:p>
      <w:pPr>
        <w:pStyle w:val="Heading2"/>
        <w:spacing w:after="120" w:before="240"/>
      </w:pPr>
      <w:r>
        <w:t xml:space="preserve">2. Key Concepts &amp; Definitions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80"/>
              <w:left w:type="dxa" w:w="120"/>
              <w:bottom w:type="dxa" w:w="80"/>
              <w:right w:type="dxa" w:w="120"/>
            </w:tcMar>
            <w:vAlign w:val="center"/>
          </w:tcPr>
          <w:p>
            <w:r>
              <w:rPr>
                <w:b/>
                <w:bCs/>
                <w:color w:val="FFFFFF"/>
                <w:sz w:val="20"/>
                <w:szCs w:val="20"/>
              </w:rPr>
              <w:t xml:space="preserve">Term / Concept</w:t>
            </w:r>
          </w:p>
        </w:tc>
        <w:tc>
          <w:tcPr>
            <w:tcW w:type="dxa" w:w="7000"/>
            <w:shd w:fill="1F3864" w:color="auto" w:val="clear"/>
            <w:tcMar>
              <w:top w:type="dxa" w:w="80"/>
              <w:left w:type="dxa" w:w="120"/>
              <w:bottom w:type="dxa" w:w="80"/>
              <w:right w:type="dxa" w:w="120"/>
            </w:tcMar>
            <w:vAlign w:val="center"/>
          </w:tcPr>
          <w:p>
            <w:r>
              <w:rPr>
                <w:b/>
                <w:bCs/>
                <w:color w:val="FFFFFF"/>
                <w:sz w:val="20"/>
                <w:szCs w:val="20"/>
              </w:rPr>
              <w:t xml:space="preserve">Definition / Explanation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Training/Validation/Test Split</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TrainingData = (X,Y) split into 3 non-overlapping, independent sets: Learning/Training set L (for model fitting, exploration, trying models), Validation set V (for model selection/comparison), Test set T (for final, unbiased performance assessment of the *completed* model). Golden rule: 'Never test your model on the same data it was trained on.'</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Overfitting</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A model f(x) that predicts the training labels y∈Y very well but fails to predict new y′∈Y_new — i.e. it has memorized noise/idiosyncrasies of the training set rather than learning the true generalizable pattern. The central goal of supervised learning is generalization, not training-set accuracy.</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k-fold Cross-Validation</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Refinement of a single train/validation split: partition data into k folds (commonly k=10); iteratively hold out 1 fold for validation and train on the remaining k−1; repeat k times and average performance — reduces variance of the performance estimate compared to a single holdout split.</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Decision Tree (ID3 Algorithm)</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Top-down, greedy induction: at each node, choose the 'best' feature (highest Information Gain) to split on; create one child branch per value of that feature; recurse on each child using the remaining data; stop when a node's data is perfectly classified (pure) or no features remain.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Entropy H(X)</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Measures the impurity/uncertainty of a set of examples with respect to class labels; H=0 for a perfectly pure set (all one class), maximal (e.g. 1 bit for 2 balanced classes) when classes are maximally mixed.</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Information Gain IG(X,A)</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Expected reduction in entropy achieved by partitioning the current set X according to feature A; ID3 always splits on the attribute with the highest IG at each node.</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Random Forest</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Ensemble of many decision trees, each trained on a randomly-sampled subset of training data and a randomly-sampled subset of features (bagging + feature subsampling); reduces overfitting/variance relative to a single tree, handles noisy/missing/irrelevant features well, and trees can be trained in parallel.</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Naïve Bayes Classifier</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Applies Bayes' Theorem P(H|X)=P(X|H)P(H)/P(X) to classification, assuming (naïvely) that all features are conditionally independent given the class: P(X|C_i)=Π_k P(x_k|C_i). Prediction rule: assign X to the class C_i maximizing P(X|C_i)·P(C_i) (since P(X) is constant across classes).</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Laplacian Correction</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Add 1 to every count (and adjust the denominator accordingly) when estimating conditional probabilities, to avoid a single zero-count category forcing the entire product P(X|C_i) to zero — 'zero-probability problem'.</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Confusion Matrix</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2×2 (or m×m) table cross-tabulating Actual class vs Predicted class: True Positives (TP), False Negatives (FN), False Positives (FP), True Negatives (TN) — the basis of virtually every other classification metric.</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Accuracy / Error rate</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Accuracy=(TP+TN)/All; Error rate=1−Accuracy=(FP+FN)/All. Misleading under class imbalance (a classifier predicting the majority class always can have high accuracy yet be useless).</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Sensitivity (Recall) / Specificity</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Sensitivity=TP/P (true positive rate, of interest especially for rare/critical classes like fraud/cancer); Specificity=TN/N (true negative rate).</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Precision / Recall / F-measure</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Precision=TP/(TP+FP) ('exactness' — of predicted positives, what fraction is truly positive); Recall=TP/(TP+FN) ('completeness' — of true positives, what fraction was found); F_β weights recall β times as heavily as precision; F1 is their harmonic mean (β=1).</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ROC Curve</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Plots True Positive Rate (y-axis) vs False Positive Rate (x-axis) across all classification thresholds; diagonal = random guessing; Area Under Curve (AUC) close to 1.0 = excellent discrimination, close to 0.5 = no better than chance.</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Bootstrap / .632 method</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Sample d tuples with replacement from a dataset of size d to form the training set; on average ≈63.2% of original tuples appear at least once (since (1−1/d)^d → e^−1≈0.368 for large d), and the remaining ≈36.8% form the test set; repeat k times and average — especially useful for small datasets.</w:t>
            </w:r>
          </w:p>
        </w:tc>
      </w:tr>
    </w:tbl>
    <w:p>
      <w:pPr>
        <w:spacing w:after="160"/>
      </w:pPr>
    </w:p>
    <w:p>
      <w:pPr>
        <w:pStyle w:val="Heading2"/>
        <w:spacing w:after="120" w:before="240"/>
      </w:pPr>
      <w:r>
        <w:t xml:space="preserve">3. Diagrams &amp; Visual Flowcharts</w:t>
      </w:r>
    </w:p>
    <w:p>
      <w:pPr>
        <w:spacing w:after="120" w:before="200"/>
      </w:pPr>
      <w:r>
        <w:rPr>
          <w:b/>
          <w:bCs/>
          <w:i/>
          <w:iCs/>
          <w:color w:val="1F3864"/>
          <w:sz w:val="22"/>
          <w:szCs w:val="22"/>
        </w:rPr>
        <w:t xml:space="preserve">Figure 5.1 — Train / Validation / Test Data Flow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Full labeled Training Data (X, Y)</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Split → Learning set L (fit model)</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Split → Validation set V (select best model / tune hyperparameters)</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Split → Test set T (final unbiased performance report — used ONCE)</w:t>
            </w:r>
          </w:p>
        </w:tc>
      </w:tr>
    </w:tbl>
    <w:p>
      <w:pPr>
        <w:spacing w:after="200" w:before="100"/>
      </w:pPr>
      <w:r>
        <w:rPr>
          <w:i/>
          <w:iCs/>
          <w:color w:val="555555"/>
          <w:sz w:val="19"/>
          <w:szCs w:val="19"/>
        </w:rPr>
        <w:t xml:space="preserve">↳ The Test set must never influence model selection or tuning; using it more than once for decisions re-introduces the very overfitting-to-evaluation-data it is meant to prevent.</w:t>
      </w:r>
    </w:p>
    <w:p>
      <w:pPr>
        <w:spacing w:after="120" w:before="200"/>
      </w:pPr>
      <w:r>
        <w:rPr>
          <w:b/>
          <w:bCs/>
          <w:i/>
          <w:iCs/>
          <w:color w:val="1F3864"/>
          <w:sz w:val="22"/>
          <w:szCs w:val="22"/>
        </w:rPr>
        <w:t xml:space="preserve">Figure 5.2 — ID3 Decision Tree Induction (Sports/Outlook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Root: 14 examples [9+, 5−], H=0.94</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Compute IG for every candidate attribute (Outlook, Windy, ...)</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Split on attribute with MAX IG (Outlook: IG≈0.246 &gt; Windy: IG≈0.048)</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Recurse on each branch (sunny / overcast / rainy) with remaining attributes</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5</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Stop when a branch is pure (e.g. 'overcast' → [4+,0−] → leaf = yes)</w:t>
            </w:r>
          </w:p>
        </w:tc>
      </w:tr>
    </w:tbl>
    <w:p>
      <w:pPr>
        <w:spacing w:after="200" w:before="100"/>
      </w:pPr>
      <w:r>
        <w:rPr>
          <w:i/>
          <w:iCs/>
          <w:color w:val="555555"/>
          <w:sz w:val="19"/>
          <w:szCs w:val="19"/>
        </w:rPr>
        <w:t xml:space="preserve">↳ Overcast branch is already pure after the first split (Information Gain reveals it perfectly separates class 'yes'), so ID3 terminates that branch immediately while sunny/rainy branches recurse further.</w:t>
      </w:r>
    </w:p>
    <w:p>
      <w:pPr>
        <w:spacing w:after="120" w:before="200"/>
      </w:pPr>
      <w:r>
        <w:rPr>
          <w:b/>
          <w:bCs/>
          <w:i/>
          <w:iCs/>
          <w:color w:val="1F3864"/>
          <w:sz w:val="22"/>
          <w:szCs w:val="22"/>
        </w:rPr>
        <w:t xml:space="preserve">Figure 5.3 — Confusion Matrix &amp; Derived Metrics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Actual Positive &amp; Predicted Positive → TP</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Actual Positive &amp; Predicted Negative → FN</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Actual Negative &amp; Predicted Positive → FP</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Actual Negative &amp; Predicted Negative → TN</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5</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 derive: Accuracy, Error rate, Sensitivity, Specificity, Precision, Recall, F1</w:t>
            </w:r>
          </w:p>
        </w:tc>
      </w:tr>
    </w:tbl>
    <w:p>
      <w:pPr>
        <w:spacing w:after="200" w:before="100"/>
      </w:pPr>
      <w:r>
        <w:rPr>
          <w:i/>
          <w:iCs/>
          <w:color w:val="555555"/>
          <w:sz w:val="19"/>
          <w:szCs w:val="19"/>
        </w:rPr>
        <w:t xml:space="preserve">↳ Every threshold-based classification metric taught in this lecture is a different arithmetic combination of these same four counted quantities.</w:t>
      </w:r>
    </w:p>
    <w:p>
      <w:pPr>
        <w:pStyle w:val="Heading2"/>
        <w:spacing w:after="120" w:before="240"/>
      </w:pPr>
      <w:r>
        <w:t xml:space="preserve">4. Formula Sheet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2400"/>
            <w:shd w:fill="2E74B5" w:color="auto" w:val="clear"/>
            <w:tcMar>
              <w:top w:type="dxa" w:w="80"/>
              <w:left w:type="dxa" w:w="120"/>
              <w:bottom w:type="dxa" w:w="80"/>
              <w:right w:type="dxa" w:w="120"/>
            </w:tcMar>
            <w:vAlign w:val="center"/>
          </w:tcPr>
          <w:p>
            <w:r>
              <w:rPr>
                <w:b/>
                <w:bCs/>
                <w:color w:val="FFFFFF"/>
                <w:sz w:val="20"/>
                <w:szCs w:val="20"/>
              </w:rPr>
              <w:t xml:space="preserve">Name</w:t>
            </w:r>
          </w:p>
        </w:tc>
        <w:tc>
          <w:tcPr>
            <w:tcW w:type="dxa" w:w="3200"/>
            <w:shd w:fill="2E74B5" w:color="auto" w:val="clear"/>
            <w:tcMar>
              <w:top w:type="dxa" w:w="80"/>
              <w:left w:type="dxa" w:w="120"/>
              <w:bottom w:type="dxa" w:w="80"/>
              <w:right w:type="dxa" w:w="120"/>
            </w:tcMar>
            <w:vAlign w:val="center"/>
          </w:tcPr>
          <w:p>
            <w:r>
              <w:rPr>
                <w:b/>
                <w:bCs/>
                <w:color w:val="FFFFFF"/>
                <w:sz w:val="20"/>
                <w:szCs w:val="20"/>
              </w:rPr>
              <w:t xml:space="preserve">Formula</w:t>
            </w:r>
          </w:p>
        </w:tc>
        <w:tc>
          <w:tcPr>
            <w:tcW w:type="dxa" w:w="4000"/>
            <w:shd w:fill="2E74B5" w:color="auto" w:val="clear"/>
            <w:tcMar>
              <w:top w:type="dxa" w:w="80"/>
              <w:left w:type="dxa" w:w="120"/>
              <w:bottom w:type="dxa" w:w="80"/>
              <w:right w:type="dxa" w:w="120"/>
            </w:tcMar>
            <w:vAlign w:val="center"/>
          </w:tcPr>
          <w:p>
            <w:r>
              <w:rPr>
                <w:b/>
                <w:bCs/>
                <w:color w:val="FFFFFF"/>
                <w:sz w:val="20"/>
                <w:szCs w:val="20"/>
              </w:rPr>
              <w:t xml:space="preserve">Meaning / Use</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Entropy</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H(X) = −Σ p(xi)·log2(p(xi))</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Expected number of bits needed to encode the class of a randomly drawn example under the optimal code; 0 = pure, max = maximally mixed.</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Information Gain</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IG(X,A) = H(X) − Σ_v (|X_v|/|X|)·H(X_v)</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Expected entropy reduction from splitting X on attribute A into subsets X_v (one per value v of A).</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Bayes' Theorem</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P(H|X) = P(X|H)·P(H) / P(X)</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Posterior = Likelihood × Prior / Evidence; foundation of Naïve Bayes classification.</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Naïve Bayes independence assumption</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P(X|Ci) = Π_{k=1}^{n} P(xk|Ci)</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Assumes attributes are conditionally independent given the class — 'naïve' because real attributes are often dependent.</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Laplacian correction</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P(xk|Ci) = (count(xk,Ci) + 1) / (count(Ci) + #values(Ak))</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Avoids a zero count for any single attribute value forcing the entire product to 0.</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Accuracy</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Accuracy = (TP+TN) / (TP+TN+FP+FN)</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Overall fraction of correct predictions; misleading under class imbalance.</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Precision</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Precision = TP / (TP+FP)</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'Exactness': of predicted positives, fraction that are truly positive.</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Recall (Sensitivity)</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Recall = TP / (TP+FN)</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'Completeness': of actual positives, fraction correctly identified.</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F1-score</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F1 = 2·Precision·Recall / (Precision+Recall)</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Harmonic mean of Precision and Recall; penalizes large imbalance between the two more than an arithmetic mean would.</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Fβ-score</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Fβ = (1+β²)·P·R / (β²·P + R)</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Generalized F-measure; β&gt;1 weights Recall more, β&lt;1 weights Precision more.</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.632 Bootstrap expected inclusion</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P(tuple in bootstrap sample) ≈ 1 − e^−1 ≈ 0.632</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For large d, sampling d times with replacement includes ≈63.2% of distinct original tuples at least once.</w:t>
            </w:r>
          </w:p>
        </w:tc>
      </w:tr>
    </w:tbl>
    <w:p>
      <w:pPr>
        <w:spacing w:after="160"/>
      </w:pPr>
    </w:p>
    <w:p>
      <w:pPr>
        <w:pStyle w:val="Heading2"/>
        <w:spacing w:after="120" w:before="240"/>
      </w:pPr>
      <w:r>
        <w:t xml:space="preserve">5. Exam-Style Questions &amp; Detailed Answers</w:t>
      </w:r>
    </w:p>
    <w:p>
      <w:pPr>
        <w:shd w:fill="DCE6F1" w:color="auto" w:val="clear"/>
        <w:spacing w:after="100" w:before="200"/>
      </w:pPr>
      <w:r>
        <w:rPr>
          <w:b/>
          <w:bCs/>
          <w:color w:val="1F3864"/>
          <w:sz w:val="22"/>
          <w:szCs w:val="22"/>
        </w:rPr>
        <w:t xml:space="preserve">Q1. Using the Sports/Outlook dataset (14 examples, 9 'yes' / 5 'no'), compute the root entropy and explain, conceptually, why Outlook is chosen over Windy as the first split in ID3.</w:t>
      </w:r>
    </w:p>
    <w:p>
      <w:pPr>
        <w:spacing w:after="140"/>
        <w:jc w:val="both"/>
      </w:pPr>
      <w:r>
        <w:rPr>
          <w:b/>
          <w:bCs/>
        </w:rPr>
        <w:t xml:space="preserve">Root entropy</w:t>
      </w:r>
      <w:r>
        <w:t xml:space="preserve">: H(X) = −(9/14)·log2(9/14) − (5/14)·log2(5/14) ≈ −(0.643)(−0.637) − (0.357)(−1.485) ≈ 0.410 + 0.530 ≈ 0.94 bits, matching the lecture's stated value H(X)≈0.94. This quantifies that the 14 examples are fairly (but not maximally) mixed with respect to the target class.</w:t>
      </w:r>
    </w:p>
    <w:p>
      <w:pPr>
        <w:spacing w:after="140"/>
        <w:jc w:val="both"/>
      </w:pPr>
      <w:r>
        <w:rPr>
          <w:b/>
          <w:bCs/>
        </w:rPr>
        <w:t xml:space="preserve">Information Gain computation (conceptual)</w:t>
      </w:r>
      <w:r>
        <w:t xml:space="preserve">: For each candidate attribute A, IG(X,A) = H(X) − Σ_v (|X_v|/|X|)·H(X_v), i.e. the root entropy minus the *weighted average* entropy of the subsets produced by splitting on A. The lecture's worked numbers give IG(X, Outlook) ≈ 0.246 and IG(X, Windy) ≈ 0.048.</w:t>
      </w:r>
    </w:p>
    <w:p>
      <w:pPr>
        <w:spacing w:after="140"/>
        <w:jc w:val="both"/>
      </w:pPr>
      <w:r>
        <w:rPr>
          <w:b/>
          <w:bCs/>
        </w:rPr>
        <w:t xml:space="preserve">Why Outlook wins</w:t>
      </w:r>
      <w:r>
        <w:t xml:space="preserve">: Outlook produces subsets that are, on average, far *purer* than Windy's subsets — most tellingly, the 'overcast' branch under Outlook is *perfectly* pure ([4+, 0−], entropy exactly 0), immediately terminating that branch as a leaf, whereas Windy's two branches ([3+,3−] and [6+,2−]) both remain substantially mixed. Because ID3's splitting criterion always selects whichever attribute yields the greatest expected entropy reduction (highest IG), and Outlook's weighted-average child entropy is much lower than Windy's, Outlook is chosen as the root split (IG≈0.246 ≫ 0.048). This illustrates the general ID3 principle: the algorithm greedily prefers the attribute that, on average, does the most work toward making its child nodes pure, without any lookahead to whether a different early choice might produce an even better tree overall (a known limitation of greedy top-down induction, since ID3 does not backtrack).</w:t>
      </w:r>
    </w:p>
    <w:p>
      <w:pPr>
        <w:shd w:fill="DCE6F1" w:color="auto" w:val="clear"/>
        <w:spacing w:after="100" w:before="200"/>
      </w:pPr>
      <w:r>
        <w:rPr>
          <w:b/>
          <w:bCs/>
          <w:color w:val="1F3864"/>
          <w:sz w:val="22"/>
          <w:szCs w:val="22"/>
        </w:rPr>
        <w:t xml:space="preserve">Q2. State the Naïve Bayes classification rule and apply it conceptually to classify X = (age≤30, income=medium, student=yes, credit_rating=fair) as buys_computer=yes or no, referencing the lecture's worked numbers.</w:t>
      </w:r>
    </w:p>
    <w:p>
      <w:pPr>
        <w:spacing w:after="140"/>
        <w:jc w:val="both"/>
      </w:pPr>
      <w:r>
        <w:rPr>
          <w:b/>
          <w:bCs/>
        </w:rPr>
        <w:t xml:space="preserve">Rule</w:t>
      </w:r>
      <w:r>
        <w:t xml:space="preserve">: By Bayes' theorem, P(Ci|X) = P(X|Ci)P(Ci)/P(X). Since P(X) is identical across all candidate classes Ci, maximizing the posterior P(Ci|X) is equivalent to maximizing the numerator P(X|Ci)·P(Ci) alone. Under the Naïve (conditional-independence) assumption, P(X|Ci) = Π_k P(xk|Ci), i.e. the product of each individual attribute's class-conditional probability, which is far cheaper to estimate from data than the full joint P(X|Ci) (which would otherwise require exponentially many samples in the number of attributes).</w:t>
      </w:r>
    </w:p>
    <w:p>
      <w:pPr>
        <w:spacing w:after="140"/>
        <w:jc w:val="both"/>
      </w:pPr>
      <w:r>
        <w:rPr>
          <w:b/>
          <w:bCs/>
        </w:rPr>
        <w:t xml:space="preserve">Priors</w:t>
      </w:r>
      <w:r>
        <w:t xml:space="preserve">: P(buys_computer='yes') = 9/14 ≈ 0.643, P(buys_computer='no') = 5/14 ≈ 0.357 — the base rate of each class in the training data, ignoring all attribute values.</w:t>
      </w:r>
    </w:p>
    <w:p>
      <w:pPr>
        <w:spacing w:after="140"/>
        <w:jc w:val="both"/>
      </w:pPr>
      <w:r>
        <w:rPr>
          <w:b/>
          <w:bCs/>
        </w:rPr>
        <w:t xml:space="preserve">Per-attribute likelihoods (from the lecture's table)</w:t>
      </w:r>
      <w:r>
        <w:t xml:space="preserve">: for 'yes': P(age≤30|yes)=0.222, P(income=medium|yes)=0.444, P(student=yes|yes)=0.667, P(credit=fair|yes)=0.667 → product P(X|yes)=0.222×0.444×0.667×0.667≈0.044. For 'no': P(age≤30|no)=0.6, P(income=medium|no)=0.4, P(student=yes|no)=0.2, P(credit=fair|no)=0.4 → product P(X|no)=0.6×0.4×0.2×0.4≈0.019.</w:t>
      </w:r>
    </w:p>
    <w:p>
      <w:pPr>
        <w:spacing w:after="140"/>
        <w:jc w:val="both"/>
      </w:pPr>
      <w:r>
        <w:rPr>
          <w:b/>
          <w:bCs/>
        </w:rPr>
        <w:t xml:space="preserve">Posterior comparison (unnormalized)</w:t>
      </w:r>
      <w:r>
        <w:t xml:space="preserve">: P(X|yes)·P(yes) = 0.044×0.643 ≈ 0.028; P(X|no)·P(no) = 0.019×0.357 ≈ 0.007. Since 0.028 &gt; 0.007, the classifier predicts X belongs to class 'buys_computer = yes' — exactly the lecture's stated conclusion. This example also illustrates why the Laplacian correction matters in general: had any single per-attribute likelihood been exactly 0 (e.g. if no training example had ever shown income=medium for class 'no'), the entire product P(X|no) would collapse to 0 regardless of how strongly the other attributes favored 'no' — the correction (adding 1 to every count) prevents this brittle failure mode.</w:t>
      </w:r>
    </w:p>
    <w:p>
      <w:pPr>
        <w:shd w:fill="DCE6F1" w:color="auto" w:val="clear"/>
        <w:spacing w:after="100" w:before="200"/>
      </w:pPr>
      <w:r>
        <w:rPr>
          <w:b/>
          <w:bCs/>
          <w:color w:val="1F3864"/>
          <w:sz w:val="22"/>
          <w:szCs w:val="22"/>
        </w:rPr>
        <w:t xml:space="preserve">Q3. Explain overfitting and describe two concrete methodological safeguards against it discussed in the course (one from Lecture 5, one from Deep Learning I).</w:t>
      </w:r>
    </w:p>
    <w:p>
      <w:pPr>
        <w:spacing w:after="140"/>
        <w:jc w:val="both"/>
      </w:pPr>
      <w:r>
        <w:rPr>
          <w:b/>
          <w:bCs/>
        </w:rPr>
        <w:t xml:space="preserve">Overfitting</w:t>
      </w:r>
      <w:r>
        <w:t xml:space="preserve"> occurs when a model's fitted function f(x) achieves very low error on the training data it was fit to, but achieves substantially higher error on new, previously unseen data drawn from the same underlying distribution — i.e., the model has partly memorized sample-specific noise/idiosyncrasies of the training set rather than learning the true, generalizable input-output relationship. The lecture frames the entire goal of supervised learning as 'generalization': we hope f(x), estimated on (X,Y), also works to predict unknown y∈Y_new for x∈X_new.</w:t>
      </w:r>
    </w:p>
    <w:p>
      <w:pPr>
        <w:spacing w:after="140"/>
        <w:jc w:val="both"/>
      </w:pPr>
      <w:r>
        <w:rPr>
          <w:b/>
          <w:bCs/>
        </w:rPr>
        <w:t xml:space="preserve">Safeguard 1 (Lecture 5 — train/validation/test discipline and cross-validation)</w:t>
      </w:r>
      <w:r>
        <w:t xml:space="preserve">: by strictly partitioning data into non-overlapping Learning, Validation, and Test sets, and *never* using the Test set for any modelling decision, one obtains an honest, unbiased estimate of generalization performance rather than an inflated training-set score. k-fold cross-validation refines this further by repeating the train/validate split k times over different folds and averaging, giving a lower-variance estimate of true generalization performance than a single arbitrary holdout split, and thereby making it possible to reliably detect when a more complex model is overfitting (its cross-validated performance will be markedly worse than its training performance, whereas a well-generalizing model shows similar performance on both).</w:t>
      </w:r>
    </w:p>
    <w:p>
      <w:pPr>
        <w:spacing w:after="140"/>
        <w:jc w:val="both"/>
      </w:pPr>
      <w:r>
        <w:rPr>
          <w:b/>
          <w:bCs/>
        </w:rPr>
        <w:t xml:space="preserve">Safeguard 2 (Deep Learning I — architectural/training-level techniques)</w:t>
      </w:r>
      <w:r>
        <w:t xml:space="preserve">: for neural networks specifically, the Deep-Learning lecture lists concrete overfitting countermeasures: training on more data, data augmentation (artificially expanding the effective training set via label-preserving transformations), Dropout (randomly deactivating neurons during training to prevent co-adaptation), Slow Learning / Early Stopping (halting gradient-descent training once validation error starts increasing even as training error keeps decreasing — a live illustration of the overfitting gap opening up), and Regularization (e.g. L2/weight-decay or L1, which penalize large weights and thereby constrain model complexity directly in the loss function, trading a (controlled) increase in training error for a decrease in generalization error).</w:t>
      </w:r>
    </w:p>
    <w:p>
      <w:pPr>
        <w:spacing w:after="140"/>
        <w:jc w:val="both"/>
      </w:pPr>
      <w:r>
        <w:t xml:space="preserve">Together these represent the two complementary layers of defense taught in the course: *evaluation-methodology* safeguards (ensuring you can even detect overfitting reliably) and *model/training-level* safeguards (actively reducing the model's tendency to overfit in the first place).</w:t>
      </w:r>
    </w:p>
    <w:p>
      <w:pPr>
        <w:shd w:fill="DCE6F1" w:color="auto" w:val="clear"/>
        <w:spacing w:after="100" w:before="200"/>
      </w:pPr>
      <w:r>
        <w:rPr>
          <w:b/>
          <w:bCs/>
          <w:color w:val="1F3864"/>
          <w:sz w:val="22"/>
          <w:szCs w:val="22"/>
        </w:rPr>
        <w:t xml:space="preserve">Q4. A rare-disease diagnostic classifier achieves 99% Accuracy on a test set where only 1% of patients actually have the disease. Explain why Accuracy is a misleading metric here and propose two better alternatives with justification.</w:t>
      </w:r>
    </w:p>
    <w:p>
      <w:pPr>
        <w:spacing w:after="140"/>
        <w:jc w:val="both"/>
      </w:pPr>
      <w:r>
        <w:t xml:space="preserve">This is a direct instance of the </w:t>
      </w:r>
      <w:r>
        <w:rPr>
          <w:b/>
          <w:bCs/>
        </w:rPr>
        <w:t xml:space="preserve">Class Imbalance Problem</w:t>
      </w:r>
      <w:r>
        <w:t xml:space="preserve"> explicitly flagged in the lecture (illustrated with the analogous example n(1)=95, n(0)=5, asking 'what if these 5 zeros are critical?'). If only 1% of patients truly have the disease, a trivial classifier that *always* predicts 'no disease' regardless of input would already achieve 99% Accuracy — yet it has zero clinical value, since it fails to identify a single true case (Sensitivity/Recall = 0). Accuracy = (TP+TN)/All is dominated by the overwhelming majority (negative) class and is therefore essentially uninformative about performance on the rare, typically more consequential, positive class.</w:t>
      </w:r>
    </w:p>
    <w:p>
      <w:pPr>
        <w:spacing w:after="140"/>
        <w:jc w:val="both"/>
      </w:pPr>
      <w:r>
        <w:rPr>
          <w:b/>
          <w:bCs/>
        </w:rPr>
        <w:t xml:space="preserve">Better alternative 1 — Sensitivity (Recall) and Specificity reported jointly</w:t>
      </w:r>
      <w:r>
        <w:t xml:space="preserve">: Sensitivity = TP/P directly measures the fraction of *true disease cases* correctly caught (clinically, this is usually the metric of primary concern — missing a sick patient, a False Negative, is typically far more costly than a false alarm), while Specificity = TN/N measures the fraction of healthy patients correctly cleared (relevant for avoiding unnecessary, possibly invasive, follow-up testing). Reporting both prevents the imbalance from being hidden behind a single aggregate accuracy number, exactly as the lecture's confusion-matrix worked examples (e.g. the spam-filter table breaking Accuracy=95.42% into Sensitivity=99.34% and Specificity=86.26%) demonstrate.</w:t>
      </w:r>
    </w:p>
    <w:p>
      <w:pPr>
        <w:spacing w:after="140"/>
        <w:jc w:val="both"/>
      </w:pPr>
      <w:r>
        <w:rPr>
          <w:b/>
          <w:bCs/>
        </w:rPr>
        <w:t xml:space="preserve">Better alternative 2 — Precision/Recall/F1, or an ROC/AUC analysis across thresholds</w:t>
      </w:r>
      <w:r>
        <w:t xml:space="preserve">: Precision = TP/(TP+FP) quantifies how many of the flagged 'positive' predictions are trustworthy (crucial if false positives trigger costly/invasive follow-up procedures), and the F1-score (harmonic mean of Precision and Recall) provides a single balanced number that, unlike Accuracy, collapses toward 0 whenever *either* Precision or Recall is poor — making it impossible for a majority-class-only classifier to score well. Alternatively, plotting the full ROC curve (True Positive Rate vs. False Positive Rate across all possible decision thresholds) and computing the Area Under the Curve gives a threshold-independent summary of discriminative power; an AUC near 0.5 would immediately reveal that the seemingly '99% accurate' classifier is in fact no better than chance at distinguishing the classes, once the imbalance-inflation of raw Accuracy is removed from consideration.</w:t>
      </w:r>
    </w:p>
    <w:p>
      <w:pPr>
        <w:shd w:fill="DCE6F1" w:color="auto" w:val="clear"/>
        <w:spacing w:after="100" w:before="200"/>
      </w:pPr>
      <w:r>
        <w:rPr>
          <w:b/>
          <w:bCs/>
          <w:color w:val="1F3864"/>
          <w:sz w:val="22"/>
          <w:szCs w:val="22"/>
        </w:rPr>
        <w:t xml:space="preserve">Q5. Describe the .632 Bootstrap method and explain why it is preferred over a single holdout split for small datasets.</w:t>
      </w:r>
    </w:p>
    <w:p>
      <w:pPr>
        <w:spacing w:after="140"/>
        <w:jc w:val="both"/>
      </w:pPr>
      <w:r>
        <w:t xml:space="preserve">The Bootstrap method draws a sample of size d (equal to the size of the original dataset) *with replacement* from the d original data tuples, forming the training set for one bootstrap iteration; because sampling is with replacement, some original tuples will be drawn multiple times while others will not be drawn at all. Those tuples that never made it into the sampled training set naturally form that iteration's test set. As shown in the lecture, the expected fraction of distinct original tuples that *do* appear at least once in the bootstrap sample converges, for large d, to 1 − (1−1/d)^d → 1 − e^−1 ≈ 0.632 (hence '.632 Bootstrap'), meaning roughly 63.2% of the data forms the training set and the remaining ≈36.8% forms the test set for that iteration; the whole sampling procedure is then repeated k times and the resulting accuracy estimates are combined (typically with weighting favoring the true-test-set performance, since the bootstrap training performance is optimistically biased due to overlap between train and 'test').</w:t>
      </w:r>
    </w:p>
    <w:p>
      <w:pPr>
        <w:spacing w:after="140"/>
        <w:jc w:val="both"/>
      </w:pPr>
      <w:r>
        <w:rPr>
          <w:b/>
          <w:bCs/>
        </w:rPr>
        <w:t xml:space="preserve">Why preferred for small datasets</w:t>
      </w:r>
      <w:r>
        <w:t xml:space="preserve">: With a small dataset, a single Holdout split (e.g., fixed 2/3 training, 1/3 test) sacrifices a large, fixed fraction of the already-scarce data purely for evaluation, and — because there is only one particular random split — the resulting performance estimate can have high variance depending on which specific examples happened to land in the test partition (an unlucky split could over- or under-represent a rare subclass). The lecture explicitly states the Bootstrap 'works well with small datasets' precisely because *each* bootstrap iteration still uses (on average) the vast majority of the available data (≈63.2% training, and effectively the entire dataset is reused repeatedly across many resampling iterations rather than permanently set aside), and because averaging over many resampled iterations reduces the variance of the final performance estimate relative to a single arbitrary holdout, in a spirit similar to (but distinct from) k-fold Cross-Validation, which is the more commonly preferred alternative when the dataset is large enough that a 10-fold partition still leaves substantial data in each fold.</w:t>
      </w:r>
    </w:p>
    <w:p>
      <w:r>
        <w:br w:type="page"/>
      </w:r>
    </w:p>
    <w:p>
      <w:pPr>
        <w:spacing w:after="40"/>
      </w:pPr>
      <w:r>
        <w:rPr>
          <w:b/>
          <w:bCs/>
          <w:color w:val="2E74B5"/>
          <w:sz w:val="22"/>
          <w:szCs w:val="22"/>
        </w:rPr>
        <w:t xml:space="preserve">LECTURE 6</w:t>
      </w:r>
    </w:p>
    <w:p>
      <w:pPr>
        <w:pStyle w:val="Heading1"/>
        <w:spacing w:after="120" w:before="240"/>
      </w:pPr>
      <w:r>
        <w:t xml:space="preserve">Machine Learning III — Dimension Reduction, Linear &amp; Logistic Regression</w:t>
      </w:r>
    </w:p>
    <w:p>
      <w:pPr>
        <w:pStyle w:val="Heading2"/>
        <w:spacing w:after="120" w:before="240"/>
      </w:pPr>
      <w:r>
        <w:t xml:space="preserve">1. Overview</w:t>
      </w:r>
    </w:p>
    <w:p>
      <w:pPr>
        <w:spacing w:after="140"/>
        <w:jc w:val="both"/>
      </w:pPr>
      <w:r>
        <w:t xml:space="preserve">Delivered by Iryna Okhrin, this lecture covers three unsupervised dimension-reduction techniques (PCA, t-SNE, Autoencoder) followed by two supervised regression techniques (Linear Regression, Logistic Regression), consistently illustrated with the Iris dataset.</w:t>
      </w:r>
    </w:p>
    <w:p>
      <w:pPr>
        <w:spacing w:after="140"/>
        <w:jc w:val="both"/>
      </w:pPr>
      <w:r>
        <w:t xml:space="preserve">PCA is developed rigorously from first principles: covariance matrix → eigendecomposition → ordered principal components → scree-plot-based selection of q. Linear Regression is developed via the OLS matrix solution, R²/adjusted-R², and model-reduction strategies (backward AIC, PCR, Lasso). Logistic Regression extends the same framework to categorical (classification) outcomes via the logit/sigmoid link.</w:t>
      </w:r>
    </w:p>
    <w:p>
      <w:pPr>
        <w:spacing w:after="140"/>
        <w:jc w:val="both"/>
      </w:pPr>
      <w:r>
        <w:t xml:space="preserve">A key running theme: every method has an explicit Advantages/Disadvantages pairing, reflecting the exam's expected comparative-evaluation style of question.</w:t>
      </w:r>
    </w:p>
    <w:p>
      <w:pPr>
        <w:pStyle w:val="Heading2"/>
        <w:spacing w:after="120" w:before="240"/>
      </w:pPr>
      <w:r>
        <w:t xml:space="preserve">2. Key Concepts &amp; Definitions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80"/>
              <w:left w:type="dxa" w:w="120"/>
              <w:bottom w:type="dxa" w:w="80"/>
              <w:right w:type="dxa" w:w="120"/>
            </w:tcMar>
            <w:vAlign w:val="center"/>
          </w:tcPr>
          <w:p>
            <w:r>
              <w:rPr>
                <w:b/>
                <w:bCs/>
                <w:color w:val="FFFFFF"/>
                <w:sz w:val="20"/>
                <w:szCs w:val="20"/>
              </w:rPr>
              <w:t xml:space="preserve">Term / Concept</w:t>
            </w:r>
          </w:p>
        </w:tc>
        <w:tc>
          <w:tcPr>
            <w:tcW w:type="dxa" w:w="7000"/>
            <w:shd w:fill="1F3864" w:color="auto" w:val="clear"/>
            <w:tcMar>
              <w:top w:type="dxa" w:w="80"/>
              <w:left w:type="dxa" w:w="120"/>
              <w:bottom w:type="dxa" w:w="80"/>
              <w:right w:type="dxa" w:w="120"/>
            </w:tcMar>
            <w:vAlign w:val="center"/>
          </w:tcPr>
          <w:p>
            <w:r>
              <w:rPr>
                <w:b/>
                <w:bCs/>
                <w:color w:val="FFFFFF"/>
                <w:sz w:val="20"/>
                <w:szCs w:val="20"/>
              </w:rPr>
              <w:t xml:space="preserve">Definition / Explanation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Dimension Reduction — Aim</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Find f: X → Y mapping high-dimensional data to a lower dimension without losing much information; motivations: visualization, noise reduction, computational efficiency (matrix inversion cost), storage, improved accuracy.</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PCA — Formal Objective</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Find unit vector β (||β||=1) maximizing Σ Var(β′X) — i.e., find the direction of maximal variance in the data; solved via eigendecomposition of the covariance matrix Σ = ΓΛΓ′, with eigenvalues λ1≥...≥λp sorted descending and corresponding orthonormal eigenvectors γ1,...,γp.</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Principal Components (PCs)</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Y_j = γ_j′(X − X̄); the transformed dataset has zero mean, and Cov(Y) = Λ (a diagonal matrix) — i.e. the PCs are mutually uncorrelated by construction, with variance of the j-th PC equal to λ_j.</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Explained Variance / Scree Plot</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ψ_q = (λ1+...+λq)/(λ1+...+λp) — the cumulative fraction of total variance captured by the first q PCs; choose q via a fixed threshold (e.g. 90–95%) or the 'elbow' in the scree plot of λ vs. component index.</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Biplot</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Visualizes correlation ρ_ij = cor(X_i, Y_j) between each original variable and each retained PC, showing how well each PC 'explains' each original variable; Σ_j ρ_ij² = 1 across all PCs for a given variable.</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t-SNE</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Nonlinear dimension reduction preserving local neighbourhood structure: computes pairwise similarity matrix P in original space (Gaussian kernel) and Q in low-dimensional space (Student-t/Cauchy kernel), then iteratively moves low-dim points to minimize the Kullback-Leibler divergence D_KL(P‖Q) via gradient descent. Unlike PCA, works for any (nonlinear) dependency but is stochastic (different runs give different embeddings), computationally intensive, and not directly applicable to new/out-of-sample points.</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Autoencoder</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A neural network trained to reconstruct its own input through a narrow 'bottleneck' hidden layer; if reconstruction is successful, the bottleneck's compressed representation captures the essential information of the original data. Works for any data scale and generalizes to new/out-of-sample points (unlike t-SNE), but is computationally intensive and only reliable for data resembling its training distribution.</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Multiple Linear Regression — Model</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y_i = β0 + β1·x_i1 + ... + βp·x_ip + ε_i, in matrix form Y = Xβ + ε, with assumptions E(ε)=0 and Var(ε)=σ²I (i.i.d. errors); if additionally ε~N(0,σ²I), then y~N(Xβ, σ²I).</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OLS Estimator</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β̂ = (X′X)^−1 X′Y, minimizing ||Y−Xβ||²; problematic when X′X is (near-)singular, i.e. when X is very large or its columns are (nearly) linearly dependent (multicollinearity).</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Goodness of Fit (Regression)</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R² = 1 − SS_residual/SS_total ∈ [0,1], the fraction of variance in Y explained by the model; R² is non-decreasing as more variables are added (even irrelevant ones), motivating Adjusted R² (penalizes for the number of predictors k) or AIC (Akaike Information Criterion) for model comparison.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Variable Transformation</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Any transformation of predictors X is allowed (log(x), x², interaction terms x1·x2) to capture nonlinear relationships within a linear-in-parameters model; but transforming the response Y (e.g., log(y)) should be avoided/handled carefully since it changes the error-distribution assumptions and the interpretation of coefficients.</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Model Reduction Techniques</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Backward elimination based on AIC (fit many submodels, computationally expensive: worst case p(p+1)/2 fits), Principal Component Regression (PCR: regress on the first few PCs of X instead of raw X), (adaptive) Lasso (adds an L1 penalty λ||β||1 to the OLS objective, simultaneously shrinking and selecting variables — generally faster and more effective at sparsification than backward AIC selection).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Logistic Regression — Model</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For binary Y∈{0,1}: log[P(Y=1|x)/P(Y=0|x)] = x′β (the 'logit'), equivalently P(Y=1|x)=σ(z)=1/(1+e^{−z}) with z=x′β (the sigmoid/logistic function). Prediction rule: ŷ=1 if P(Y=1|x)&gt;1/2, else 0.</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Interpretation of Logistic Coefficients</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If β_i&gt;0, then P(Y=1) increases as x_i increases (and vice versa for β_i&lt;0); statistical significance assessed via p-values exactly as in linear regression, and non-significant predictors (p&gt;0.05) are candidates for removal via the same model-reduction techniques.</w:t>
            </w:r>
          </w:p>
        </w:tc>
      </w:tr>
    </w:tbl>
    <w:p>
      <w:pPr>
        <w:spacing w:after="160"/>
      </w:pPr>
    </w:p>
    <w:p>
      <w:pPr>
        <w:pStyle w:val="Heading2"/>
        <w:spacing w:after="120" w:before="240"/>
      </w:pPr>
      <w:r>
        <w:t xml:space="preserve">3. Diagrams &amp; Visual Flowcharts</w:t>
      </w:r>
    </w:p>
    <w:p>
      <w:pPr>
        <w:spacing w:after="120" w:before="200"/>
      </w:pPr>
      <w:r>
        <w:rPr>
          <w:b/>
          <w:bCs/>
          <w:i/>
          <w:iCs/>
          <w:color w:val="1F3864"/>
          <w:sz w:val="22"/>
          <w:szCs w:val="22"/>
        </w:rPr>
        <w:t xml:space="preserve">Figure 6.1 — PCA Algorithm Pipeline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Center data (X − X̄)</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Compute covariance matrix Cov(X)</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Eigendecomposition: Cov(X) = ΓΛΓ′</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Sort eigenvalues λ1 ≥ ... ≥ λp (and matching eigenvectors)</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5</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Compute PCs: Y = Γ′(X − X̄)</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6</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Scree plot → choose q (threshold or elbow)</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7</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Retain first q PCs for downstream analysis</w:t>
            </w:r>
          </w:p>
        </w:tc>
      </w:tr>
    </w:tbl>
    <w:p>
      <w:pPr>
        <w:spacing w:after="200" w:before="100"/>
      </w:pPr>
      <w:r>
        <w:rPr>
          <w:i/>
          <w:iCs/>
          <w:color w:val="555555"/>
          <w:sz w:val="19"/>
          <w:szCs w:val="19"/>
        </w:rPr>
        <w:t xml:space="preserve">↳ PCA is fully analytic (closed-form eigendecomposition) — no iterative optimization or randomness is involved, unlike t-SNE or Autoencoders.</w:t>
      </w:r>
    </w:p>
    <w:p>
      <w:pPr>
        <w:spacing w:after="120" w:before="200"/>
      </w:pPr>
      <w:r>
        <w:rPr>
          <w:b/>
          <w:bCs/>
          <w:i/>
          <w:iCs/>
          <w:color w:val="1F3864"/>
          <w:sz w:val="22"/>
          <w:szCs w:val="22"/>
        </w:rPr>
        <w:t xml:space="preserve">Figure 6.2 — Comparison of the Three Dimension-Reduction Methods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PCA: linear, analytic, deterministic, fast, only linear dependencies, out-of-sample OK</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t-SNE: nonlinear, iterative/stochastic, computationally heavy, NOT out-of-sample, good for visualization/clustering</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Autoencoder: nonlinear (NN-based), computationally heavy, out-of-sample OK, needs data resembling training distribution</w:t>
            </w:r>
          </w:p>
        </w:tc>
      </w:tr>
    </w:tbl>
    <w:p>
      <w:pPr>
        <w:spacing w:after="200" w:before="100"/>
      </w:pPr>
      <w:r>
        <w:rPr>
          <w:i/>
          <w:iCs/>
          <w:color w:val="555555"/>
          <w:sz w:val="19"/>
          <w:szCs w:val="19"/>
        </w:rPr>
        <w:t xml:space="preserve">↳ The Iris-data example given in the lecture explains WHY PCA outperforms t-SNE there specifically: Iris variables are strongly linearly correlated, which is exactly PCA's assumption.</w:t>
      </w:r>
    </w:p>
    <w:p>
      <w:pPr>
        <w:pStyle w:val="Heading2"/>
        <w:spacing w:after="120" w:before="240"/>
      </w:pPr>
      <w:r>
        <w:t xml:space="preserve">4. Formula Sheet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2400"/>
            <w:shd w:fill="2E74B5" w:color="auto" w:val="clear"/>
            <w:tcMar>
              <w:top w:type="dxa" w:w="80"/>
              <w:left w:type="dxa" w:w="120"/>
              <w:bottom w:type="dxa" w:w="80"/>
              <w:right w:type="dxa" w:w="120"/>
            </w:tcMar>
            <w:vAlign w:val="center"/>
          </w:tcPr>
          <w:p>
            <w:r>
              <w:rPr>
                <w:b/>
                <w:bCs/>
                <w:color w:val="FFFFFF"/>
                <w:sz w:val="20"/>
                <w:szCs w:val="20"/>
              </w:rPr>
              <w:t xml:space="preserve">Name</w:t>
            </w:r>
          </w:p>
        </w:tc>
        <w:tc>
          <w:tcPr>
            <w:tcW w:type="dxa" w:w="3200"/>
            <w:shd w:fill="2E74B5" w:color="auto" w:val="clear"/>
            <w:tcMar>
              <w:top w:type="dxa" w:w="80"/>
              <w:left w:type="dxa" w:w="120"/>
              <w:bottom w:type="dxa" w:w="80"/>
              <w:right w:type="dxa" w:w="120"/>
            </w:tcMar>
            <w:vAlign w:val="center"/>
          </w:tcPr>
          <w:p>
            <w:r>
              <w:rPr>
                <w:b/>
                <w:bCs/>
                <w:color w:val="FFFFFF"/>
                <w:sz w:val="20"/>
                <w:szCs w:val="20"/>
              </w:rPr>
              <w:t xml:space="preserve">Formula</w:t>
            </w:r>
          </w:p>
        </w:tc>
        <w:tc>
          <w:tcPr>
            <w:tcW w:type="dxa" w:w="4000"/>
            <w:shd w:fill="2E74B5" w:color="auto" w:val="clear"/>
            <w:tcMar>
              <w:top w:type="dxa" w:w="80"/>
              <w:left w:type="dxa" w:w="120"/>
              <w:bottom w:type="dxa" w:w="80"/>
              <w:right w:type="dxa" w:w="120"/>
            </w:tcMar>
            <w:vAlign w:val="center"/>
          </w:tcPr>
          <w:p>
            <w:r>
              <w:rPr>
                <w:b/>
                <w:bCs/>
                <w:color w:val="FFFFFF"/>
                <w:sz w:val="20"/>
                <w:szCs w:val="20"/>
              </w:rPr>
              <w:t xml:space="preserve">Meaning / Use</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PCA optimization objective</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max_{||β||=1} Σ Var(β′X)</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Find the direction of maximum variance; solved by the eigenvector of Cov(X) with the largest eigenvalue.</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Explained variance ratio</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ψq = (λ1+...+λq) / (λ1+...+λp)</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Cumulative proportion of total variance captured by the first q principal components.</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OLS estimator</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β̂ = (X′X)⁻¹X′Y</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Closed-form least-squares solution minimizing ||Y − Xβ||².</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Coefficient of determination</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R² = 1 − SSresidual/SStotal</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Fraction of variance in Y explained by the regression model; R²∈[0,1].</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Adjusted R²</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adjR² = 1 − [SSres/(n−k)] / [SStot/(n−1)]</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Penalizes R² for the number of predictors k, enabling fair comparison across models of different size.</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Lasso objective</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min_β ||y − Xβ||² + λ||β||1</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OLS loss plus an L1 penalty; shrinks some coefficients exactly to 0, performing simultaneous estimation and variable selection.</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Logistic (sigmoid) function</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P(Y=1|x) = 1 / (1 + e^{−x′β})</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Maps the linear predictor x′β ∈ (−∞,∞) to a probability in (0,1).</w:t>
            </w:r>
          </w:p>
        </w:tc>
      </w:tr>
    </w:tbl>
    <w:p>
      <w:pPr>
        <w:spacing w:after="160"/>
      </w:pPr>
    </w:p>
    <w:p>
      <w:pPr>
        <w:pStyle w:val="Heading2"/>
        <w:spacing w:after="120" w:before="240"/>
      </w:pPr>
      <w:r>
        <w:t xml:space="preserve">5. Exam-Style Questions &amp; Detailed Answers</w:t>
      </w:r>
    </w:p>
    <w:p>
      <w:pPr>
        <w:shd w:fill="DCE6F1" w:color="auto" w:val="clear"/>
        <w:spacing w:after="100" w:before="200"/>
      </w:pPr>
      <w:r>
        <w:rPr>
          <w:b/>
          <w:bCs/>
          <w:color w:val="1F3864"/>
          <w:sz w:val="22"/>
          <w:szCs w:val="22"/>
        </w:rPr>
        <w:t xml:space="preserve">Q1. Derive, conceptually, why the first principal component is the eigenvector of the covariance matrix associated with the largest eigenvalue.</w:t>
      </w:r>
    </w:p>
    <w:p>
      <w:pPr>
        <w:spacing w:after="140"/>
        <w:jc w:val="both"/>
      </w:pPr>
      <w:r>
        <w:t xml:space="preserve">The PCA objective is to find a unit vector β (||β||=1) such that the projected data Y=β′X has maximal variance: max_{||β||=1} Var(β′X). Since Var(β′X) = β′Cov(X)β, this is a constrained optimization problem: maximize the quadratic form β′Σβ subject to β′β=1, where Σ=Cov(X).</w:t>
      </w:r>
    </w:p>
    <w:p>
      <w:pPr>
        <w:spacing w:after="140"/>
        <w:jc w:val="both"/>
      </w:pPr>
      <w:r>
        <w:t xml:space="preserve">Using a Lagrange multiplier λ for the unit-norm constraint, the Lagrangian is L(β,λ) = β′Σβ − λ(β′β − 1). Setting the gradient with respect to β to zero gives 2Σβ − 2λβ = 0, i.e. Σβ = λβ — precisely the definition of β being an eigenvector of Σ with eigenvalue λ. Substituting back, the objective value at this stationary point is β′Σβ = β′(λβ) = λβ′β = λ (since β′β=1). Therefore the maximal achievable variance equals the *largest* eigenvalue λ1 of Σ, achieved exactly when β equals the corresponding eigenvector γ1.</w:t>
      </w:r>
    </w:p>
    <w:p>
      <w:pPr>
        <w:spacing w:after="140"/>
        <w:jc w:val="both"/>
      </w:pPr>
      <w:r>
        <w:t xml:space="preserve">This is exactly the structure asserted in the lecture: the covariance matrix admits the spectral decomposition Σ=ΓΛΓ′ with eigenvalues ordered λ1≥λ2≥...≥λp and matching orthonormal eigenvectors Γ=(γ1,...,γp); the first PC is Y1=γ1′(X−X̄) (using the largest-eigenvalue eigenvector), the second PC uses the second-largest eigenvalue's eigenvector (subject to being orthogonal to the first, which the spectral decomposition guarantees automatically since eigenvectors of a symmetric matrix are mutually orthogonal), and so on — giving the full ordered sequence of PCs, each capturing the maximal remaining variance orthogonal to all previous components.</w:t>
      </w:r>
    </w:p>
    <w:p>
      <w:pPr>
        <w:shd w:fill="DCE6F1" w:color="auto" w:val="clear"/>
        <w:spacing w:after="100" w:before="200"/>
      </w:pPr>
      <w:r>
        <w:rPr>
          <w:b/>
          <w:bCs/>
          <w:color w:val="1F3864"/>
          <w:sz w:val="22"/>
          <w:szCs w:val="22"/>
        </w:rPr>
        <w:t xml:space="preserve">Q2. Given eigenvalues λ = (10, 8, 1, 0.1, 0) as in the lecture's worked example, compute ψ2 and explain what it means, then justify a choice of q using both the threshold rule and the elbow method.</w:t>
      </w:r>
    </w:p>
    <w:p>
      <w:pPr>
        <w:spacing w:after="140"/>
        <w:jc w:val="both"/>
      </w:pPr>
      <w:r>
        <w:t xml:space="preserve">Total variance = 10+8+1+0.1+0 = 19.1. ψ2 = (λ1+λ2)/Σλ = (10+8)/19.1 = 18/19.1 ≈ 0.94, matching the lecture's stated ψ2=0.94. This means the first two principal components together capture 94% of the total variance present in the original 5-dimensional data — i.e., reducing from 5 dimensions to just 2 discards only about 6% of the total variability.</w:t>
      </w:r>
    </w:p>
    <w:p>
      <w:pPr>
        <w:spacing w:after="140"/>
        <w:jc w:val="both"/>
      </w:pPr>
      <w:r>
        <w:rPr>
          <w:b/>
          <w:bCs/>
        </w:rPr>
        <w:t xml:space="preserve">Threshold rule (e.g. 90% or 95%)</w:t>
      </w:r>
      <w:r>
        <w:t xml:space="preserve">: If the analyst requires at least 90% explained variance, q=2 already suffices (ψ2=0.94&gt;0.90). If a stricter 95% threshold were required, one would need q=3 (ψ3=19/19.1≈0.995, per the lecture's own λ3 addition), since ψ2=0.94 falls just short of 95%.</w:t>
      </w:r>
    </w:p>
    <w:p>
      <w:pPr>
        <w:spacing w:after="140"/>
        <w:jc w:val="both"/>
      </w:pPr>
      <w:r>
        <w:rPr>
          <w:b/>
          <w:bCs/>
        </w:rPr>
        <w:t xml:space="preserve">Elbow method</w:t>
      </w:r>
      <w:r>
        <w:t xml:space="preserve">: Plotting the eigenvalues themselves (λ1=10, λ2=8, λ3=1, λ4=0.1, λ5=0) against component index shows a very large drop from λ2=8 to λ3=1 (a factor of 8), followed by comparatively minor drops thereafter (1 → 0.1 → 0) — this sharp 'elbow' after the second component visually confirms that q=2 is the natural cutoff, since components beyond the second contribute only marginal additional variance. Both the threshold-based and the elbow-based reasoning therefore converge on the same recommended choice, q=2, illustrating how the two heuristics can be used together as a sanity check on each other, even though (as the lecture notes) the elbow method alone is inherently 'subjective'.</w:t>
      </w:r>
    </w:p>
    <w:p>
      <w:pPr>
        <w:shd w:fill="DCE6F1" w:color="auto" w:val="clear"/>
        <w:spacing w:after="100" w:before="200"/>
      </w:pPr>
      <w:r>
        <w:rPr>
          <w:b/>
          <w:bCs/>
          <w:color w:val="1F3864"/>
          <w:sz w:val="22"/>
          <w:szCs w:val="22"/>
        </w:rPr>
        <w:t xml:space="preserve">Q3. Explain why PCA outperformed t-SNE on the Iris dataset in the lecture's example, and generalize this into a decision rule for choosing between the two methods.</w:t>
      </w:r>
    </w:p>
    <w:p>
      <w:pPr>
        <w:spacing w:after="140"/>
        <w:jc w:val="both"/>
      </w:pPr>
      <w:r>
        <w:t xml:space="preserve">The lecture explicitly poses and answers this question: 'Why is PCA better than t-SNE [on Iris]? The variables are strongly linearly correlated ⇒ PCA is so good.' PCA's entire mathematical foundation — finding directions of maximal variance via the covariance matrix's eigendecomposition — is *optimal precisely when the true underlying structure in the data is linear*; because the four Iris measurements (sepal/petal length &amp; width) are strongly linearly correlated with one another (e.g., petal length and petal width both scale together with overall flower/species size), a linear projection captures almost all of the meaningful variance, so PCA loses very little information while gaining full analytic tractability, determinism, and applicability to new out-of-sample flowers.</w:t>
      </w:r>
    </w:p>
    <w:p>
      <w:pPr>
        <w:spacing w:after="140"/>
        <w:jc w:val="both"/>
      </w:pPr>
      <w:r>
        <w:rPr>
          <w:b/>
          <w:bCs/>
        </w:rPr>
        <w:t xml:space="preserve">General decision rule</w:t>
      </w:r>
      <w:r>
        <w:t xml:space="preserve">: Prefer PCA when (a) the relationship among variables is believed/verified to be predominantly linear (e.g., checked via a correlation matrix showing strong pairwise linear correlations), (b) computational efficiency and determinism/reproducibility matter, (c) the embedding needs to generalize to new, unseen data points after being fit once (PCA supports this trivially via the same projection matrix Γ; t-SNE, per the lecture, explicitly 'is not applicable for a new data point'). Prefer t-SNE instead when (a) the data is suspected or known to contain complex nonlinear manifold structure that a linear projection would flatten/distort, (b) the goal is purely exploratory visualization or as a preprocessing step for clustering, and (c) the dataset is small/static enough that t-SNE's higher computational cost and lack of out-of-sample extension are acceptable, and its stochastic, run-to-run variability (since it involves a randomized iterative optimization) is not a concern.</w:t>
      </w:r>
    </w:p>
    <w:p>
      <w:pPr>
        <w:spacing w:after="140"/>
        <w:jc w:val="both"/>
      </w:pPr>
      <w:r>
        <w:t xml:space="preserve">The Autoencoder occupies a middle ground: like t-SNE it captures nonlinear structure, but like PCA it supports out-of-sample application (once trained, new points can simply be passed through the encoder), at the cost of requiring a computationally-intensive neural-network training procedure and only working reliably for data resembling its training distribution.</w:t>
      </w:r>
    </w:p>
    <w:p>
      <w:pPr>
        <w:shd w:fill="DCE6F1" w:color="auto" w:val="clear"/>
        <w:spacing w:after="100" w:before="200"/>
      </w:pPr>
      <w:r>
        <w:rPr>
          <w:b/>
          <w:bCs/>
          <w:color w:val="1F3864"/>
          <w:sz w:val="22"/>
          <w:szCs w:val="22"/>
        </w:rPr>
        <w:t xml:space="preserve">Q4. A researcher builds a linear regression model, adds five more (mostly irrelevant) predictors, and observes R² increase from 0.80 to 0.83. Explain whether this justifies keeping the new predictors, referencing Adjusted R² and AIC.</w:t>
      </w:r>
    </w:p>
    <w:p>
      <w:pPr>
        <w:spacing w:after="140"/>
        <w:jc w:val="both"/>
      </w:pPr>
      <w:r>
        <w:t xml:space="preserve">The observed increase in raw R² (0.80 → 0.83) does </w:t>
      </w:r>
      <w:r>
        <w:rPr>
          <w:b/>
          <w:bCs/>
        </w:rPr>
        <w:t xml:space="preserve">not</w:t>
      </w:r>
      <w:r>
        <w:t xml:space="preserve">, by itself, justify keeping the additional predictors. The lecture explicitly notes that R² is mathematically guaranteed to be *non-decreasing* as more predictor variables are added to a linear regression model, regardless of whether those variables have any true relationship with the response — even purely random noise variables will, by chance, explain a nonzero (if small) additional fraction of the training-sample variance, simply because OLS has more degrees of freedom with which to fit the observed sample.</w:t>
      </w:r>
    </w:p>
    <w:p>
      <w:pPr>
        <w:spacing w:after="140"/>
        <w:jc w:val="both"/>
      </w:pPr>
      <w:r>
        <w:rPr>
          <w:b/>
          <w:bCs/>
        </w:rPr>
        <w:t xml:space="preserve">Adjusted R²</w:t>
      </w:r>
      <w:r>
        <w:t xml:space="preserve"> directly corrects for this by explicitly penalizing model complexity: adjR² = 1 − [SS_residual/(n−k)] / [SS_total/(n−1)], where k is the number of predictors. Because the numerator's denominator (n−k) shrinks as k grows, adding a predictor that reduces SS_residual only marginally (as irrelevant noise variables typically do) can actually *decrease* Adjusted R² even while raw R² mechanically increases. The correct evaluation procedure is therefore to compare Adjusted R² before and after adding the five predictors, not raw R²: if Adjusted R² decreases (or increases only negligibly) despite raw R² rising from 0.80 to 0.83, this is strong evidence that the added predictors are not genuinely improving the model and are likely overfitting noise in the training sample.</w:t>
      </w:r>
    </w:p>
    <w:p>
      <w:pPr>
        <w:spacing w:after="140"/>
        <w:jc w:val="both"/>
      </w:pPr>
      <w:r>
        <w:rPr>
          <w:b/>
          <w:bCs/>
        </w:rPr>
        <w:t xml:space="preserve">AIC</w:t>
      </w:r>
      <w:r>
        <w:t xml:space="preserve"> provides a complementary, more general model-selection criterion (AIC = ln(σ̂²(k)) + k·2/n in the form given in the lecture), which similarly penalizes larger k; the lecture explicitly recommends AIC-based backward variable selection (iteratively removing the predictor whose removal most improves/least worsens AIC) as the principled way to decide which predictors genuinely belong in a 'reduced' model, precisely to avoid the naive but flawed 'higher R² is always better' fallacy illustrated by the given scenario. In practice, for many candidate predictors, the lecture notes that faster alternatives such as (adaptive) Lasso are often preferred over exhaustive AIC-based backward selection, since Lasso performs shrinkage and selection simultaneously and typically achieves comparable or better sparsification at much lower computational cost.</w:t>
      </w:r>
    </w:p>
    <w:p>
      <w:pPr>
        <w:shd w:fill="DCE6F1" w:color="auto" w:val="clear"/>
        <w:spacing w:after="100" w:before="200"/>
      </w:pPr>
      <w:r>
        <w:rPr>
          <w:b/>
          <w:bCs/>
          <w:color w:val="1F3864"/>
          <w:sz w:val="22"/>
          <w:szCs w:val="22"/>
        </w:rPr>
        <w:t xml:space="preserve">Q5. Explain the logistic regression model and why ordinary linear regression is inappropriate for a binary outcome, using the Iris versicolor classification example.</w:t>
      </w:r>
    </w:p>
    <w:p>
      <w:pPr>
        <w:spacing w:after="140"/>
        <w:jc w:val="both"/>
      </w:pPr>
      <w:r>
        <w:t xml:space="preserve">Logistic regression models the *log-odds* (logit) of a binary outcome as a linear function of the predictors: log[P(Y=1|x)/P(Y=0|x)] = x′β, which, solving for the probability directly, gives the sigmoid form P(Y=1|x) = 1/(1+e^{−x′β}). In the lecture's worked Iris example, Y indicates species = 'versicolor' (vs. not), and the fitted coefficients (Intercept=7.38, Sepal.Length=−0.25 [p=0.71, not significant], Sepal.Width=−2.80 [p&lt;0.01], Petal.Length=1.31 [p=0.05], Petal.Width=−2.78 [p=0.02]) show that increasing Petal.Length *increases* the estimated probability of being versicolor (positive coefficient), while increasing Sepal.Width or Petal.Width *decreases* it (negative coefficients) — with Sepal.Length flagged as statistically insignificant (p=0.71 ≫ 0.05) and thus a candidate for removal via the same model-reduction techniques used in linear regression.</w:t>
      </w:r>
    </w:p>
    <w:p>
      <w:pPr>
        <w:spacing w:after="140"/>
        <w:jc w:val="both"/>
      </w:pPr>
      <w:r>
        <w:rPr>
          <w:b/>
          <w:bCs/>
        </w:rPr>
        <w:t xml:space="preserve">Why ordinary linear regression is inappropriate here</w:t>
      </w:r>
      <w:r>
        <w:t xml:space="preserve">: a plain linear model y=β0+β1x1+...+ε applied directly to a 0/1-coded outcome would (a) produce fitted predictions ŷ that can fall far outside the valid [0,1] probability range (e.g., negative predicted 'probabilities' or values above 1) for extreme predictor values, which is nonsensical for a probability; (b) violate the constant-variance (homoscedasticity) assumption underlying OLS inference, since the variance of a Bernoulli-distributed outcome is inherently p(1−p), which mechanically depends on the (unknown) mean p itself and therefore is not constant across observations, invalidating the standard errors/p-values/R² machinery of linear regression; and (c) implicitly assume a linear (rather than the empirically far more natural S-shaped/sigmoid) relationship between the predictors and the *probability* of the outcome, when in reality probabilities must saturate near 0 and 1 rather than continue linearly without bound.</w:t>
      </w:r>
    </w:p>
    <w:p>
      <w:pPr>
        <w:spacing w:after="140"/>
        <w:jc w:val="both"/>
      </w:pPr>
      <w:r>
        <w:t xml:space="preserve">The logistic/sigmoid link function elegantly solves all three problems simultaneously by transforming an unconstrained linear predictor x′β into a properly bounded, S-shaped probability curve, and the resulting model is fit via maximum likelihood rather than least squares, giving statistically valid p-values for testing whether each predictor's coefficient is truly nonzero — exactly the p-value column used above to judge Sepal.Length as an insignificant predictor of versicolor membership.</w:t>
      </w:r>
    </w:p>
    <w:p>
      <w:r>
        <w:br w:type="page"/>
      </w:r>
    </w:p>
    <w:p>
      <w:pPr>
        <w:spacing w:after="40"/>
      </w:pPr>
      <w:r>
        <w:rPr>
          <w:b/>
          <w:bCs/>
          <w:color w:val="2E74B5"/>
          <w:sz w:val="22"/>
          <w:szCs w:val="22"/>
        </w:rPr>
        <w:t xml:space="preserve">LECTURE 7</w:t>
      </w:r>
    </w:p>
    <w:p>
      <w:pPr>
        <w:pStyle w:val="Heading1"/>
        <w:spacing w:after="120" w:before="240"/>
      </w:pPr>
      <w:r>
        <w:t xml:space="preserve">Data Analytics and Statistics — Descriptive &amp; Exploratory Statistics</w:t>
      </w:r>
    </w:p>
    <w:p>
      <w:pPr>
        <w:pStyle w:val="Heading2"/>
        <w:spacing w:after="120" w:before="240"/>
      </w:pPr>
      <w:r>
        <w:t xml:space="preserve">1. Overview</w:t>
      </w:r>
    </w:p>
    <w:p>
      <w:pPr>
        <w:spacing w:after="140"/>
        <w:jc w:val="both"/>
      </w:pPr>
      <w:r>
        <w:t xml:space="preserve">This lecture (Dr. Christoph Lehmann) situates Descriptive Statistics within the broader statistical landscape (Descriptive vs. Inferential vs. Exploratory Statistics), then works through visualization techniques (histogram, kernel density estimate, boxplot), univariate location/dispersion measures, and bivariate dependency measures (correlation, linear regression, coefficient of determination) — always emphasizing scale-of-measurement (categorical/ordinal/cardinal) as the deciding factor for which technique is valid.</w:t>
      </w:r>
    </w:p>
    <w:p>
      <w:pPr>
        <w:spacing w:after="140"/>
        <w:jc w:val="both"/>
      </w:pPr>
      <w:r>
        <w:t xml:space="preserve">The second half is a sobering, exam-favorite treatment of statistical reasoning pitfalls: chance findings in large-scale data mining (the Rhine card-guessing paradox), the base-rate fallacy (illustrated with face-recognition and COVID-19 testing scenarios), and 'off-statistical' data-quality issues (unstable measurement/counting methods, changing case definitions) using real German COVID-19 reporting controversies as case studies.</w:t>
      </w:r>
    </w:p>
    <w:p>
      <w:pPr>
        <w:spacing w:after="140"/>
        <w:jc w:val="both"/>
      </w:pPr>
      <w:r>
        <w:t xml:space="preserve">The recurring mantra: 'Correlation ≠ Causation', and 'not everything that counts can be counted, and not everything that can be counted counts' (W.B. Cameron, 1963).</w:t>
      </w:r>
    </w:p>
    <w:p>
      <w:pPr>
        <w:pStyle w:val="Heading2"/>
        <w:spacing w:after="120" w:before="240"/>
      </w:pPr>
      <w:r>
        <w:t xml:space="preserve">2. Key Concepts &amp; Definitions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80"/>
              <w:left w:type="dxa" w:w="120"/>
              <w:bottom w:type="dxa" w:w="80"/>
              <w:right w:type="dxa" w:w="120"/>
            </w:tcMar>
            <w:vAlign w:val="center"/>
          </w:tcPr>
          <w:p>
            <w:r>
              <w:rPr>
                <w:b/>
                <w:bCs/>
                <w:color w:val="FFFFFF"/>
                <w:sz w:val="20"/>
                <w:szCs w:val="20"/>
              </w:rPr>
              <w:t xml:space="preserve">Term / Concept</w:t>
            </w:r>
          </w:p>
        </w:tc>
        <w:tc>
          <w:tcPr>
            <w:tcW w:type="dxa" w:w="7000"/>
            <w:shd w:fill="1F3864" w:color="auto" w:val="clear"/>
            <w:tcMar>
              <w:top w:type="dxa" w:w="80"/>
              <w:left w:type="dxa" w:w="120"/>
              <w:bottom w:type="dxa" w:w="80"/>
              <w:right w:type="dxa" w:w="120"/>
            </w:tcMar>
            <w:vAlign w:val="center"/>
          </w:tcPr>
          <w:p>
            <w:r>
              <w:rPr>
                <w:b/>
                <w:bCs/>
                <w:color w:val="FFFFFF"/>
                <w:sz w:val="20"/>
                <w:szCs w:val="20"/>
              </w:rPr>
              <w:t xml:space="preserve">Definition / Explanation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Statistical Areas</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Descriptive Statistics (describing/summarizing observed data), Exploratory Statistics (finding unknown structures, hypothesis generation), Inferential Statistics (Estimation, Hypothesis Testing, Prediction — generalizing beyond the observed sample).</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Location Measures</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Mode (most frequent value; any scale), Median (middle value; ordinal/cardinal), Arithmetic Mean (cardinal only); further variants: weighted, geometric, harmonic, truncated/censored/winsorized means (robust to extreme values).</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Dispersion Measures</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Range (max−min), Mean Absolute Deviation, Variance, Standard Deviation, Coefficient of Variation (=SD/Mean, enables comparing variability across variables of different scale/units); on ordinal/categorical scales, entropy-based measures are used instead.</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Anscombe-style Warning</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'The same [summary] numbers can characterize totally different data' — identical mean/variance can arise from wildly different distributions/shapes, motivating mandatory visualization alongside any numeric summary.</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Correlation Coefficients by Scale</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Cardinal/linear: Bravais–Pearson correlation coefficient. Ordinal: Spearman rank correlation, Kendall's τ. Categorical (at least one variable): coefficient of association / contingency coefficient (χ²-based).</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Correlation ≠ Causation</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A correlation coefficient (even a strong one) never by itself establishes that one variable causes changes in the other; spurious correlations (e.g. tylervigen.com examples) can arise from confounders, coincidence, or reverse causation.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Coefficient of Determination R²</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Fraction of variance in Y explained by a fitted (linear) regression on X; distinguishes interpolation (safe, within the observed X-range) from extrapolation (risky, outside the observed range).</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Base-Rate Fallacy</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When a condition is rare (low prevalence) even a highly accurate test (high TAR/sensitivity, low FAR/false-alarm rate) yields many more false positives than true positives in absolute terms, so P(condition | positive test) can be surprisingly low — illustrated with facial-recognition (0.025% suspects) and COVID-19 testing (assumed 5% prevalence) worked numeric examples.</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Rhine / Multiple-Comparisons Paradox</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With enough independent trials, an event with tiny per-trial probability becomes almost certain to occur *at least once* by pure chance (binomial 'at least one success' calculation) — a caution against over-interpreting 'hits' found when mining very large datasets.</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Off-Statistical Issues</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Data-quality problems that live 'outside' the statistical model itself: is the counting/observation method stable over the whole collection period? (e.g., COVID-19 case definitions changed mid-pandemic in Germany, different regions counted 'COVID deaths' differently — RKI counted any positive-tested deceased vs. Hamburg requiring autopsy-confirmed cause of death) — such shifts can masquerade as real trend changes in the data.</w:t>
            </w:r>
          </w:p>
        </w:tc>
      </w:tr>
    </w:tbl>
    <w:p>
      <w:pPr>
        <w:spacing w:after="160"/>
      </w:pPr>
    </w:p>
    <w:p>
      <w:pPr>
        <w:pStyle w:val="Heading2"/>
        <w:spacing w:after="120" w:before="240"/>
      </w:pPr>
      <w:r>
        <w:t xml:space="preserve">3. Diagrams &amp; Visual Flowcharts</w:t>
      </w:r>
    </w:p>
    <w:p>
      <w:pPr>
        <w:spacing w:after="120" w:before="200"/>
      </w:pPr>
      <w:r>
        <w:rPr>
          <w:b/>
          <w:bCs/>
          <w:i/>
          <w:iCs/>
          <w:color w:val="1F3864"/>
          <w:sz w:val="22"/>
          <w:szCs w:val="22"/>
        </w:rPr>
        <w:t xml:space="preserve">Figure 7.1 — Statistical Areas Overview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Statistics</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 Descriptive (describe observed data)</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 Exploratory (discover unknown structure)</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 Inferential: Estimation (point/interval)</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5</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 Inferential: Hypothesis Testing</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6</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 Inferential: Prediction</w:t>
            </w:r>
          </w:p>
        </w:tc>
      </w:tr>
    </w:tbl>
    <w:p>
      <w:pPr>
        <w:spacing w:after="200" w:before="100"/>
      </w:pPr>
      <w:r>
        <w:rPr>
          <w:i/>
          <w:iCs/>
          <w:color w:val="555555"/>
          <w:sz w:val="19"/>
          <w:szCs w:val="19"/>
        </w:rPr>
        <w:t xml:space="preserve">↳ This lecture's primary focus is the Descriptive branch, though the base-rate/chance-finding discussion bridges into Inferential reasoning about test reliability.</w:t>
      </w:r>
    </w:p>
    <w:p>
      <w:pPr>
        <w:spacing w:after="120" w:before="200"/>
      </w:pPr>
      <w:r>
        <w:rPr>
          <w:b/>
          <w:bCs/>
          <w:i/>
          <w:iCs/>
          <w:color w:val="1F3864"/>
          <w:sz w:val="22"/>
          <w:szCs w:val="22"/>
        </w:rPr>
        <w:t xml:space="preserve">Figure 7.2 — Base-Rate Fallacy Confusion-Table Template (COVID-19 example)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1,700,000 tested</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 85,000 truly infected (5% prevalence) → 83,300 correctly classified infected (98% TAR) + 1,700 missed</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 1,615,000 truly non-infected → 48,450 falsely classified infected (3% FAR) + 1,566,550 correctly cleared</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P(truly infected | classified infected) = 83,300/(83,300+48,450) ≈ 63%</w:t>
            </w:r>
          </w:p>
        </w:tc>
      </w:tr>
    </w:tbl>
    <w:p>
      <w:pPr>
        <w:spacing w:after="200" w:before="100"/>
      </w:pPr>
      <w:r>
        <w:rPr>
          <w:i/>
          <w:iCs/>
          <w:color w:val="555555"/>
          <w:sz w:val="19"/>
          <w:szCs w:val="19"/>
        </w:rPr>
        <w:t xml:space="preserve">↳ Even with a 'good' test (98% sensitivity, 97% specificity), low prevalence means a large fraction of positive results are false positives in absolute terms — the essence of the base-rate fallacy.</w:t>
      </w:r>
    </w:p>
    <w:p>
      <w:pPr>
        <w:pStyle w:val="Heading2"/>
        <w:spacing w:after="120" w:before="240"/>
      </w:pPr>
      <w:r>
        <w:t xml:space="preserve">4. Formula Sheet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2400"/>
            <w:shd w:fill="2E74B5" w:color="auto" w:val="clear"/>
            <w:tcMar>
              <w:top w:type="dxa" w:w="80"/>
              <w:left w:type="dxa" w:w="120"/>
              <w:bottom w:type="dxa" w:w="80"/>
              <w:right w:type="dxa" w:w="120"/>
            </w:tcMar>
            <w:vAlign w:val="center"/>
          </w:tcPr>
          <w:p>
            <w:r>
              <w:rPr>
                <w:b/>
                <w:bCs/>
                <w:color w:val="FFFFFF"/>
                <w:sz w:val="20"/>
                <w:szCs w:val="20"/>
              </w:rPr>
              <w:t xml:space="preserve">Name</w:t>
            </w:r>
          </w:p>
        </w:tc>
        <w:tc>
          <w:tcPr>
            <w:tcW w:type="dxa" w:w="3200"/>
            <w:shd w:fill="2E74B5" w:color="auto" w:val="clear"/>
            <w:tcMar>
              <w:top w:type="dxa" w:w="80"/>
              <w:left w:type="dxa" w:w="120"/>
              <w:bottom w:type="dxa" w:w="80"/>
              <w:right w:type="dxa" w:w="120"/>
            </w:tcMar>
            <w:vAlign w:val="center"/>
          </w:tcPr>
          <w:p>
            <w:r>
              <w:rPr>
                <w:b/>
                <w:bCs/>
                <w:color w:val="FFFFFF"/>
                <w:sz w:val="20"/>
                <w:szCs w:val="20"/>
              </w:rPr>
              <w:t xml:space="preserve">Formula</w:t>
            </w:r>
          </w:p>
        </w:tc>
        <w:tc>
          <w:tcPr>
            <w:tcW w:type="dxa" w:w="4000"/>
            <w:shd w:fill="2E74B5" w:color="auto" w:val="clear"/>
            <w:tcMar>
              <w:top w:type="dxa" w:w="80"/>
              <w:left w:type="dxa" w:w="120"/>
              <w:bottom w:type="dxa" w:w="80"/>
              <w:right w:type="dxa" w:w="120"/>
            </w:tcMar>
            <w:vAlign w:val="center"/>
          </w:tcPr>
          <w:p>
            <w:r>
              <w:rPr>
                <w:b/>
                <w:bCs/>
                <w:color w:val="FFFFFF"/>
                <w:sz w:val="20"/>
                <w:szCs w:val="20"/>
              </w:rPr>
              <w:t xml:space="preserve">Meaning / Use</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Arithmetic mean</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x̄ = (1/n)Σxi</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Sensitive to extreme values; valid on cardinal scale.</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Variance / Standard deviation</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s² = (1/n)Σ(xi−x̄)²  ;  s = √s²</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Standard dispersion measures; s in original units, s² in squared units.</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Coefficient of variation</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CV = s / x̄</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Scale-free relative dispersion measure, enabling comparison across variables with different units/means.</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Coefficient of determination</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R² = 1 − SSresidual/SStotal</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Fraction of the variance in Y explained by the linear regression on X.</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Probability of ≥1 success in n trials</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P(≥1) = 1 − (1−p)^n</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Used in the Rhine card-guessing example: with p=0.5^10≈0.000977 and n=3000, P(≥1 success) is substantial even though any single trial is highly improbable.</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Base-rate posterior (Bayes, informal)</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P(condition|positive) = TP / (TP+FP)</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Depends critically on prevalence, not just on TAR/FAR — the core mechanism of the base-rate fallacy.</w:t>
            </w:r>
          </w:p>
        </w:tc>
      </w:tr>
    </w:tbl>
    <w:p>
      <w:pPr>
        <w:spacing w:after="160"/>
      </w:pPr>
    </w:p>
    <w:p>
      <w:pPr>
        <w:pStyle w:val="Heading2"/>
        <w:spacing w:after="120" w:before="240"/>
      </w:pPr>
      <w:r>
        <w:t xml:space="preserve">5. Exam-Style Questions &amp; Detailed Answers</w:t>
      </w:r>
    </w:p>
    <w:p>
      <w:pPr>
        <w:shd w:fill="DCE6F1" w:color="auto" w:val="clear"/>
        <w:spacing w:after="100" w:before="200"/>
      </w:pPr>
      <w:r>
        <w:rPr>
          <w:b/>
          <w:bCs/>
          <w:color w:val="1F3864"/>
          <w:sz w:val="22"/>
          <w:szCs w:val="22"/>
        </w:rPr>
        <w:t xml:space="preserve">Q1. Using the lecture's COVID-19 testing example (5% assumed prevalence, 98% TAR, 3% FAR, 1.7 million tested), compute the probability that a person testing positive is actually infected, and explain the general principle this illustrates.</w:t>
      </w:r>
    </w:p>
    <w:p>
      <w:pPr>
        <w:spacing w:after="140"/>
        <w:jc w:val="both"/>
      </w:pPr>
      <w:r>
        <w:rPr>
          <w:b/>
          <w:bCs/>
        </w:rPr>
        <w:t xml:space="preserve">Setup</w:t>
      </w:r>
      <w:r>
        <w:t xml:space="preserve">: Of 1,700,000 tested people, assume 5% prevalence → 85,000 truly infected, 1,615,000 truly non-infected. Among the 85,000 truly infected, the test correctly flags 98% (TAR/sensitivity) → 83,300 classified infected (true positives), missing 1,700 (false negatives). Among the 1,615,000 truly non-infected, the test incorrectly flags 3% (FAR) → 48,450 classified infected (false positives), correctly clearing 1,566,550 (true negatives).</w:t>
      </w:r>
    </w:p>
    <w:p>
      <w:pPr>
        <w:spacing w:after="140"/>
        <w:jc w:val="both"/>
      </w:pPr>
      <w:r>
        <w:rPr>
          <w:b/>
          <w:bCs/>
        </w:rPr>
        <w:t xml:space="preserve">Posterior probability</w:t>
      </w:r>
      <w:r>
        <w:t xml:space="preserve">: P(truly infected | classified infected) = TP/(TP+FP) = 83,300/(83,300+48,450) = 83,300/131,750 ≈ 0.632, i.e. only about </w:t>
      </w:r>
      <w:r>
        <w:rPr>
          <w:b/>
          <w:bCs/>
        </w:rPr>
        <w:t xml:space="preserve">63%</w:t>
      </w:r>
      <w:r>
        <w:t xml:space="preserve"> of people who test positive are actually infected — even though the test itself has a seemingly excellent 98% sensitivity and 97% specificity.</w:t>
      </w:r>
    </w:p>
    <w:p>
      <w:pPr>
        <w:spacing w:after="140"/>
        <w:jc w:val="both"/>
      </w:pPr>
      <w:r>
        <w:rPr>
          <w:b/>
          <w:bCs/>
        </w:rPr>
        <w:t xml:space="preserve">General principle (Base-Rate Fallacy)</w:t>
      </w:r>
      <w:r>
        <w:t xml:space="preserve">: this counter-intuitive result arises because the *false positive count* depends on the (typically much larger) non-infected population, not the smaller infected population — so even a small false-alarm *rate* (3%) applied to a huge non-infected group (1,615,000) generates an absolute number of false positives (48,450) that is comparable to, or can even exceed, the true positive count, especially when the underlying condition is rare (low prevalence). The lecture explicitly connects this to the earlier face-recognition example (0.025% suspects in the population yielding only ≈20% true-positive rate among flagged individuals even at 99% TAR / 0.1% FAR) and draws the general lesson: 'a higher prevalence leads to more reliable results' and 'only test with well-founded suspicion' — i.e., diagnostic/surveillance tests should be targeted at populations with elevated prior probability rather than applied indiscriminately to an entire low-prevalence population, precisely because rare-event detection at scale is intrinsically dominated by false alarms unless prevalence (or specificity) is very high.</w:t>
      </w:r>
    </w:p>
    <w:p>
      <w:pPr>
        <w:shd w:fill="DCE6F1" w:color="auto" w:val="clear"/>
        <w:spacing w:after="100" w:before="200"/>
      </w:pPr>
      <w:r>
        <w:rPr>
          <w:b/>
          <w:bCs/>
          <w:color w:val="1F3864"/>
          <w:sz w:val="22"/>
          <w:szCs w:val="22"/>
        </w:rPr>
        <w:t xml:space="preserve">Q2. Explain the Rhine card-guessing example and generalize it into a warning about 'chance findings' when mining large datasets.</w:t>
      </w:r>
    </w:p>
    <w:p>
      <w:pPr>
        <w:spacing w:after="140"/>
        <w:jc w:val="both"/>
      </w:pPr>
      <w:r>
        <w:t xml:space="preserve">In the Rhine-Paradox example, subjects attempt to correctly predict the color (red/blue) of 10 face-down cards purely by guessing; the probability of guessing all 10 correctly by pure chance is 0.5^10 ≈ 0.0009766 (roughly 1 in 1024). The lecture then asks: with 3000 independent subjects each attempting this, what is the probability that *at least one* of them succeeds purely by chance? Using the binomial 'at least one success' formula P(≥1 success) = 1 − (1−p)^n = 1 − (1−0.0009766)^3000, this probability turns out to be substantial (well above a coincidental level) — i.e., it becomes quite likely that *someone* among 3000 people will 'perfectly' guess all 10 cards, purely due to the sheer number of independent attempts, with no genuine predictive ability (e.g., ESP) required at all.</w:t>
      </w:r>
    </w:p>
    <w:p>
      <w:pPr>
        <w:spacing w:after="140"/>
        <w:jc w:val="both"/>
      </w:pPr>
      <w:r>
        <w:rPr>
          <w:b/>
          <w:bCs/>
        </w:rPr>
        <w:t xml:space="preserve">Generalization to large-scale data mining</w:t>
      </w:r>
      <w:r>
        <w:t xml:space="preserve">: whenever a very large number of independent hypotheses, subgroups, or comparisons are tested against a dataset (a common practice in exploratory Big-Data analytics — 'mining large amounts of data'), the sheer *volume of attempts* guarantees that some apparently striking pattern, correlation, or 'successful prediction' will emerge purely by chance, even if no real underlying effect exists — this is the statistical phenomenon underlying the 'multiple comparisons problem' / 'p-hacking' risk, and it directly motivates the lecture's later reference to tylervigen.com's collection of 'spurious correlations' (e.g., nonsensical but statistically significant correlations between unrelated time series). The practical takeaway for a data analyst is that a single 'interesting' finding surfaced by mining a large dataset (especially one involving many candidate variables/subgroups) should never be treated as confirmed evidence on its own — it requires either a pre-registered hypothesis tested on fresh, held-out data, or explicit correction for the number of comparisons performed (e.g., Bonferroni correction), echoing the same discipline of a strict, unseen Test set emphasized in the Machine-Learning-II lecture.</w:t>
      </w:r>
    </w:p>
    <w:p>
      <w:pPr>
        <w:shd w:fill="DCE6F1" w:color="auto" w:val="clear"/>
        <w:spacing w:after="100" w:before="200"/>
      </w:pPr>
      <w:r>
        <w:rPr>
          <w:b/>
          <w:bCs/>
          <w:color w:val="1F3864"/>
          <w:sz w:val="22"/>
          <w:szCs w:val="22"/>
        </w:rPr>
        <w:t xml:space="preserve">Q3. Using the German COVID-19 reporting example, explain what an 'off-statistical issue' is and why it is distinct from a purely statistical/mathematical data-quality problem.</w:t>
      </w:r>
    </w:p>
    <w:p>
      <w:pPr>
        <w:spacing w:after="140"/>
        <w:jc w:val="both"/>
      </w:pPr>
      <w:r>
        <w:t xml:space="preserve">An 'off-statistical issue', as defined and illustrated in the lecture, is a data-quality problem concerning the *stability and comparability of the underlying counting/observation/definitional method* over the course of data collection — as opposed to a within-model statistical property like variance, bias in an estimator, or a violated distributional assumption. It sits 'outside' the statistical machinery because no amount of correct mathematical analysis applied to the numbers themselves can detect or fix it; it requires external, contextual/procedural knowledge about how the data was actually generated.</w:t>
      </w:r>
    </w:p>
    <w:p>
      <w:pPr>
        <w:spacing w:after="140"/>
        <w:jc w:val="both"/>
      </w:pPr>
      <w:r>
        <w:rPr>
          <w:b/>
          <w:bCs/>
        </w:rPr>
        <w:t xml:space="preserve">Concrete German COVID-19 examples given</w:t>
      </w:r>
      <w:r>
        <w:t xml:space="preserve">: (1) *Changing case definition*: the Robert Koch Institute (RKI) modified its official case definition partway through the pandemic (noted '24.03.: modified case definition RKI' alongside sharply rising weekly test numbers from 127,457 to 406,052 between weeks 11–16 of 2020) — meaning that an apparent 'jump' in reported case counts partly reflects a redefinition of what counts as a 'case' and a simultaneous large increase in testing capacity, not necessarily a proportional real increase in infections. (2) *Inconsistent death-counting methodology*: Hamburg's health authority counted a 'COVID-19 death' only when forensic autopsy confirmed COVID-19 as the actual cause of death, whereas the RKI counted *any* deceased person who had tested positive for SARS-CoV-2, regardless of true cause of death — leading Hamburg (8 deaths) and RKI (14 deaths) to report materially different death tolls for the exact same underlying population and time period, and prompting Hamburg to publicly call for a nationwide standardization of the counting method.</w:t>
      </w:r>
    </w:p>
    <w:p>
      <w:pPr>
        <w:spacing w:after="140"/>
        <w:jc w:val="both"/>
      </w:pPr>
      <w:r>
        <w:rPr>
          <w:b/>
          <w:bCs/>
        </w:rPr>
        <w:t xml:space="preserve">Why this is distinct from a purely mathematical problem</w:t>
      </w:r>
      <w:r>
        <w:t xml:space="preserve">: a statistician analyzing only the *numbers* (e.g., computing a trend line, a growth rate, a variance) has no way to detect, from the numbers alone, that the measurement *definition itself* changed mid-series — the series can look perfectly well-behaved mathematically (smooth, plausible-looking data) while being fundamentally non-comparable across time or across regions. Detecting and correcting for this requires domain/procedural investigation (reading methodology reports, cross-checking against known policy-change dates) rather than any statistical test, which is precisely why the lecture frames it as an 'off-statistical' — i.e., extra-statistical — category of data-quality risk, directly echoing the Research-Data-Management lecture's insistence that raw data 'without contextual information is useless' and that documentation of collection circumstances is essential for valid interpretation.</w:t>
      </w:r>
    </w:p>
    <w:p>
      <w:pPr>
        <w:shd w:fill="DCE6F1" w:color="auto" w:val="clear"/>
        <w:spacing w:after="100" w:before="200"/>
      </w:pPr>
      <w:r>
        <w:rPr>
          <w:b/>
          <w:bCs/>
          <w:color w:val="1F3864"/>
          <w:sz w:val="22"/>
          <w:szCs w:val="22"/>
        </w:rPr>
        <w:t xml:space="preserve">Q4. Explain, with reference to the Iris dataset scatterplot vs. correlation-matrix examples, why 'it is [not] sufficient to investigate the correlation matrix for dependencies in the data'.</w:t>
      </w:r>
    </w:p>
    <w:p>
      <w:pPr>
        <w:spacing w:after="140"/>
        <w:jc w:val="both"/>
      </w:pPr>
      <w:r>
        <w:t xml:space="preserve">The Bravais–Pearson correlation coefficient (and hence the full pairwise correlation matrix computed from it) is specifically designed to detect and quantify *linear* dependence between two cardinal-scale variables; a correlation near 0 only indicates the *absence of a linear* relationship — it does </w:t>
      </w:r>
      <w:r>
        <w:rPr>
          <w:b/>
          <w:bCs/>
        </w:rPr>
        <w:t xml:space="preserve">not</w:t>
      </w:r>
      <w:r>
        <w:t xml:space="preserve"> rule out a strong *nonlinear* dependency (e.g., a clear quadratic, sinusoidal, or threshold-based relationship can coexist with a Pearson correlation arbitrarily close to zero). Conversely, a numerically large correlation coefficient can be driven almost entirely by a small number of extreme/outlier points, giving a misleadingly strong impression of an overall linear trend that is not actually representative of the bulk of the data.</w:t>
      </w:r>
    </w:p>
    <w:p>
      <w:pPr>
        <w:spacing w:after="140"/>
        <w:jc w:val="both"/>
      </w:pPr>
      <w:r>
        <w:t xml:space="preserve">This is why the lecture immediately follows its correlation-matrix slide with a rhetorical question ('Is it sufficient to investigate the correlation matrix for dependencies in the data?') and then presents the Iris scatterplot matrix as the necessary complement: visual inspection of the actual point clouds reveals the *shape* of each pairwise relationship (e.g., confirming that petal length and petal width really do show a strong, genuinely linear-looking joint pattern across the full range, and additionally reveals structure invisible in a single correlation number, such as the presence of three visually separable species-level clusters in petal measurements — a categorical/grouping structure that a single aggregate linear-correlation number completely ignores, since it collapses all species together into one pooled coefficient).</w:t>
      </w:r>
    </w:p>
    <w:p>
      <w:pPr>
        <w:spacing w:after="140"/>
        <w:jc w:val="both"/>
      </w:pPr>
      <w:r>
        <w:t xml:space="preserve">This directly echoes the lecture's earlier general warning that 'the same numbers can characterize totally different data' (an Anscombe's-Quartet-style caution) — a table of correlation coefficients, exactly like a table of means and variances, is a *lossy summary* of the joint distribution and must always be paired with appropriate visualization (scatterplots, or scatterplot matrices for multivariate data) before drawing conclusions about dependency structure, nonlinearity, or subgroup effects.</w:t>
      </w:r>
    </w:p>
    <w:p>
      <w:pPr>
        <w:shd w:fill="DCE6F1" w:color="auto" w:val="clear"/>
        <w:spacing w:after="100" w:before="200"/>
      </w:pPr>
      <w:r>
        <w:rPr>
          <w:b/>
          <w:bCs/>
          <w:color w:val="1F3864"/>
          <w:sz w:val="22"/>
          <w:szCs w:val="22"/>
        </w:rPr>
        <w:t xml:space="preserve">Q5. State the correlation-coefficient family appropriate for each of the following variable-scale combinations, and briefly justify each choice: (a) two cardinal variables, (b) two ordinal variables, (c) one categorical and one cardinal/ordinal variable.</w:t>
      </w:r>
    </w:p>
    <w:p>
      <w:pPr>
        <w:spacing w:after="140"/>
        <w:jc w:val="both"/>
      </w:pPr>
      <w:r>
        <w:rPr>
          <w:b/>
          <w:bCs/>
        </w:rPr>
        <w:t xml:space="preserve">(a) Two cardinal variables</w:t>
      </w:r>
      <w:r>
        <w:t xml:space="preserve"> → the </w:t>
      </w:r>
      <w:r>
        <w:rPr>
          <w:b/>
          <w:bCs/>
        </w:rPr>
        <w:t xml:space="preserve">Bravais–Pearson correlation coefficient</w:t>
      </w:r>
      <w:r>
        <w:t xml:space="preserve">, which quantifies the strength and direction of a *linear* relationship between two numeric variables measured on an interval/ratio scale, and underlies the coefficient of determination R² used to evaluate a fitted linear regression.</w:t>
      </w:r>
    </w:p>
    <w:p>
      <w:pPr>
        <w:spacing w:after="140"/>
        <w:jc w:val="both"/>
      </w:pPr>
      <w:r>
        <w:rPr>
          <w:b/>
          <w:bCs/>
        </w:rPr>
        <w:t xml:space="preserve">(b) Two ordinal variables</w:t>
      </w:r>
      <w:r>
        <w:t xml:space="preserve"> → </w:t>
      </w:r>
      <w:r>
        <w:rPr>
          <w:b/>
          <w:bCs/>
        </w:rPr>
        <w:t xml:space="preserve">Spearman's rank correlation coefficient</w:t>
      </w:r>
      <w:r>
        <w:t xml:space="preserve"> (or </w:t>
      </w:r>
      <w:r>
        <w:rPr>
          <w:b/>
          <w:bCs/>
        </w:rPr>
        <w:t xml:space="preserve">Kendall's τ</w:t>
      </w:r>
      <w:r>
        <w:t xml:space="preserve">), both of which operate on the *ranks* of the observations rather than their raw numeric values, making them appropriate when only the relative ordering of categories is meaningful (e.g., a Likert-scale survey response) and the numeric 'distance' between adjacent categories is not necessarily uniform or even well-defined — using Pearson correlation directly on ordinal-coded data (e.g., treating 'Strongly Disagree'=1,...,'Strongly Agree'=5 as literal cardinal numbers) would implicitly assume equal spacing between categories, an assumption ordinal scales do not guarantee. Spearman's coefficient is essentially Pearson's correlation computed on the rank-transformed data, while Kendall's τ instead counts concordant vs. discordant pairs, offering a more robust (if computationally more expensive) alternative especially for smaller samples or data with many tied ranks.</w:t>
      </w:r>
    </w:p>
    <w:p>
      <w:pPr>
        <w:spacing w:after="140"/>
        <w:jc w:val="both"/>
      </w:pPr>
      <w:r>
        <w:rPr>
          <w:b/>
          <w:bCs/>
        </w:rPr>
        <w:t xml:space="preserve">(c) One categorical and one cardinal/ordinal (or two categorical) variable(s)</w:t>
      </w:r>
      <w:r>
        <w:t xml:space="preserve"> → a </w:t>
      </w:r>
      <w:r>
        <w:rPr>
          <w:b/>
          <w:bCs/>
        </w:rPr>
        <w:t xml:space="preserve">coefficient of association</w:t>
      </w:r>
      <w:r>
        <w:t xml:space="preserve">, such as the </w:t>
      </w:r>
      <w:r>
        <w:rPr>
          <w:b/>
          <w:bCs/>
        </w:rPr>
        <w:t xml:space="preserve">coefficient of contingency</w:t>
      </w:r>
      <w:r>
        <w:t xml:space="preserve"> (derived from the χ²-statistic of a contingency table), since neither a linear-correlation notion nor a rank-correlation notion is meaningful when at least one variable has no inherent ordering at all (e.g., 'blood type' or 'country of origin') — association measures instead quantify the degree of statistical dependence between the categorical groupings and the other variable's distribution via departure from the independence assumption embedded in the expected cell counts of a contingency table.</w:t>
      </w:r>
    </w:p>
    <w:p>
      <w:pPr>
        <w:spacing w:after="140"/>
        <w:jc w:val="both"/>
      </w:pPr>
      <w:r>
        <w:t xml:space="preserve">This scale-dependent choice of dependency measure is a direct extension of the same scale-driven-methodology principle introduced for univariate location/dispersion measures earlier in the same lecture (e.g., arithmetic mean requiring cardinal scale, median requiring at least ordinal scale, mode valid on any scale) — in both the univariate and bivariate cases, applying a technique that assumes a finer scale of measurement than the data actually possesses produces numerically well-defined but substantively meaningless or misleading results.</w:t>
      </w:r>
    </w:p>
    <w:p>
      <w:r>
        <w:br w:type="page"/>
      </w:r>
    </w:p>
    <w:p>
      <w:pPr>
        <w:spacing w:after="40"/>
      </w:pPr>
      <w:r>
        <w:rPr>
          <w:b/>
          <w:bCs/>
          <w:color w:val="2E74B5"/>
          <w:sz w:val="22"/>
          <w:szCs w:val="22"/>
        </w:rPr>
        <w:t xml:space="preserve">LECTURE 8</w:t>
      </w:r>
    </w:p>
    <w:p>
      <w:pPr>
        <w:pStyle w:val="Heading1"/>
        <w:spacing w:after="120" w:before="240"/>
      </w:pPr>
      <w:r>
        <w:t xml:space="preserve">Deep Learning I — Perceptrons, MLPs, Backpropagation</w:t>
      </w:r>
    </w:p>
    <w:p>
      <w:pPr>
        <w:pStyle w:val="Heading2"/>
        <w:spacing w:after="120" w:before="240"/>
      </w:pPr>
      <w:r>
        <w:t xml:space="preserve">1. Overview</w:t>
      </w:r>
    </w:p>
    <w:p>
      <w:pPr>
        <w:spacing w:after="140"/>
        <w:jc w:val="both"/>
      </w:pPr>
      <w:r>
        <w:t xml:space="preserve">This lecture builds neural networks from their historical roots: the McCulloch-Pitts neuron (1943, no learning), the Rosenblatt Perceptron (1957/58, first trainable weights, worked numeric example), the XOR problem and Minsky/Papert's 1969 critique that killed single-layer perceptron research for over a decade, and finally the 1986 backpropagation breakthrough (Rumelhart, Hinton, Williams) that made training Multi-Layer Perceptrons (MLPs) practical.</w:t>
      </w:r>
    </w:p>
    <w:p>
      <w:pPr>
        <w:spacing w:after="140"/>
        <w:jc w:val="both"/>
      </w:pPr>
      <w:r>
        <w:t xml:space="preserve">The technical core is: MLP architecture (input/hidden/output layers, full connectivity), activation functions (threshold, ReLU, sigmoid, tanh), the loss-function + gradient-descent optimization framework, and backpropagation as an efficient application of the (multivariate) chain rule, worked through two explicit toy examples.</w:t>
      </w:r>
    </w:p>
    <w:p>
      <w:pPr>
        <w:spacing w:after="140"/>
        <w:jc w:val="both"/>
      </w:pPr>
      <w:r>
        <w:t xml:space="preserve">The lecture closes with overfitting-prevention techniques and the crucial practical distinction between (expensive) Training and (cheap) Inference, explaining why GPUs — efficient at the underlying matrix operations — were the key hardware enabler of the deep learning revolution.</w:t>
      </w:r>
    </w:p>
    <w:p>
      <w:pPr>
        <w:pStyle w:val="Heading2"/>
        <w:spacing w:after="120" w:before="240"/>
      </w:pPr>
      <w:r>
        <w:t xml:space="preserve">2. Key Concepts &amp; Definitions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80"/>
              <w:left w:type="dxa" w:w="120"/>
              <w:bottom w:type="dxa" w:w="80"/>
              <w:right w:type="dxa" w:w="120"/>
            </w:tcMar>
            <w:vAlign w:val="center"/>
          </w:tcPr>
          <w:p>
            <w:r>
              <w:rPr>
                <w:b/>
                <w:bCs/>
                <w:color w:val="FFFFFF"/>
                <w:sz w:val="20"/>
                <w:szCs w:val="20"/>
              </w:rPr>
              <w:t xml:space="preserve">Term / Concept</w:t>
            </w:r>
          </w:p>
        </w:tc>
        <w:tc>
          <w:tcPr>
            <w:tcW w:type="dxa" w:w="7000"/>
            <w:shd w:fill="1F3864" w:color="auto" w:val="clear"/>
            <w:tcMar>
              <w:top w:type="dxa" w:w="80"/>
              <w:left w:type="dxa" w:w="120"/>
              <w:bottom w:type="dxa" w:w="80"/>
              <w:right w:type="dxa" w:w="120"/>
            </w:tcMar>
            <w:vAlign w:val="center"/>
          </w:tcPr>
          <w:p>
            <w:r>
              <w:rPr>
                <w:b/>
                <w:bCs/>
                <w:color w:val="FFFFFF"/>
                <w:sz w:val="20"/>
                <w:szCs w:val="20"/>
              </w:rPr>
              <w:t xml:space="preserve">Definition / Explanation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McCulloch-Pitts Neuron (1943)</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Earliest formal neuron model: a linear threshold unit producing binary output (0 or 1) based on a fixed (not learned) threshold rule; historically important but could not learn weights from data.</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Rosenblatt Perceptron (1957/58)</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First algorithm to *learn* weights: starts from random initial weights and updates them only when the current example is misclassified, via ω_i^{(n+1)} ← ω_i^{(n)} + α·(y_i − ϑ_i)·x_i, where α is the learning rate and ϑ_i the current node output — the historical ancestor of gradient-based learning.</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XOR Problem / Minsky-Papert critique (1969)</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A single perceptron can only correctly classify *linearly separable* datasets; XOR is a textbook example of a NOT linearly separable function, so a single-layer perceptron provably cannot compute it — this result (published in 'Perceptrons') caused a multi-decade slowdown in neural-network research ('AI winter') until multi-layer architectures with a working training algorithm were developed.</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Multi-Layer Perceptron (MLP)</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A feedforward neural network with an input layer, one or more hidden layers, and an output layer; every neuron in a layer is fully connected to every neuron in the previous layer; the output layer computes the final prediction, compared against targets by a loss function; supervised training on labeled data D={(x_i,y_i)}.</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Activation Functions</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Threshold (historic, non-differentiable), ReLU f(x)=max(0,x) (fast, avoids vanishing gradient for x&gt;0, default choice in modern deep nets), Sigmoid f(x)=1/(1+e^{−βx}) (bounded (0,1), historically used but prone to vanishing gradients), Tanh f(x)=(e^x−e^{−x})/(e^x+e^{−x}) (bounded (−1,1), zero-centered), plus modern variants (Leaky ReLU, GELU) addressing ReLU's 'dying neuron' problem.</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Loss Function &amp; Gradient Descent</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The loss function L(y,X,w) measures the discrepancy between model output and target; training seeks parameters w minimizing L via Gradient Descent: w_{t+1}=w_t − α·∇_w L(y,X,w), i.e., iteratively stepping in the direction opposite to the gradient (steepest ascent) of the loss surface.</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Backpropagation (1986)</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An efficient algorithmic application of the (multivariate) chain rule that computes ∂L/∂w for every weight in the network via one forward pass (compute all intermediate activations) followed by one backward pass (propagate gradients from the output back toward the input, layer by layer), avoiding the combinatorial explosion of naively differentiating the full nested composite function directly.</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Multivariate Chain Rule (backprop rule)</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When a downstream variable depends on an upstream variable through *multiple* paths (e.g., L depends on y through both u(y) and v(y)), all incoming gradients along every path must be **summed** at the branching node: dL/dy = (∂L/∂u)(du/dy) + (∂L/∂v)(dv/dy) — the single most exam-relevant mechanical rule of backpropagation.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Learning Rate</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Step-size hyperparameter α in gradient descent; too small → very slow convergence; too large → overshooting/divergence/oscillation around the minimum; a central hyperparameter requiring careful tuning or adaptive scheduling.</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Overfitting Prevention (Deep Learning specific)</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Train on more data, Data augmentation, Dropout (randomly deactivate neurons during training), Slow Learning/Early Stopping (halt once validation error starts rising), Regularization (L2/weight-decay/ridge, L1).</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Training vs. Inference</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Training: computationally expensive, iterative, requires storing/computing gradients over (mini-)batches (X_batch &lt; X due to GPU memory limits). Inference: comparatively cheap, a single forward pass. GPUs' efficiency at large matrix operations is identified as a key historical driver of deep learning's practical success.</w:t>
            </w:r>
          </w:p>
        </w:tc>
      </w:tr>
    </w:tbl>
    <w:p>
      <w:pPr>
        <w:spacing w:after="160"/>
      </w:pPr>
    </w:p>
    <w:p>
      <w:pPr>
        <w:pStyle w:val="Heading2"/>
        <w:spacing w:after="120" w:before="240"/>
      </w:pPr>
      <w:r>
        <w:t xml:space="preserve">3. Diagrams &amp; Visual Flowcharts</w:t>
      </w:r>
    </w:p>
    <w:p>
      <w:pPr>
        <w:spacing w:after="120" w:before="200"/>
      </w:pPr>
      <w:r>
        <w:rPr>
          <w:b/>
          <w:bCs/>
          <w:i/>
          <w:iCs/>
          <w:color w:val="1F3864"/>
          <w:sz w:val="22"/>
          <w:szCs w:val="22"/>
        </w:rPr>
        <w:t xml:space="preserve">Figure 8.1 — Historical Timeline of Neural Network Development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1943: McCulloch-Pitts neuron (fixed threshold, no learning)</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1957/58: Rosenblatt Perceptron (learns weights, single layer)</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1969: Minsky &amp; Papert 'Perceptrons' — XOR unsolvable by single layer → AI Winter</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1986: Rumelhart/Hinton/Williams Backpropagation — enables training Multi-Layer Perceptrons</w:t>
            </w:r>
          </w:p>
        </w:tc>
      </w:tr>
    </w:tbl>
    <w:p>
      <w:pPr>
        <w:spacing w:after="200" w:before="100"/>
      </w:pPr>
      <w:r>
        <w:rPr>
          <w:i/>
          <w:iCs/>
          <w:color w:val="555555"/>
          <w:sz w:val="19"/>
          <w:szCs w:val="19"/>
        </w:rPr>
        <w:t xml:space="preserve">↳ Each milestone directly resolves the limitation of the one before it: fixed→learned weights, then single-layer→multi-layer capability, unlocked precisely by backpropagation's efficient gradient computation.</w:t>
      </w:r>
    </w:p>
    <w:p>
      <w:pPr>
        <w:spacing w:after="120" w:before="200"/>
      </w:pPr>
      <w:r>
        <w:rPr>
          <w:b/>
          <w:bCs/>
          <w:i/>
          <w:iCs/>
          <w:color w:val="1F3864"/>
          <w:sz w:val="22"/>
          <w:szCs w:val="22"/>
        </w:rPr>
        <w:t xml:space="preserve">Figure 8.2 — Forward Pass / Backward Pass (Backpropagation)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FORWARD:  x → y=y(x) → L=L(y)   [compute &amp; cache all intermediate values]</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BACKWARD: ∂L/∂L=1 → ∂L/∂y = ∂L/∂L · ∂L/∂y → ∂L/∂x = ∂L/∂y · ∂y/∂x</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Worked numeric example: y=x², L=2y ⇒ L=2x² ⇒ dL/dx = 4x (matches direct differentiation)</w:t>
            </w:r>
          </w:p>
        </w:tc>
      </w:tr>
    </w:tbl>
    <w:p>
      <w:pPr>
        <w:spacing w:after="200" w:before="100"/>
      </w:pPr>
      <w:r>
        <w:rPr>
          <w:i/>
          <w:iCs/>
          <w:color w:val="555555"/>
          <w:sz w:val="19"/>
          <w:szCs w:val="19"/>
        </w:rPr>
        <w:t xml:space="preserve">↳ The 'local gradients' (∂y/∂x etc., computable from each node in isolation) are multiplied along the chain and, at branching nodes with multiple downstream paths, summed — exactly the multivariate chain rule.</w:t>
      </w:r>
    </w:p>
    <w:p>
      <w:pPr>
        <w:spacing w:after="120" w:before="200"/>
      </w:pPr>
      <w:r>
        <w:rPr>
          <w:b/>
          <w:bCs/>
          <w:i/>
          <w:iCs/>
          <w:color w:val="1F3864"/>
          <w:sz w:val="22"/>
          <w:szCs w:val="22"/>
        </w:rPr>
        <w:t xml:space="preserve">Figure 8.3 — MLP Architecture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Input Layer (p features)</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Hidden Layer(s) (fully connected, activation function applied)</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Output Layer (task-dependent: e.g. sigmoid for binary classification, softmax for multi-class, linear for regression)</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Loss Function (compares output vs. target y)</w:t>
            </w:r>
          </w:p>
        </w:tc>
      </w:tr>
    </w:tbl>
    <w:p>
      <w:pPr>
        <w:spacing w:after="200" w:before="100"/>
      </w:pPr>
      <w:r>
        <w:rPr>
          <w:i/>
          <w:iCs/>
          <w:color w:val="555555"/>
          <w:sz w:val="19"/>
          <w:szCs w:val="19"/>
        </w:rPr>
        <w:t xml:space="preserve">↳ Choice of output-layer activation and loss function must match the task (classification vs regression) — an explicit exam-relevant design decision.</w:t>
      </w:r>
    </w:p>
    <w:p>
      <w:pPr>
        <w:pStyle w:val="Heading2"/>
        <w:spacing w:after="120" w:before="240"/>
      </w:pPr>
      <w:r>
        <w:t xml:space="preserve">4. Formula Sheet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2400"/>
            <w:shd w:fill="2E74B5" w:color="auto" w:val="clear"/>
            <w:tcMar>
              <w:top w:type="dxa" w:w="80"/>
              <w:left w:type="dxa" w:w="120"/>
              <w:bottom w:type="dxa" w:w="80"/>
              <w:right w:type="dxa" w:w="120"/>
            </w:tcMar>
            <w:vAlign w:val="center"/>
          </w:tcPr>
          <w:p>
            <w:r>
              <w:rPr>
                <w:b/>
                <w:bCs/>
                <w:color w:val="FFFFFF"/>
                <w:sz w:val="20"/>
                <w:szCs w:val="20"/>
              </w:rPr>
              <w:t xml:space="preserve">Name</w:t>
            </w:r>
          </w:p>
        </w:tc>
        <w:tc>
          <w:tcPr>
            <w:tcW w:type="dxa" w:w="3200"/>
            <w:shd w:fill="2E74B5" w:color="auto" w:val="clear"/>
            <w:tcMar>
              <w:top w:type="dxa" w:w="80"/>
              <w:left w:type="dxa" w:w="120"/>
              <w:bottom w:type="dxa" w:w="80"/>
              <w:right w:type="dxa" w:w="120"/>
            </w:tcMar>
            <w:vAlign w:val="center"/>
          </w:tcPr>
          <w:p>
            <w:r>
              <w:rPr>
                <w:b/>
                <w:bCs/>
                <w:color w:val="FFFFFF"/>
                <w:sz w:val="20"/>
                <w:szCs w:val="20"/>
              </w:rPr>
              <w:t xml:space="preserve">Formula</w:t>
            </w:r>
          </w:p>
        </w:tc>
        <w:tc>
          <w:tcPr>
            <w:tcW w:type="dxa" w:w="4000"/>
            <w:shd w:fill="2E74B5" w:color="auto" w:val="clear"/>
            <w:tcMar>
              <w:top w:type="dxa" w:w="80"/>
              <w:left w:type="dxa" w:w="120"/>
              <w:bottom w:type="dxa" w:w="80"/>
              <w:right w:type="dxa" w:w="120"/>
            </w:tcMar>
            <w:vAlign w:val="center"/>
          </w:tcPr>
          <w:p>
            <w:r>
              <w:rPr>
                <w:b/>
                <w:bCs/>
                <w:color w:val="FFFFFF"/>
                <w:sz w:val="20"/>
                <w:szCs w:val="20"/>
              </w:rPr>
              <w:t xml:space="preserve">Meaning / Use</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Perceptron weight update</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ωi^{(n+1)} = ωi^{(n)} + α·(yi − ϑi)·xi</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Only updates weights on misclassification; α=learning rate, ϑi=current output.</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ReLU</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f(x) = max(0, x)</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Piecewise-linear; zero gradient for x&lt;0 ('dying ReLU'), gradient 1 for x&gt;0.</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Sigmoid</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f(x) = 1 / (1 + e^{−βx})</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Bounded (0,1); saturates for large |x|, causing vanishing gradients.</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Tanh</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f(x) = (e^x − e^{−x}) / (e^x + e^{−x})</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Bounded (−1,1), zero-centered; also saturates for large |x|.</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Gradient Descent update</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w_{t+1} = w_t − α·∇w L(y,X,w)</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Core optimization rule; α is the learning rate.</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Multivariate chain rule (backprop)</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dL/dy = Σ_paths (∂L/∂[downstream var])·(∂[downstream var]/∂y)</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All incoming gradients at a node with multiple downstream dependents must be summed.</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Fully-connected layer weight count</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#Weights = W·H·Cout·(W·H·Cin + 1)</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For an MLP-style fully-connected layer mapping W×H×Cin inputs to W×H×Cout outputs (contrast with the far smaller convolutional weight count, Lecture 9).</w:t>
            </w:r>
          </w:p>
        </w:tc>
      </w:tr>
    </w:tbl>
    <w:p>
      <w:pPr>
        <w:spacing w:after="160"/>
      </w:pPr>
    </w:p>
    <w:p>
      <w:pPr>
        <w:pStyle w:val="Heading2"/>
        <w:spacing w:after="120" w:before="240"/>
      </w:pPr>
      <w:r>
        <w:t xml:space="preserve">5. Exam-Style Questions &amp; Detailed Answers</w:t>
      </w:r>
    </w:p>
    <w:p>
      <w:pPr>
        <w:shd w:fill="DCE6F1" w:color="auto" w:val="clear"/>
        <w:spacing w:after="100" w:before="200"/>
      </w:pPr>
      <w:r>
        <w:rPr>
          <w:b/>
          <w:bCs/>
          <w:color w:val="1F3864"/>
          <w:sz w:val="22"/>
          <w:szCs w:val="22"/>
        </w:rPr>
        <w:t xml:space="preserve">Q1. Explain, with the worked numeric example from the lecture, why the perceptron learning rule ω_i ← ω_i + α·(y−f(Σ))·x_i only updates weights on misclassification, and trace through the given example (α=0.3, initial ω1=ω2=1, sample x1=0, x2=1, y=0).</w:t>
      </w:r>
    </w:p>
    <w:p>
      <w:pPr>
        <w:spacing w:after="140"/>
        <w:jc w:val="both"/>
      </w:pPr>
      <w:r>
        <w:t xml:space="preserve">The perceptron weight-update rule contains the error term ε = y − f(Σ), i.e. the difference between the true label y and the perceptron's current prediction f(Σ). If the perceptron already classifies the example correctly, f(Σ)=y, so ε=0, and every weight update ω_i ← ω_i + α·ε·x_i becomes ω_i ← ω_i + 0 = ω_i, i.e. no change occurs. Only when the prediction is wrong (ε≠0) does the rule actually adjust the weights, nudging them in the direction that would have reduced the error for that specific example — this is precisely what 'updating takes place only if the current vector is misclassified' means.</w:t>
      </w:r>
    </w:p>
    <w:p>
      <w:pPr>
        <w:spacing w:after="140"/>
        <w:jc w:val="both"/>
      </w:pPr>
      <w:r>
        <w:rPr>
          <w:b/>
          <w:bCs/>
        </w:rPr>
        <w:t xml:space="preserve">Worked trace</w:t>
      </w:r>
      <w:r>
        <w:t xml:space="preserve">: with α=0.3, initial ω1=ω2=1, threshold rule f(Σ)=1 if Σ&gt;0.4 else 0, and sample (x1=0, x2=1, y=0): compute Σ = x1·ω1 + x2·ω2 = 0·1 + 1·1 = 1. Since Σ=1&gt;0.4, f(Σ)=1. But the true label is y=0, so f(Σ)≠y — this is a misclassification, giving error ε = y − f(Σ) = 0 − 1 = −1.</w:t>
      </w:r>
    </w:p>
    <w:p>
      <w:pPr>
        <w:spacing w:after="140"/>
        <w:jc w:val="both"/>
      </w:pPr>
      <w:r>
        <w:rPr>
          <w:b/>
          <w:bCs/>
        </w:rPr>
        <w:t xml:space="preserve">Weight update</w:t>
      </w:r>
      <w:r>
        <w:t xml:space="preserve">: ω1 ← ω1 + α·ε·x1 = 1 + 0.3×(−1)×0 = 1.0 (unchanged, since x1=0 means this input contributed nothing to the error and so receives no blame/adjustment). ω2 ← ω2 + α·ε·x2 = 1 + 0.3×(−1)×1 = 1 − 0.3 = 0.7 (decreased, since x2=1 actively contributed to the erroneous 'positive' prediction, so its weight is reduced to make a positive output less likely next time this input is active) — exactly matching the lecture's stated result (ω1=1.0, ω2=0.7). This illustrates the perceptron rule's core intuition: only inputs that were actually 'active' (xi≠0) for a misclassified example have their corresponding weight adjusted, and the direction of adjustment always pushes the weighted sum toward the correct output for that example.</w:t>
      </w:r>
    </w:p>
    <w:p>
      <w:pPr>
        <w:shd w:fill="DCE6F1" w:color="auto" w:val="clear"/>
        <w:spacing w:after="100" w:before="200"/>
      </w:pPr>
      <w:r>
        <w:rPr>
          <w:b/>
          <w:bCs/>
          <w:color w:val="1F3864"/>
          <w:sz w:val="22"/>
          <w:szCs w:val="22"/>
        </w:rPr>
        <w:t xml:space="preserve">Q2. Explain the XOR problem: why can a single-layer perceptron not compute XOR, and how does adding a hidden layer solve it?</w:t>
      </w:r>
    </w:p>
    <w:p>
      <w:pPr>
        <w:spacing w:after="140"/>
        <w:jc w:val="both"/>
      </w:pPr>
      <w:r>
        <w:t xml:space="preserve">A single-layer perceptron computes a decision by thresholding a *linear* combination of its inputs: it can only correctly separate two classes that are </w:t>
      </w:r>
      <w:r>
        <w:rPr>
          <w:b/>
          <w:bCs/>
        </w:rPr>
        <w:t xml:space="preserve">linearly separable</w:t>
      </w:r>
      <w:r>
        <w:t xml:space="preserve">, i.e. separable by a single straight line (in 2D) or hyperplane (in general). The XOR function (x1 XOR x2: output 1 only when exactly one input is 1) produces the truth table (0,0)→0, (0,1)→1, (1,0)→1, (1,1)→0. Plotting these four points in the (x1,x2) plane, the two '1'-labeled points (0,1) and (1,0) lie on one diagonal, and the two '0'-labeled points (0,0) and (1,1) lie on the other diagonal — no single straight line can separate the two diagonal-pair classes from each other, making XOR provably </w:t>
      </w:r>
      <w:r>
        <w:rPr>
          <w:b/>
          <w:bCs/>
        </w:rPr>
        <w:t xml:space="preserve">not linearly separable</w:t>
      </w:r>
      <w:r>
        <w:t xml:space="preserve">, and therefore mathematically impossible for any single-layer perceptron to compute correctly, regardless of how its weights are trained. This is precisely the result Minsky &amp; Papert formalized in their 1969 book 'Perceptrons', and its publication caused a significant, multi-year slowdown ('AI Winter') in neural-network research funding and interest.</w:t>
      </w:r>
    </w:p>
    <w:p>
      <w:pPr>
        <w:spacing w:after="140"/>
        <w:jc w:val="both"/>
      </w:pPr>
      <w:r>
        <w:rPr>
          <w:b/>
          <w:bCs/>
        </w:rPr>
        <w:t xml:space="preserve">Why a hidden layer solves it</w:t>
      </w:r>
      <w:r>
        <w:t xml:space="preserve">: a Multi-Layer Perceptron introduces one (or more) hidden layer(s) between input and output, each hidden neuron computing its own linear-threshold (or smooth nonlinear-activation) decision boundary; the *combination* of several hidden-layer decision boundaries, recombined by the output layer, can carve out an arbitrarily complex, non-linearly-separable decision region. Concretely for XOR, a hidden layer with 2 neurons can be constructed so that one hidden neuron effectively computes something like an OR-type boundary and another an AND-type (or NAND-type) boundary, and the output neuron then combines these two intermediate linear boundaries (itself linearly, but now operating on the transformed, hidden-layer feature space rather than the raw input space) to reconstruct the XOR decision surface — the added hidden layer effectively performs a nonlinear feature transformation of the input space into one where the transformed problem *is* linearly separable. This is precisely why the lecture frames the XOR problem as the direct historical motivation for multi-layer ('multilayered') networks, immediately followed by the key remaining question the lecture poses: 'How to train them?' — answered only 17 years later by Backpropagation (1986).</w:t>
      </w:r>
    </w:p>
    <w:p>
      <w:pPr>
        <w:shd w:fill="DCE6F1" w:color="auto" w:val="clear"/>
        <w:spacing w:after="100" w:before="200"/>
      </w:pPr>
      <w:r>
        <w:rPr>
          <w:b/>
          <w:bCs/>
          <w:color w:val="1F3864"/>
          <w:sz w:val="22"/>
          <w:szCs w:val="22"/>
        </w:rPr>
        <w:t xml:space="preserve">Q3. Work through the backpropagation example y=x², L=2y (i.e. L=2x²) using the multivariate/single-path chain rule as presented in the lecture, and verify the result against direct differentiation.</w:t>
      </w:r>
    </w:p>
    <w:p>
      <w:pPr>
        <w:spacing w:after="140"/>
        <w:jc w:val="both"/>
      </w:pPr>
      <w:r>
        <w:rPr>
          <w:b/>
          <w:bCs/>
        </w:rPr>
        <w:t xml:space="preserve">Forward pass</w:t>
      </w:r>
      <w:r>
        <w:t xml:space="preserve">: given input x, compute (1) y = x² and (2) L = 2y = 2x². These are cached for later reuse in the backward pass.</w:t>
      </w:r>
    </w:p>
    <w:p>
      <w:pPr>
        <w:spacing w:after="140"/>
        <w:jc w:val="both"/>
      </w:pPr>
      <w:r>
        <w:rPr>
          <w:b/>
          <w:bCs/>
        </w:rPr>
        <w:t xml:space="preserve">Backward pass (local gradients)</w:t>
      </w:r>
      <w:r>
        <w:t xml:space="preserve">: the local derivative at node 2 is ∂L/∂y = 2 (since L=2y is linear in y). The local derivative at node 1 is ∂y/∂x = 2x (derivative of x² with respect to x).</w:t>
      </w:r>
    </w:p>
    <w:p>
      <w:pPr>
        <w:spacing w:after="140"/>
        <w:jc w:val="both"/>
      </w:pPr>
      <w:r>
        <w:rPr>
          <w:b/>
          <w:bCs/>
        </w:rPr>
        <w:t xml:space="preserve">Chain rule composition</w:t>
      </w:r>
      <w:r>
        <w:t xml:space="preserve">: ∂L/∂x = (∂L/∂y)·(∂y/∂x) = 2 · 2x = 4x — exactly matching the lecture's stated result 'dL/dx = 4x'.</w:t>
      </w:r>
    </w:p>
    <w:p>
      <w:pPr>
        <w:spacing w:after="140"/>
        <w:jc w:val="both"/>
      </w:pPr>
      <w:r>
        <w:rPr>
          <w:b/>
          <w:bCs/>
        </w:rPr>
        <w:t xml:space="preserve">Verification by direct differentiation</w:t>
      </w:r>
      <w:r>
        <w:t xml:space="preserve">: since L = 2x² directly (substituting y=x² into L=2y), we can differentiate directly: dL/dx = d(2x²)/dx = 4x — identical to the chain-rule (backpropagation) result, confirming the backward-pass computation is correct. This toy example demonstrates, in miniature, exactly why backpropagation is valuable for *large* networks: rather than symbolically expanding the entire composite function (here trivially simple, L=2x²) and differentiating it directly — which becomes computationally infeasible for deep networks with millions of composed operations — backpropagation computes the same result by multiplying together small, cheaply-computable 'local gradient' pieces (∂L/∂y=2 and ∂y/∂x=2x) along the computational graph, one operation at a time, reusing the cached forward-pass values, giving an algorithm whose total cost scales linearly (not exponentially) with the number of operations in the network.</w:t>
      </w:r>
    </w:p>
    <w:p>
      <w:pPr>
        <w:shd w:fill="DCE6F1" w:color="auto" w:val="clear"/>
        <w:spacing w:after="100" w:before="200"/>
      </w:pPr>
      <w:r>
        <w:rPr>
          <w:b/>
          <w:bCs/>
          <w:color w:val="1F3864"/>
          <w:sz w:val="22"/>
          <w:szCs w:val="22"/>
        </w:rPr>
        <w:t xml:space="preserve">Q4. Explain the 'multivariate chain rule' branching rule from Backpropagation Example 2 (L depends on x via both u(y(x)) and v(y(x))), and state why 'all incoming gradients must be summed'.</w:t>
      </w:r>
    </w:p>
    <w:p>
      <w:pPr>
        <w:spacing w:after="140"/>
        <w:jc w:val="both"/>
      </w:pPr>
      <w:r>
        <w:t xml:space="preserve">In Example 2, the computational graph has the structure x → y → {u(y), v(y)} → L(u,v), i.e. the single intermediate variable y feeds forward into *two separate* downstream computations, u and v, both of which then jointly determine the final loss L. When computing the gradient of L with respect to y (as an intermediate step toward eventually computing ∂L/∂x), we must account for </w:t>
      </w:r>
      <w:r>
        <w:rPr>
          <w:b/>
          <w:bCs/>
        </w:rPr>
        <w:t xml:space="preserve">both</w:t>
      </w:r>
      <w:r>
        <w:t xml:space="preserve"> paths by which a small change in y can affect L: one path through u (magnitude ∂L/∂u · ∂u/∂y) and one path through v (magnitude ∂L/∂v · ∂v/∂y).</w:t>
      </w:r>
    </w:p>
    <w:p>
      <w:pPr>
        <w:spacing w:after="140"/>
        <w:jc w:val="both"/>
      </w:pPr>
      <w:r>
        <w:t xml:space="preserve">The lecture states the resulting rule explicitly: dL/dy = (∂L/∂u)(du/dy) + (∂L/∂v)(dv/dy) — a </w:t>
      </w:r>
      <w:r>
        <w:rPr>
          <w:b/>
          <w:bCs/>
        </w:rPr>
        <w:t xml:space="preserve">sum</w:t>
      </w:r>
      <w:r>
        <w:t xml:space="preserve">, not a product, of the two path-contributions, because a perturbation in y simultaneously and independently propagates along both branches to influence L, and their combined total effect on L is the sum of each branch's individual effect (this is simply the multivariate chain rule / total-derivative rule applied to a function of several intermediate variables that each depend on the same upstream variable).</w:t>
      </w:r>
    </w:p>
    <w:p>
      <w:pPr>
        <w:spacing w:after="140"/>
        <w:jc w:val="both"/>
      </w:pPr>
      <w:r>
        <w:rPr>
          <w:b/>
          <w:bCs/>
        </w:rPr>
        <w:t xml:space="preserve">Why this matters in practice</w:t>
      </w:r>
      <w:r>
        <w:t xml:space="preserve">: in any real neural network, a given neuron's output (analogous to y here) is almost always consumed by *multiple* downstream neurons/paths (e.g., in the very next layer, every downstream neuron that this neuron connects to constitutes a separate 'branch'); the backpropagation algorithm's backward pass must therefore, at every node, </w:t>
      </w:r>
      <w:r>
        <w:rPr>
          <w:b/>
          <w:bCs/>
        </w:rPr>
        <w:t xml:space="preserve">accumulate (sum)</w:t>
      </w:r>
      <w:r>
        <w:t xml:space="preserve"> the gradient signals arriving from every downstream connection before continuing to propagate further backward — this accumulation step is exactly what any deep-learning framework's 'automatic differentiation' engine (e.g., PyTorch's autograd, TensorFlow's GradientTape) implements internally at every node of the computational graph, and it is precisely the mechanical detail the lecture flags with the boxed emphasis 'All incoming gradients must be summed up!'</w:t>
      </w:r>
    </w:p>
    <w:p>
      <w:pPr>
        <w:shd w:fill="DCE6F1" w:color="auto" w:val="clear"/>
        <w:spacing w:after="100" w:before="200"/>
      </w:pPr>
      <w:r>
        <w:rPr>
          <w:b/>
          <w:bCs/>
          <w:color w:val="1F3864"/>
          <w:sz w:val="22"/>
          <w:szCs w:val="22"/>
        </w:rPr>
        <w:t xml:space="preserve">Q5. Compare the computational cost and role of 'Training' versus 'Inference' in deep learning, and explain the historical link to GPU hardware.</w:t>
      </w:r>
    </w:p>
    <w:p>
      <w:pPr>
        <w:spacing w:after="140"/>
        <w:jc w:val="both"/>
      </w:pPr>
      <w:r>
        <w:rPr>
          <w:b/>
          <w:bCs/>
        </w:rPr>
        <w:t xml:space="preserve">Training</w:t>
      </w:r>
      <w:r>
        <w:t xml:space="preserve"> is the process of fitting the network's weights to labeled data via (mini-batch) gradient descent and backpropagation: it requires, for every training example (or batch), a full forward pass (to compute predictions and the loss) *followed by* a full backward pass (to compute gradients for every weight in the network via the chain rule), and this forward+backward cycle must be repeated over many epochs across the entire (typically very large) training dataset until the loss converges. The lecture explicitly notes that large datasets often do not fit into GPU memory, forcing training to proceed in mini-batches (X_batch ≪ X), which adds further iterative overhead. This combination — forward pass + backward pass + many epochs + large data — makes training by far the most computationally expensive phase of the deep-learning lifecycle.</w:t>
      </w:r>
    </w:p>
    <w:p>
      <w:pPr>
        <w:spacing w:after="140"/>
        <w:jc w:val="both"/>
      </w:pPr>
      <w:r>
        <w:rPr>
          <w:b/>
          <w:bCs/>
        </w:rPr>
        <w:t xml:space="preserve">Inference</w:t>
      </w:r>
      <w:r>
        <w:t xml:space="preserve"> is simply applying the already-trained (fixed) network to new input data to obtain a prediction: it requires only a *single forward pass* per input, with no gradient computation, no backward pass, and typically applied to one example (or a small batch) at a time rather than iterating repeatedly over an entire dataset — the lecture explicitly states 'Inference is cheap in comparison' to training.</w:t>
      </w:r>
    </w:p>
    <w:p>
      <w:pPr>
        <w:spacing w:after="140"/>
        <w:jc w:val="both"/>
      </w:pPr>
      <w:r>
        <w:rPr>
          <w:b/>
          <w:bCs/>
        </w:rPr>
        <w:t xml:space="preserve">Link to GPU hardware</w:t>
      </w:r>
      <w:r>
        <w:t xml:space="preserve">: the lecture identifies GPUs' efficiency at large-scale matrix/tensor operations as 'one reason deep neural networks became popular when they did', because both the forward pass (matrix multiplications between layer weights and activations) and especially the backward pass (further matrix multiplications propagating gradients) are naturally expressible as large, highly parallel matrix operations — exactly the workload GPUs (originally designed for parallel pixel/graphics computation) are architecturally optimized to execute far faster than general-purpose CPUs. This hardware/algorithm fit is precisely why deep learning's practical, large-scale feasibility emerged only once sufficiently powerful and accessible GPU hardware became widely available, even though the core backpropagation algorithm itself had already been published decades earlier in 1986 — a direct illustration of the course's broader Lecture-1 theme that analytics *methods* and *hardware* co-evolve, with algorithmic breakthroughs sometimes lying dormant for years awaiting the hardware capable of exploiting them at scale.</w:t>
      </w:r>
    </w:p>
    <w:p>
      <w:r>
        <w:br w:type="page"/>
      </w:r>
    </w:p>
    <w:p>
      <w:pPr>
        <w:spacing w:after="40"/>
      </w:pPr>
      <w:r>
        <w:rPr>
          <w:b/>
          <w:bCs/>
          <w:color w:val="2E74B5"/>
          <w:sz w:val="22"/>
          <w:szCs w:val="22"/>
        </w:rPr>
        <w:t xml:space="preserve">LECTURE 9</w:t>
      </w:r>
    </w:p>
    <w:p>
      <w:pPr>
        <w:pStyle w:val="Heading1"/>
        <w:spacing w:after="120" w:before="240"/>
      </w:pPr>
      <w:r>
        <w:t xml:space="preserve">Deep Learning II — CNNs, RNNs, Transformers</w:t>
      </w:r>
    </w:p>
    <w:p>
      <w:pPr>
        <w:pStyle w:val="Heading2"/>
        <w:spacing w:after="120" w:before="240"/>
      </w:pPr>
      <w:r>
        <w:t xml:space="preserve">1. Overview</w:t>
      </w:r>
    </w:p>
    <w:p>
      <w:pPr>
        <w:spacing w:after="140"/>
        <w:jc w:val="both"/>
      </w:pPr>
      <w:r>
        <w:t xml:space="preserve">Building directly on Deep Learning I's MLP/backpropagation foundation, this lecture surveys the three dominant modern architecture families, each matched to a data structure: Convolutional Neural Networks (CNNs) for spatially-structured data (images), Recurrent Neural Networks (RNNs) for variable-length sequential data, and Transformers (self-attention) for text/sequence data, culminating in the modern encoder/decoder/encoder-decoder taxonomy (BERT/GPT/T5).</w:t>
      </w:r>
    </w:p>
    <w:p>
      <w:pPr>
        <w:spacing w:after="140"/>
        <w:jc w:val="both"/>
      </w:pPr>
      <w:r>
        <w:t xml:space="preserve">The CNN section develops the crucial weight-sharing argument quantitatively: a convolutional layer has dramatically fewer parameters than an equivalently-sized fully-connected layer, which is both the source of CNNs' parameter efficiency and their built-in translation-invariance inductive bias for image data.</w:t>
      </w:r>
    </w:p>
    <w:p>
      <w:pPr>
        <w:spacing w:after="140"/>
        <w:jc w:val="both"/>
      </w:pPr>
      <w:r>
        <w:t xml:space="preserve">The RNN section develops the 'unrolling over time' view and the taxonomy of input/output length mappings (one-to-many, many-to-one, many-to-many), motivating why Transformers' self-attention mechanism was introduced as a parallelizable alternative that better captures long-range dependencies than sequential RNN processing.</w:t>
      </w:r>
    </w:p>
    <w:p>
      <w:pPr>
        <w:pStyle w:val="Heading2"/>
        <w:spacing w:after="120" w:before="240"/>
      </w:pPr>
      <w:r>
        <w:t xml:space="preserve">2. Key Concepts &amp; Definitions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80"/>
              <w:left w:type="dxa" w:w="120"/>
              <w:bottom w:type="dxa" w:w="80"/>
              <w:right w:type="dxa" w:w="120"/>
            </w:tcMar>
            <w:vAlign w:val="center"/>
          </w:tcPr>
          <w:p>
            <w:r>
              <w:rPr>
                <w:b/>
                <w:bCs/>
                <w:color w:val="FFFFFF"/>
                <w:sz w:val="20"/>
                <w:szCs w:val="20"/>
              </w:rPr>
              <w:t xml:space="preserve">Term / Concept</w:t>
            </w:r>
          </w:p>
        </w:tc>
        <w:tc>
          <w:tcPr>
            <w:tcW w:type="dxa" w:w="7000"/>
            <w:shd w:fill="1F3864" w:color="auto" w:val="clear"/>
            <w:tcMar>
              <w:top w:type="dxa" w:w="80"/>
              <w:left w:type="dxa" w:w="120"/>
              <w:bottom w:type="dxa" w:w="80"/>
              <w:right w:type="dxa" w:w="120"/>
            </w:tcMar>
            <w:vAlign w:val="center"/>
          </w:tcPr>
          <w:p>
            <w:r>
              <w:rPr>
                <w:b/>
                <w:bCs/>
                <w:color w:val="FFFFFF"/>
                <w:sz w:val="20"/>
                <w:szCs w:val="20"/>
              </w:rPr>
              <w:t xml:space="preserve">Definition / Explanation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Convolutional Layer — Notation</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B=batch size, W×H=spatial dimensions of image/feature map, C=number of channels (Cin for input channels, Cout for output/next-layer channels; Cin=1 for grayscale, Cin=3 for RGB color images), K×K=convolutional kernel size.</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Weight Sharing</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The single defining property of convolutional layers: the *same* K×K×Cin filter (kernel) is slid ('convolved') across every spatial location of the input, so the same small set of weights is reused (shared) at every position — in contrast to a fully-connected layer, which would need an entirely independent weight for every input-output pixel pair.</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Weight Count Comparison</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Fully-connected layer: #Weights = W·H·Cout·(W·H·Cin+1) — scales with the *square* of spatial size. Convolutional layer: #Weights = Cout·(K·K·Cin+1) — independent of spatial size W×H entirely, depending only on kernel size and channel counts — a dramatically smaller parameter count, enabling deep networks on large images without parameter explosion.</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VGG-style Network</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A canonical CNN architecture composed of three layer types stacked repeatedly: Convolution (feature extraction via shared filters), Pooling (spatial downsampling, reducing W×H while retaining salient features), Fully-connected (final layers combining extracted features for classification).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ImageNet / ILSVRC</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The landmark public benchmark dataset/challenge (1000 object categories, also includes localization and scene classification) that catalyzed the modern deep-learning-for-vision era, driving architectures like VGG and enabling direct empirical comparison of CNN designs.</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Recurrent Neural Network (RNN)</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Processes a sequence by maintaining and updating a hidden state H at each time step, using the *same* (shared) weights/update-rule at every step: H_t = f(H_{t−1}, I_t). This weight-sharing across time (analogous to weight-sharing across space in CNNs) allows the network to process sequences of *variable length*, and gives (in principle) 'infinite memory' since H_t is a function of the entire input history.</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RNN Mapping Types</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One-to-One (standard classification), One-to-Many (e.g. image captioning: image→sentence, music generation), Many-to-One (e.g. action recognition: video→single action label), Many-to-Many synchronous (e.g. object tracking: video frame→location per frame), Many-to-Many asynchronous (e.g. machine translation: full sentence→full sentence, possibly different length).</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Word Embeddings vs. One-Hot Encoding</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One-hot encoding: sparse, high-dimensional (size = vocabulary size), hard-coded, no notion of similarity between words. Word embeddings (Bengio et al. 2003, Neural Probabilistic Language Model): dense, lower-dimensional, learned from data, encoding semantic similarity as geometric proximity in embedding space.</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Self-Attention (Transformer)</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Relates every token in a sequence to every other token directly (not sequentially, unlike RNNs), computing a context-aware representation of the whole sequence at once; better captures long-distance dependencies than RNNs (which must propagate information step-by-step through the hidden state, risking vanishing gradients over long distances) and — crucially — its computation can be fully parallelized across all tokens simultaneously, unlike the inherently sequential, step-by-step nature of RNN processing ('Attention is all you need', Vaswani et al., NeurIPS 2017).</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Encoder / Decoder / Encoder-Decoder Models</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Encoder-only (e.g. BERT): builds bidirectional contextual representations, used for classification/named-entity-recognition tasks. Decoder-only (e.g. GPT-X): autoregressive, generates text token-by-token, used for text generation. Encoder-Decoder (e.g. T5): encodes an input sequence then decodes an output sequence, used for sequence-to-sequence tasks like translation.</w:t>
            </w:r>
          </w:p>
        </w:tc>
      </w:tr>
    </w:tbl>
    <w:p>
      <w:pPr>
        <w:spacing w:after="160"/>
      </w:pPr>
    </w:p>
    <w:p>
      <w:pPr>
        <w:pStyle w:val="Heading2"/>
        <w:spacing w:after="120" w:before="240"/>
      </w:pPr>
      <w:r>
        <w:t xml:space="preserve">3. Diagrams &amp; Visual Flowcharts</w:t>
      </w:r>
    </w:p>
    <w:p>
      <w:pPr>
        <w:spacing w:after="120" w:before="200"/>
      </w:pPr>
      <w:r>
        <w:rPr>
          <w:b/>
          <w:bCs/>
          <w:i/>
          <w:iCs/>
          <w:color w:val="1F3864"/>
          <w:sz w:val="22"/>
          <w:szCs w:val="22"/>
        </w:rPr>
        <w:t xml:space="preserve">Figure 9.1 — Weight-Sharing Comparison: Fully-Connected vs. Convolutional Layer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Fully-Connected: #Weights = W·H·Cout·(W·H·Cin + 1)  →  grows QUADRATICALLY with spatial size</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Convolutional: #Weights = Cout·(K·K·Cin + 1)  →  INDEPENDENT of spatial size W×H</w:t>
            </w:r>
          </w:p>
        </w:tc>
      </w:tr>
    </w:tbl>
    <w:p>
      <w:pPr>
        <w:spacing w:after="200" w:before="100"/>
      </w:pPr>
      <w:r>
        <w:rPr>
          <w:i/>
          <w:iCs/>
          <w:color w:val="555555"/>
          <w:sz w:val="19"/>
          <w:szCs w:val="19"/>
        </w:rPr>
        <w:t xml:space="preserve">↳ This single formula pair is one of the most frequently examined facts of the CNN section: convolutional weight-sharing is what makes deep CNNs on large images (e.g. 224×224 ImageNet photos) computationally and statistically feasible at all.</w:t>
      </w:r>
    </w:p>
    <w:p>
      <w:pPr>
        <w:spacing w:after="120" w:before="200"/>
      </w:pPr>
      <w:r>
        <w:rPr>
          <w:b/>
          <w:bCs/>
          <w:i/>
          <w:iCs/>
          <w:color w:val="1F3864"/>
          <w:sz w:val="22"/>
          <w:szCs w:val="22"/>
        </w:rPr>
        <w:t xml:space="preserve">Figure 9.2 — RNN Unrolled Over Time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I0 → H0 → O0</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I1 (+ H0) → H1 → O1</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I2 (+ H1) → H2 → O2</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 same shared weights/update rule reused at every time step ...</w:t>
            </w:r>
          </w:p>
        </w:tc>
      </w:tr>
    </w:tbl>
    <w:p>
      <w:pPr>
        <w:spacing w:after="200" w:before="100"/>
      </w:pPr>
      <w:r>
        <w:rPr>
          <w:i/>
          <w:iCs/>
          <w:color w:val="555555"/>
          <w:sz w:val="19"/>
          <w:szCs w:val="19"/>
        </w:rPr>
        <w:t xml:space="preserve">↳ Each Ht is updated from the current input It and the previous hidden state Ht−1, using the SAME shared weights at every step — enabling variable-length sequence processing with a fixed parameter count.</w:t>
      </w:r>
    </w:p>
    <w:p>
      <w:pPr>
        <w:spacing w:after="120" w:before="200"/>
      </w:pPr>
      <w:r>
        <w:rPr>
          <w:b/>
          <w:bCs/>
          <w:i/>
          <w:iCs/>
          <w:color w:val="1F3864"/>
          <w:sz w:val="22"/>
          <w:szCs w:val="22"/>
        </w:rPr>
        <w:t xml:space="preserve">Figure 9.3 — RNN Input/Output Mapping Taxonomy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One-to-Many: Image → Caption (sentence)</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Many-to-One: Video → Action label</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Many-to-Many (sync): Video frames → Object location per frame</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Many-to-Many (async): Sentence → Translated sentence</w:t>
            </w:r>
          </w:p>
        </w:tc>
      </w:tr>
    </w:tbl>
    <w:p>
      <w:pPr>
        <w:spacing w:after="200" w:before="100"/>
      </w:pPr>
      <w:r>
        <w:rPr>
          <w:i/>
          <w:iCs/>
          <w:color w:val="555555"/>
          <w:sz w:val="19"/>
          <w:szCs w:val="19"/>
        </w:rPr>
        <w:t xml:space="preserve">↳ The choice of RNN topology (how many inputs vs. outputs, and their alignment in time) is dictated directly by the application's input/output structure.</w:t>
      </w:r>
    </w:p>
    <w:p>
      <w:pPr>
        <w:spacing w:after="120" w:before="200"/>
      </w:pPr>
      <w:r>
        <w:rPr>
          <w:b/>
          <w:bCs/>
          <w:i/>
          <w:iCs/>
          <w:color w:val="1F3864"/>
          <w:sz w:val="22"/>
          <w:szCs w:val="22"/>
        </w:rPr>
        <w:t xml:space="preserve">Figure 9.4 — Transformer Model Family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Encoder-only (BERT) → classification, NER</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Decoder-only (GPT-X) → text generation</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Encoder-Decoder (T5) → translation, seq2seq tasks</w:t>
            </w:r>
          </w:p>
        </w:tc>
      </w:tr>
    </w:tbl>
    <w:p>
      <w:pPr>
        <w:spacing w:after="200" w:before="100"/>
      </w:pPr>
      <w:r>
        <w:rPr>
          <w:i/>
          <w:iCs/>
          <w:color w:val="555555"/>
          <w:sz w:val="19"/>
          <w:szCs w:val="19"/>
        </w:rPr>
        <w:t xml:space="preserve">↳ All three families are built from the same underlying self-attention block ('Attention is all you need'), differing only in which half (encoder, decoder, or both) of the original Transformer architecture is retained/used.</w:t>
      </w:r>
    </w:p>
    <w:p>
      <w:pPr>
        <w:pStyle w:val="Heading2"/>
        <w:spacing w:after="120" w:before="240"/>
      </w:pPr>
      <w:r>
        <w:t xml:space="preserve">4. Formula Sheet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2400"/>
            <w:shd w:fill="2E74B5" w:color="auto" w:val="clear"/>
            <w:tcMar>
              <w:top w:type="dxa" w:w="80"/>
              <w:left w:type="dxa" w:w="120"/>
              <w:bottom w:type="dxa" w:w="80"/>
              <w:right w:type="dxa" w:w="120"/>
            </w:tcMar>
            <w:vAlign w:val="center"/>
          </w:tcPr>
          <w:p>
            <w:r>
              <w:rPr>
                <w:b/>
                <w:bCs/>
                <w:color w:val="FFFFFF"/>
                <w:sz w:val="20"/>
                <w:szCs w:val="20"/>
              </w:rPr>
              <w:t xml:space="preserve">Name</w:t>
            </w:r>
          </w:p>
        </w:tc>
        <w:tc>
          <w:tcPr>
            <w:tcW w:type="dxa" w:w="3200"/>
            <w:shd w:fill="2E74B5" w:color="auto" w:val="clear"/>
            <w:tcMar>
              <w:top w:type="dxa" w:w="80"/>
              <w:left w:type="dxa" w:w="120"/>
              <w:bottom w:type="dxa" w:w="80"/>
              <w:right w:type="dxa" w:w="120"/>
            </w:tcMar>
            <w:vAlign w:val="center"/>
          </w:tcPr>
          <w:p>
            <w:r>
              <w:rPr>
                <w:b/>
                <w:bCs/>
                <w:color w:val="FFFFFF"/>
                <w:sz w:val="20"/>
                <w:szCs w:val="20"/>
              </w:rPr>
              <w:t xml:space="preserve">Formula</w:t>
            </w:r>
          </w:p>
        </w:tc>
        <w:tc>
          <w:tcPr>
            <w:tcW w:type="dxa" w:w="4000"/>
            <w:shd w:fill="2E74B5" w:color="auto" w:val="clear"/>
            <w:tcMar>
              <w:top w:type="dxa" w:w="80"/>
              <w:left w:type="dxa" w:w="120"/>
              <w:bottom w:type="dxa" w:w="80"/>
              <w:right w:type="dxa" w:w="120"/>
            </w:tcMar>
            <w:vAlign w:val="center"/>
          </w:tcPr>
          <w:p>
            <w:r>
              <w:rPr>
                <w:b/>
                <w:bCs/>
                <w:color w:val="FFFFFF"/>
                <w:sz w:val="20"/>
                <w:szCs w:val="20"/>
              </w:rPr>
              <w:t xml:space="preserve">Meaning / Use</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Fully-connected layer weight count</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#W_FC = W·H·Cout·(W·H·Cin + 1)</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Scales quadratically with spatial resolution — impractical for large images.</w:t>
            </w:r>
          </w:p>
        </w:tc>
      </w:tr>
      <w:tr>
        <w:tc>
          <w:tcPr>
            <w:tcW w:type="dxa" w:w="2400"/>
            <w:shd w:fill="F2F2F2" w:color="auto" w:val="clear"/>
            <w:tcMar>
              <w:top w:type="dxa" w:w="80"/>
              <w:left w:type="dxa" w:w="120"/>
              <w:bottom w:type="dxa" w:w="80"/>
              <w:right w:type="dxa" w:w="120"/>
            </w:tcMar>
            <w:vAlign w:val="center"/>
          </w:tcPr>
          <w:p>
            <w:r>
              <w:rPr>
                <w:b/>
                <w:bCs/>
                <w:sz w:val="20"/>
                <w:szCs w:val="20"/>
              </w:rPr>
              <w:t xml:space="preserve">Convolutional layer weight count</w:t>
            </w:r>
          </w:p>
        </w:tc>
        <w:tc>
          <w:tcPr>
            <w:tcW w:type="dxa" w:w="3200"/>
            <w:shd w:fill="F2F2F2" w:color="auto" w:val="clear"/>
            <w:tcMar>
              <w:top w:type="dxa" w:w="80"/>
              <w:left w:type="dxa" w:w="120"/>
              <w:bottom w:type="dxa" w:w="80"/>
              <w:right w:type="dxa" w:w="120"/>
            </w:tcMar>
            <w:vAlign w:val="center"/>
          </w:tcPr>
          <w:p>
            <w:r>
              <w:rPr>
                <w:b w:val="false"/>
                <w:bCs w:val="false"/>
                <w:sz w:val="20"/>
                <w:szCs w:val="20"/>
              </w:rPr>
              <w:t xml:space="preserve">#W_Conv = Cout·(K·K·Cin + 1)</w:t>
            </w:r>
          </w:p>
        </w:tc>
        <w:tc>
          <w:tcPr>
            <w:tcW w:type="dxa" w:w="4000"/>
            <w:shd w:fill="F2F2F2" w:color="auto" w:val="clear"/>
            <w:tcMar>
              <w:top w:type="dxa" w:w="80"/>
              <w:left w:type="dxa" w:w="120"/>
              <w:bottom w:type="dxa" w:w="80"/>
              <w:right w:type="dxa" w:w="120"/>
            </w:tcMar>
            <w:vAlign w:val="center"/>
          </w:tcPr>
          <w:p>
            <w:r>
              <w:rPr>
                <w:b w:val="false"/>
                <w:bCs w:val="false"/>
                <w:sz w:val="20"/>
                <w:szCs w:val="20"/>
              </w:rPr>
              <w:t xml:space="preserve">Independent of spatial resolution due to weight sharing across all spatial positions.</w:t>
            </w:r>
          </w:p>
        </w:tc>
      </w:tr>
      <w:tr>
        <w:tc>
          <w:tcPr>
            <w:tcW w:type="dxa" w:w="2400"/>
            <w:shd w:fill="FFFFFF" w:color="auto" w:val="clear"/>
            <w:tcMar>
              <w:top w:type="dxa" w:w="80"/>
              <w:left w:type="dxa" w:w="120"/>
              <w:bottom w:type="dxa" w:w="80"/>
              <w:right w:type="dxa" w:w="120"/>
            </w:tcMar>
            <w:vAlign w:val="center"/>
          </w:tcPr>
          <w:p>
            <w:r>
              <w:rPr>
                <w:b/>
                <w:bCs/>
                <w:sz w:val="20"/>
                <w:szCs w:val="20"/>
              </w:rPr>
              <w:t xml:space="preserve">RNN hidden-state update (general form)</w:t>
            </w:r>
          </w:p>
        </w:tc>
        <w:tc>
          <w:tcPr>
            <w:tcW w:type="dxa" w:w="3200"/>
            <w:shd w:fill="FFFFFF" w:color="auto" w:val="clear"/>
            <w:tcMar>
              <w:top w:type="dxa" w:w="80"/>
              <w:left w:type="dxa" w:w="120"/>
              <w:bottom w:type="dxa" w:w="80"/>
              <w:right w:type="dxa" w:w="120"/>
            </w:tcMar>
            <w:vAlign w:val="center"/>
          </w:tcPr>
          <w:p>
            <w:r>
              <w:rPr>
                <w:b w:val="false"/>
                <w:bCs w:val="false"/>
                <w:sz w:val="20"/>
                <w:szCs w:val="20"/>
              </w:rPr>
              <w:t xml:space="preserve">Ht = f(Ht−1, It; shared weights)</w:t>
            </w:r>
          </w:p>
        </w:tc>
        <w:tc>
          <w:tcPr>
            <w:tcW w:type="dxa" w:w="4000"/>
            <w:shd w:fill="FFFFFF" w:color="auto" w:val="clear"/>
            <w:tcMar>
              <w:top w:type="dxa" w:w="80"/>
              <w:left w:type="dxa" w:w="120"/>
              <w:bottom w:type="dxa" w:w="80"/>
              <w:right w:type="dxa" w:w="120"/>
            </w:tcMar>
            <w:vAlign w:val="center"/>
          </w:tcPr>
          <w:p>
            <w:r>
              <w:rPr>
                <w:b w:val="false"/>
                <w:bCs w:val="false"/>
                <w:sz w:val="20"/>
                <w:szCs w:val="20"/>
              </w:rPr>
              <w:t xml:space="preserve">Same function/weights reused at every time step; enables variable-length sequence processing.</w:t>
            </w:r>
          </w:p>
        </w:tc>
      </w:tr>
    </w:tbl>
    <w:p>
      <w:pPr>
        <w:spacing w:after="160"/>
      </w:pPr>
    </w:p>
    <w:p>
      <w:pPr>
        <w:pStyle w:val="Heading2"/>
        <w:spacing w:after="120" w:before="240"/>
      </w:pPr>
      <w:r>
        <w:t xml:space="preserve">5. Exam-Style Questions &amp; Detailed Answers</w:t>
      </w:r>
    </w:p>
    <w:p>
      <w:pPr>
        <w:shd w:fill="DCE6F1" w:color="auto" w:val="clear"/>
        <w:spacing w:after="100" w:before="200"/>
      </w:pPr>
      <w:r>
        <w:rPr>
          <w:b/>
          <w:bCs/>
          <w:color w:val="1F3864"/>
          <w:sz w:val="22"/>
          <w:szCs w:val="22"/>
        </w:rPr>
        <w:t xml:space="preserve">Q1. Derive and compare the number of trainable weights for a fully-connected layer versus a convolutional layer mapping a 32×32 single-channel (Cin=1) input to Cout=16 output channels using a 5×5 kernel, and explain the practical significance of the difference.</w:t>
      </w:r>
    </w:p>
    <w:p>
      <w:pPr>
        <w:spacing w:after="140"/>
        <w:jc w:val="both"/>
      </w:pPr>
      <w:r>
        <w:rPr>
          <w:b/>
          <w:bCs/>
        </w:rPr>
        <w:t xml:space="preserve">Fully-connected layer</w:t>
      </w:r>
      <w:r>
        <w:t xml:space="preserve">: #Weights = W·H·Cout·(W·H·Cin + 1) = 32·32·16·(32·32·1 + 1) = 1024·16·1025 = 16,384·1025 = 16,793,600 weights (i.e., roughly 16.8 million parameters) for this single layer alone, since every one of the 16 output-channel 'neurons' at every one of the 1024 spatial positions must have its own independent weight connecting to every one of the 1024 input pixels (plus a bias term).</w:t>
      </w:r>
    </w:p>
    <w:p>
      <w:pPr>
        <w:spacing w:after="140"/>
        <w:jc w:val="both"/>
      </w:pPr>
      <w:r>
        <w:rPr>
          <w:b/>
          <w:bCs/>
        </w:rPr>
        <w:t xml:space="preserve">Convolutional layer</w:t>
      </w:r>
      <w:r>
        <w:t xml:space="preserve">: #Weights = Cout·(K·K·Cin + 1) = 16·(5·5·1 + 1) = 16·26 = 416 weights — a reduction of more than four orders of magnitude (16,793,600 / 416 ≈ 40,000× fewer parameters) for functionally covering the same input/output channel mapping over the same spatial extent.</w:t>
      </w:r>
    </w:p>
    <w:p>
      <w:pPr>
        <w:spacing w:after="140"/>
        <w:jc w:val="both"/>
      </w:pPr>
      <w:r>
        <w:rPr>
          <w:b/>
          <w:bCs/>
        </w:rPr>
        <w:t xml:space="preserve">Practical significance</w:t>
      </w:r>
      <w:r>
        <w:t xml:space="preserve">: this dramatic reduction arises entirely from *weight sharing* — the same 5×5×1 filter (plus bias) per output channel is convolved across all 1024 spatial positions rather than each position learning its own independent weight set. This has two crucial practical consequences directly relevant to the deep-learning revolution in computer vision: (1) *feasibility* — a fully-connected equivalent for realistic image sizes (e.g. 224×224 ImageNet images) would require weight counts in the many billions per layer, utterly impractical to store or train with available memory/compute even today, whereas convolutional weight counts remain modest and roughly constant regardless of image resolution; (2) *inductive bias / generalization* — weight sharing encodes the assumption that a useful visual feature (e.g., an edge detector) is equally useful and should be detected identically regardless of *where* in the image it appears (translation invariance), which matches the true statistical structure of natural images and dramatically reduces the amount of training data needed to learn a good filter compared to a fully-connected layer that would need to separately re-learn the same pattern-detection capability at every spatial position independently.</w:t>
      </w:r>
    </w:p>
    <w:p>
      <w:pPr>
        <w:shd w:fill="DCE6F1" w:color="auto" w:val="clear"/>
        <w:spacing w:after="100" w:before="200"/>
      </w:pPr>
      <w:r>
        <w:rPr>
          <w:b/>
          <w:bCs/>
          <w:color w:val="1F3864"/>
          <w:sz w:val="22"/>
          <w:szCs w:val="22"/>
        </w:rPr>
        <w:t xml:space="preserve">Q2. Explain how an RNN processes a variable-length sequence using a fixed number of parameters, and contrast this with a standard (non-recurrent) MLP's inherent limitation for sequential data.</w:t>
      </w:r>
    </w:p>
    <w:p>
      <w:pPr>
        <w:spacing w:after="140"/>
        <w:jc w:val="both"/>
      </w:pPr>
      <w:r>
        <w:t xml:space="preserve">An RNN maintains a hidden state H_t that is updated at every discrete time step t according to H_t = f(H_{t−1}, I_t), using the *same* set of weights (the same function f, with the same learned parameters) at *every* time step, regardless of how many time steps the sequence contains. Because the update rule and its weights are fixed and reused, an RNN can be 'unrolled' over as many time steps as the input sequence requires — 3 steps for a short sequence, 300 for a long one — without ever needing additional parameters, since the same small weight matrix is simply applied repeatedly. This is directly analogous to the CNN's weight-sharing-across-space principle, but applied to weight-sharing-across-time instead: exactly as a convolutional filter is reused at every spatial position, an RNN's update weights are reused at every temporal position.</w:t>
      </w:r>
    </w:p>
    <w:p>
      <w:pPr>
        <w:spacing w:after="140"/>
        <w:jc w:val="both"/>
      </w:pPr>
      <w:r>
        <w:rPr>
          <w:b/>
          <w:bCs/>
        </w:rPr>
        <w:t xml:space="preserve">Contrast with a standard MLP</w:t>
      </w:r>
      <w:r>
        <w:t xml:space="preserve">: a standard (feedforward, non-recurrent) MLP has a *fixed-size* input layer whose dimensionality must be decided in advance and does not change — it has no mechanism to natively accept a 'sequence of however many words/frames/timesteps happen to be present' as a single, variable-sized input; one would be forced to either pad/truncate every input to some fixed maximum length (wasting capacity or discarding information) or engineer a fixed-size feature summary of the sequence *before* feeding it to the MLP. Moreover, a standard MLP treats each input dimension independently with its own dedicated weights (no sharing across time), so it has no structural way to recognize that 'the same underlying pattern occurring at time step 3' and 'the same pattern occurring at time step 30' represent conceptually the same thing — each position would need to (re-)learn to recognize the pattern from scratch using entirely separate weights. The RNN's shared-weight, recurrently-updated hidden state directly solves both problems, which is precisely why the lecture introduces RNNs under the heading 'Sequences of Variable Length', immediately following a list of applications (object tracking, image captioning, machine translation, text generation) that all fundamentally require handling inputs and/or outputs of a-priori unknown, varying length — a task a fixed-input-size MLP simply cannot perform without substantial, lossy pre-processing workarounds.</w:t>
      </w:r>
    </w:p>
    <w:p>
      <w:pPr>
        <w:shd w:fill="DCE6F1" w:color="auto" w:val="clear"/>
        <w:spacing w:after="100" w:before="200"/>
      </w:pPr>
      <w:r>
        <w:rPr>
          <w:b/>
          <w:bCs/>
          <w:color w:val="1F3864"/>
          <w:sz w:val="22"/>
          <w:szCs w:val="22"/>
        </w:rPr>
        <w:t xml:space="preserve">Q3. Explain why self-attention (Transformer) is described as capturing long-distance dependencies 'more easily' than an RNN, and why its computation 'can be parallelized' while an RNN's cannot.</w:t>
      </w:r>
    </w:p>
    <w:p>
      <w:pPr>
        <w:spacing w:after="140"/>
        <w:jc w:val="both"/>
      </w:pPr>
      <w:r>
        <w:rPr>
          <w:b/>
          <w:bCs/>
        </w:rPr>
        <w:t xml:space="preserve">Long-distance dependencies</w:t>
      </w:r>
      <w:r>
        <w:t xml:space="preserve">: in an RNN, information about an early token (e.g., token 1 in a 100-token sentence) can only influence the processing of a much later token (e.g., token 100) by being propagated *sequentially* through the hidden state at every intermediate time step (H_1 → H_2 → ... → H_99 → H_100). At each step, the hidden state is repeatedly transformed (multiplied by weight matrices, passed through nonlinear activations), so information from far in the past must survive many repeated transformations to still meaningfully influence the present step — a phenomenon closely related to the vanishing/exploding gradient problem during backpropagation-through-time, which makes it progressively harder for gradients (and hence learned dependencies) to reach far back in a long sequence. Self-attention, by contrast, computes a *direct* pairwise relationship between token i and token j (however far apart they are in the sequence) in a *single* computational step, via the attention mechanism relating 'all tokens of a sequence with each other' — there is no intermediate chain of transformations that a distant dependency must survive, since attention weights are computed directly between any two positions regardless of their separation.</w:t>
      </w:r>
    </w:p>
    <w:p>
      <w:pPr>
        <w:spacing w:after="140"/>
        <w:jc w:val="both"/>
      </w:pPr>
      <w:r>
        <w:rPr>
          <w:b/>
          <w:bCs/>
        </w:rPr>
        <w:t xml:space="preserve">Parallelizability</w:t>
      </w:r>
      <w:r>
        <w:t xml:space="preserve">: an RNN is inherently *sequential*: computing H_t strictly requires H_{t−1} to have already been computed (since H_t = f(H_{t−1}, I_t) depends explicitly on the previous hidden state), so the time steps of a single sequence cannot be processed simultaneously/in parallel — processing must proceed one step at a time, in order, making RNN training and inference on long sequences inherently slow to parallelize (parallelism is only available *across* independent sequences in a batch, not *within* one sequence). Self-attention, by contrast, computes the representation of every token as a function of *all* other tokens *simultaneously*, via matrix operations (query/key/value projections and the resulting attention-weighted sums) that can all be executed at once across the entire sequence in a single parallel computation — there is no step-by-step dependency chain to enforce, so modern parallel hardware (GPUs/TPUs) can process an entire sequence's self-attention computation in parallel rather than being forced into RNN's strictly sequential processing order. This parallelizability is precisely why the Transformer architecture (Vaswani et al., 'Attention is all you need', NeurIPS 2017) enabled training on vastly larger datasets/models than RNN-based sequence models had practically allowed, directly fueling the subsequent rise of large language models (GPT, BERT, and their successors) discussed at the end of the lecture.</w:t>
      </w:r>
    </w:p>
    <w:p>
      <w:pPr>
        <w:shd w:fill="DCE6F1" w:color="auto" w:val="clear"/>
        <w:spacing w:after="100" w:before="200"/>
      </w:pPr>
      <w:r>
        <w:rPr>
          <w:b/>
          <w:bCs/>
          <w:color w:val="1F3864"/>
          <w:sz w:val="22"/>
          <w:szCs w:val="22"/>
        </w:rPr>
        <w:t xml:space="preserve">Q4. Distinguish Encoder-only, Decoder-only, and Encoder-Decoder Transformer models by architecture and by representative task, using BERT, GPT-X, and T5 as examples.</w:t>
      </w:r>
    </w:p>
    <w:p>
      <w:pPr>
        <w:spacing w:after="140"/>
        <w:jc w:val="both"/>
      </w:pPr>
      <w:r>
        <w:rPr>
          <w:b/>
          <w:bCs/>
        </w:rPr>
        <w:t xml:space="preserve">Encoder-only (BERT)</w:t>
      </w:r>
      <w:r>
        <w:t xml:space="preserve">: retains only the Transformer's encoder stack, which processes the *entire* input sequence bidirectionally/simultaneously (every token can attend to every other token, both before and after it in the sequence, since there is no autoregressive/causal masking restriction), producing a rich, context-aware representation of each token informed by its full surrounding context. This architecture is well suited to tasks that require *understanding/classifying* an already-complete input rather than generating new text sequentially — the lecture lists text classification and named entity recognition as representative BERT-style applications, since both require assigning a label (to the whole input, or to each token) based on full bidirectional context, without needing to generate any new output sequence.</w:t>
      </w:r>
    </w:p>
    <w:p>
      <w:pPr>
        <w:spacing w:after="140"/>
        <w:jc w:val="both"/>
      </w:pPr>
      <w:r>
        <w:rPr>
          <w:b/>
          <w:bCs/>
        </w:rPr>
        <w:t xml:space="preserve">Decoder-only (GPT-X)</w:t>
      </w:r>
      <w:r>
        <w:t xml:space="preserve">: retains only the Transformer's decoder stack, operating *autoregressively* — generating output text one token at a time, where each newly generated token can only attend to previously generated tokens (a causal/left-to-right masking constraint), never to 'future' tokens that haven't been generated yet (since they don't exist at generation time). This architecture is naturally suited to open-ended *text generation* tasks, the lecture's stated representative application for GPT-X, since generation is inherently a sequential, left-to-right process where each new word must be predicted conditioned only on everything generated so far.</w:t>
      </w:r>
    </w:p>
    <w:p>
      <w:pPr>
        <w:spacing w:after="140"/>
        <w:jc w:val="both"/>
      </w:pPr>
      <w:r>
        <w:rPr>
          <w:b/>
          <w:bCs/>
        </w:rPr>
        <w:t xml:space="preserve">Encoder-Decoder (T5)</w:t>
      </w:r>
      <w:r>
        <w:t xml:space="preserve">: retains *both* halves of the original Transformer architecture — an encoder that first processes and encodes the entire input sequence (bidirectionally, as in BERT), and a separate decoder that then generates the output sequence autoregressively (as in GPT), additionally attending back to the encoder's representation of the input at every generation step (cross-attention). This architecture is naturally suited to genuine sequence-to-sequence transformation tasks where the model must first fully understand one sequence before generating a *different* sequence conditioned on it — the lecture's stated representative application, translation, is the canonical example, since correctly translating a sentence requires first understanding it holistically (encoder) before generating the target-language sentence (decoder), token by token, while continuously referring back to the source sentence's encoded meaning.</w:t>
      </w:r>
    </w:p>
    <w:p>
      <w:pPr>
        <w:spacing w:after="140"/>
        <w:jc w:val="both"/>
      </w:pPr>
      <w:r>
        <w:t xml:space="preserve">This three-way taxonomy directly reflects the underlying task structure taught earlier in the RNN section (one-to-many / many-to-one / many-to-many mappings): encoder-only models are essentially 'many-to-few' (sequence → label(s)), decoder-only models are 'few/none-to-many' (prompt/nothing → generated sequence), and encoder-decoder models are the general 'many-to-many' (asynchronous) case — but all now implemented via parallelizable self-attention rather than sequential RNN recurrence.</w:t>
      </w:r>
    </w:p>
    <w:p>
      <w:pPr>
        <w:shd w:fill="DCE6F1" w:color="auto" w:val="clear"/>
        <w:spacing w:after="100" w:before="200"/>
      </w:pPr>
      <w:r>
        <w:rPr>
          <w:b/>
          <w:bCs/>
          <w:color w:val="1F3864"/>
          <w:sz w:val="22"/>
          <w:szCs w:val="22"/>
        </w:rPr>
        <w:t xml:space="preserve">Q5. Explain the difference between one-hot encoding and learned word embeddings for representing words as input to a neural network, and state one concrete disadvantage of one-hot encoding this motivates solving.</w:t>
      </w:r>
    </w:p>
    <w:p>
      <w:pPr>
        <w:spacing w:after="140"/>
        <w:jc w:val="both"/>
      </w:pPr>
      <w:r>
        <w:rPr>
          <w:b/>
          <w:bCs/>
        </w:rPr>
        <w:t xml:space="preserve">One-hot encoding</w:t>
      </w:r>
      <w:r>
        <w:t xml:space="preserve"> represents each word in a fixed dictionary D (e.g., D={a, cat, dog, have, walking}) as a binary vector with exactly one '1' at the position corresponding to that word and '0' everywhere else — the vector's dimensionality equals the size of the entire vocabulary |D|, which for realistic natural-language vocabularies can be in the tens or hundreds of thousands. The lecture explicitly characterizes one-hot encoding as sparse (almost all entries are 0), high-dimensional (dimensionality = vocabulary size), and hard-coded (fixed by construction, with no learning involved and no notion of which words are semantically related to which others).</w:t>
      </w:r>
    </w:p>
    <w:p>
      <w:pPr>
        <w:spacing w:after="140"/>
        <w:jc w:val="both"/>
      </w:pPr>
      <w:r>
        <w:rPr>
          <w:b/>
          <w:bCs/>
        </w:rPr>
        <w:t xml:space="preserve">Word embeddings</w:t>
      </w:r>
      <w:r>
        <w:t xml:space="preserve"> (as introduced by Bengio et al.'s 2003 Neural Probabilistic Language Model) instead represent each word as a dense, much lower-dimensional real-valued vector (e.g., 100–1000 dimensions rather than tens of thousands), where the vector values are *learned from data* during model training rather than fixed in advance — critically, embeddings are trained so that words used in similar contexts end up with geometrically nearby vectors, meaning the embedding space itself comes to encode semantic/syntactic similarity (e.g., 'cat' and 'dog' end up closer to each other than either is to 'have').</w:t>
      </w:r>
    </w:p>
    <w:p>
      <w:pPr>
        <w:spacing w:after="140"/>
        <w:jc w:val="both"/>
      </w:pPr>
      <w:r>
        <w:rPr>
          <w:b/>
          <w:bCs/>
        </w:rPr>
        <w:t xml:space="preserve">Concrete disadvantage of one-hot encoding this motivates solving</w:t>
      </w:r>
      <w:r>
        <w:t xml:space="preserve">: because every pair of distinct one-hot vectors is, by construction, exactly equidistant from every other pair (any two distinct one-hot vectors have Euclidean/cosine relationships that are identical regardless of which two words are chosen — e.g., the distance between the one-hot vectors for 'cat' and 'dog' is mathematically identical to the distance between 'cat' and 'have', even though 'cat' and 'dog' are intuitively far more semantically related), a one-hot representation carries *zero* information about semantic similarity between words, forcing any downstream model to learn all semantic relationships entirely from scratch using an extremely high-dimensional, uninformative input representation. Learned word embeddings directly solve this by pre-encoding meaningful geometric similarity structure into the input representation itself, giving downstream models (whether RNNs or Transformers) a dramatically more informative and lower-dimensional starting point, which both improves generalization (similar words can share statistical strength) and reduces the effective input dimensionality the rest of the network must process.</w:t>
      </w:r>
    </w:p>
    <w:p>
      <w:r>
        <w:br w:type="page"/>
      </w:r>
    </w:p>
    <w:p>
      <w:pPr>
        <w:spacing w:after="40"/>
      </w:pPr>
      <w:r>
        <w:rPr>
          <w:b/>
          <w:bCs/>
          <w:color w:val="2E74B5"/>
          <w:sz w:val="22"/>
          <w:szCs w:val="22"/>
        </w:rPr>
        <w:t xml:space="preserve">LECTURE 10</w:t>
      </w:r>
    </w:p>
    <w:p>
      <w:pPr>
        <w:pStyle w:val="Heading1"/>
        <w:spacing w:after="120" w:before="240"/>
      </w:pPr>
      <w:r>
        <w:t xml:space="preserve">Distributed Computing I — MapReduce, Hadoop, HDFS</w:t>
      </w:r>
    </w:p>
    <w:p>
      <w:pPr>
        <w:pStyle w:val="Heading2"/>
        <w:spacing w:after="120" w:before="240"/>
      </w:pPr>
      <w:r>
        <w:t xml:space="preserve">1. Overview</w:t>
      </w:r>
    </w:p>
    <w:p>
      <w:pPr>
        <w:spacing w:after="140"/>
        <w:jc w:val="both"/>
      </w:pPr>
      <w:r>
        <w:t xml:space="preserve">This lecture connects the Big-Data 5-V framework directly to the hardware/software architectures required to process it: it re-derives the historical shift from expensive vertical scale-up (2000-era hardware: cheap disk, costly network, expensive RAM, single-core dominance) to cheap horizontal scale-out (2010s-era: cheap RAM/flash, fast networks, multicore dominance).</w:t>
      </w:r>
    </w:p>
    <w:p>
      <w:pPr>
        <w:spacing w:after="140"/>
        <w:jc w:val="both"/>
      </w:pPr>
      <w:r>
        <w:t xml:space="preserve">The technical core is the MapReduce paradigm (Google, 2003/2004) and its open-source realization, Hadoop, together with its distributed file system HDFS — including HDFS's explicit design assumptions (hardware failure is the norm, streaming/batch access, moving computation to data) and a balanced treatment of MapReduce's well-known limitations (no native indexing/updates/transactions, poor support for iterative algorithms) as criticized from the classical-DBMS perspective.</w:t>
      </w:r>
    </w:p>
    <w:p>
      <w:pPr>
        <w:spacing w:after="140"/>
        <w:jc w:val="both"/>
      </w:pPr>
      <w:r>
        <w:t xml:space="preserve">The lecture closes by introducing Apache Hive (SQL-on-MapReduce) as the first-generation solution for making the low-level MapReduce/Java programming model accessible via familiar SQL-like queries.</w:t>
      </w:r>
    </w:p>
    <w:p>
      <w:pPr>
        <w:pStyle w:val="Heading2"/>
        <w:spacing w:after="120" w:before="240"/>
      </w:pPr>
      <w:r>
        <w:t xml:space="preserve">2. Key Concepts &amp; Definitions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80"/>
              <w:left w:type="dxa" w:w="120"/>
              <w:bottom w:type="dxa" w:w="80"/>
              <w:right w:type="dxa" w:w="120"/>
            </w:tcMar>
            <w:vAlign w:val="center"/>
          </w:tcPr>
          <w:p>
            <w:r>
              <w:rPr>
                <w:b/>
                <w:bCs/>
                <w:color w:val="FFFFFF"/>
                <w:sz w:val="20"/>
                <w:szCs w:val="20"/>
              </w:rPr>
              <w:t xml:space="preserve">Term / Concept</w:t>
            </w:r>
          </w:p>
        </w:tc>
        <w:tc>
          <w:tcPr>
            <w:tcW w:type="dxa" w:w="7000"/>
            <w:shd w:fill="1F3864" w:color="auto" w:val="clear"/>
            <w:tcMar>
              <w:top w:type="dxa" w:w="80"/>
              <w:left w:type="dxa" w:w="120"/>
              <w:bottom w:type="dxa" w:w="80"/>
              <w:right w:type="dxa" w:w="120"/>
            </w:tcMar>
            <w:vAlign w:val="center"/>
          </w:tcPr>
          <w:p>
            <w:r>
              <w:rPr>
                <w:b/>
                <w:bCs/>
                <w:color w:val="FFFFFF"/>
                <w:sz w:val="20"/>
                <w:szCs w:val="20"/>
              </w:rPr>
              <w:t xml:space="preserve">Definition / Explanation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Vertical vs. Horizontal Scaling (recap, hardware-focused)</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2000-era: cheap disk / costly network / expensive RAM / single-core dominant, SQL as primary language. ~2010s: cheap RAM-as-primary-storage / fast networks &amp; virtualization / multicore &amp; heterogeneous architectures dominant, functional programming + multicore/distribution + NoSQL rise.</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Scale-out ('trivial parallelism') Rationale</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Add more instances of commodity hardware rather than relying on any single powerful/reliable node; ideal case: 'distribute computing to data, not vice versa' — move the (small) program to where the (huge) data already resides rather than moving huge data across the network to a compute node.</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MapReduce Paradigm (Dean &amp; Ghemawat, OSDI 2004)</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A programming model with exactly two user-defined functions: Map (transforms/filters input key-value pairs into intermediate key-value pairs) and Reduce (aggregates all intermediate values sharing the same key into a final output) — the underlying framework automatically handles distribution, parallelization, fault tolerance and inter-node data shuffling/synchronization.</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Google File System (GFS) / HDFS</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The underlying distributed storage layer beneath MapReduce/Hadoop: large files are split into fixed-size blocks (e.g., MyBigFile → B1, B2, B3, ...), each block is replicated (real duplicates, NOT RAID-style parity) across multiple nodes for fault tolerance, and blocks (not whole files) serve as the unit of both replication and as direct input chunks to processing tasks.</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HDFS Design Assumptions</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Hardware failure is 'the norm rather than the exception' (hundreds-to-thousands of commodity servers per cluster); Streaming data access (batch-oriented, not interactive/random-access); Large data sets (tens of millions of files, GB-TB each); Moving computation to data (co-locate compute with the data block it processes, since network transfer of huge data is the bottleneck); Portability (run on heterogeneous hardware/software).</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MapReduce Criticism (DBMS perspective, 2008)</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A widely cited critique argues MapReduce is 'a major step backwards' relative to mature relational DBMS technology because it natively lacks: Indexing (only 'brute force' full scans), Updates (no in-place data modification), Transactions (no parallel-update/recovery guarantees), Integrity constraints/references, and Views (no schema abstraction without rewriting application code).</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Apache Hive</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'Hive = MapReduce + SQL': a data-warehouse layer on top of Hadoop offering HiveQL, a SQL-like query language, which Hive internally parses, plans, and compiles down into one or more underlying MapReduce jobs — retaining MapReduce's scalability/fault-tolerance while removing the need to hand-write low-level Java MapReduce code for every query.</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MapReduce Limitations (practical)</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Non-interactive (designed for batch, not ad-hoc interactive queries), a simple programming model that is nonetheless complex to map many real analytics tasks onto ('map' + 'reduce' only), and critically No iterations — each MapReduce job is a single pass; iterative algorithms (e.g. many ML training loops, PageRank-style graph algorithms) require chaining many separate MapReduce jobs with expensive disk I/O between each, motivating the subsequent shift toward in-memory processing frameworks (Spark — covered in Lecture 11).</w:t>
            </w:r>
          </w:p>
        </w:tc>
      </w:tr>
    </w:tbl>
    <w:p>
      <w:pPr>
        <w:spacing w:after="160"/>
      </w:pPr>
    </w:p>
    <w:p>
      <w:pPr>
        <w:pStyle w:val="Heading2"/>
        <w:spacing w:after="120" w:before="240"/>
      </w:pPr>
      <w:r>
        <w:t xml:space="preserve">3. Diagrams &amp; Visual Flowcharts</w:t>
      </w:r>
    </w:p>
    <w:p>
      <w:pPr>
        <w:spacing w:after="120" w:before="200"/>
      </w:pPr>
      <w:r>
        <w:rPr>
          <w:b/>
          <w:bCs/>
          <w:i/>
          <w:iCs/>
          <w:color w:val="1F3864"/>
          <w:sz w:val="22"/>
          <w:szCs w:val="22"/>
        </w:rPr>
        <w:t xml:space="preserve">Figure 10.1 — MapReduce Data Flow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Input data split across many nodes (HDFS blocks)</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MAP phase: each node applies Map(k,v) → list of intermediate (k′,v′) pairs, IN PARALLEL</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Shuffle/Sort: intermediate pairs grouped by key k′ across the cluster (synchronization point)</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REDUCE phase: each Reduce(k′, list of v′) aggregates all values for one key → final output</w:t>
            </w:r>
          </w:p>
        </w:tc>
      </w:tr>
    </w:tbl>
    <w:p>
      <w:pPr>
        <w:spacing w:after="200" w:before="100"/>
      </w:pPr>
      <w:r>
        <w:rPr>
          <w:i/>
          <w:iCs/>
          <w:color w:val="555555"/>
          <w:sz w:val="19"/>
          <w:szCs w:val="19"/>
        </w:rPr>
        <w:t xml:space="preserve">↳ The 'pure parallel stages' (Map, then Reduce) are each embarrassingly parallel across nodes, but the Shuffle step in between requires cluster-wide data synchronization/network transfer — the primary scalability bottleneck.</w:t>
      </w:r>
    </w:p>
    <w:p>
      <w:pPr>
        <w:spacing w:after="120" w:before="200"/>
      </w:pPr>
      <w:r>
        <w:rPr>
          <w:b/>
          <w:bCs/>
          <w:i/>
          <w:iCs/>
          <w:color w:val="1F3864"/>
          <w:sz w:val="22"/>
          <w:szCs w:val="22"/>
        </w:rPr>
        <w:t xml:space="preserve">Figure 10.2 — HDFS Block Replication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MyBigFile → split into Blocks B1, B2, B3</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Each block replicated (e.g. 3×) across DIFFERENT physical nodes</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Blocks (not whole files) serve directly as MapReduce task input</w:t>
            </w:r>
          </w:p>
        </w:tc>
      </w:tr>
    </w:tbl>
    <w:p>
      <w:pPr>
        <w:spacing w:after="200" w:before="100"/>
      </w:pPr>
      <w:r>
        <w:rPr>
          <w:i/>
          <w:iCs/>
          <w:color w:val="555555"/>
          <w:sz w:val="19"/>
          <w:szCs w:val="19"/>
        </w:rPr>
        <w:t xml:space="preserve">↳ True duplication (not RAID-style parity/erasure coding) trades storage efficiency for simplicity and fast, fully-local recovery when 'failure is the norm'.</w:t>
      </w:r>
    </w:p>
    <w:p>
      <w:pPr>
        <w:pStyle w:val="Heading2"/>
        <w:spacing w:after="120" w:before="240"/>
      </w:pPr>
      <w:r>
        <w:t xml:space="preserve">5. Exam-Style Questions &amp; Detailed Answers</w:t>
      </w:r>
    </w:p>
    <w:p>
      <w:pPr>
        <w:shd w:fill="DCE6F1" w:color="auto" w:val="clear"/>
        <w:spacing w:after="100" w:before="200"/>
      </w:pPr>
      <w:r>
        <w:rPr>
          <w:b/>
          <w:bCs/>
          <w:color w:val="1F3864"/>
          <w:sz w:val="22"/>
          <w:szCs w:val="22"/>
        </w:rPr>
        <w:t xml:space="preserve">Q1. Explain the MapReduce programming model using its two core functions, and describe what the underlying framework handles automatically so the programmer does not have to.</w:t>
      </w:r>
    </w:p>
    <w:p>
      <w:pPr>
        <w:spacing w:after="140"/>
        <w:jc w:val="both"/>
      </w:pPr>
      <w:r>
        <w:rPr>
          <w:b/>
          <w:bCs/>
        </w:rPr>
        <w:t xml:space="preserve">Map function</w:t>
      </w:r>
      <w:r>
        <w:t xml:space="preserve">: takes a single input key-value pair (typically one 'record' — e.g., one line of a text file) and produces zero or more intermediate key-value pairs as output; conceptually it applies the same transformation/filter independently to every input record, entirely in parallel, since each Map invocation is stateless and has no dependency on any other Map invocation's result. </w:t>
      </w:r>
      <w:r>
        <w:rPr>
          <w:b/>
          <w:bCs/>
        </w:rPr>
        <w:t xml:space="preserve">Reduce function</w:t>
      </w:r>
      <w:r>
        <w:t xml:space="preserve">: takes a single intermediate key together with the *complete list* of all intermediate values that were ever emitted for that exact key (across the entire dataset, gathered from potentially every node in the cluster), and aggregates/combines them into a final output value for that key.</w:t>
      </w:r>
    </w:p>
    <w:p>
      <w:pPr>
        <w:spacing w:after="140"/>
        <w:jc w:val="both"/>
      </w:pPr>
      <w:r>
        <w:rPr>
          <w:b/>
          <w:bCs/>
        </w:rPr>
        <w:t xml:space="preserve">What the framework (Hadoop/MapReduce runtime) automatically handles</w:t>
      </w:r>
      <w:r>
        <w:t xml:space="preserve">: (1) *Parallelization/distribution* — automatically splitting the input data (via HDFS blocks) across many machines and scheduling Map tasks to run concurrently on each machine's local data ('moving computation to data' rather than vice versa); (2) *Shuffle and sort* — automatically collecting all intermediate (key, value) pairs from every Map task across the cluster and grouping/routing them so that all values sharing the same key arrive together at the same Reduce task, regardless of which machine originally produced them; (3) *Fault tolerance* — automatically detecting failed nodes/tasks (since 'failure is the norm rather than the exception' at this scale) and re-executing only the lost work on a different node, rather than requiring the whole job to restart; (4) *Load balancing and scheduling* — assigning tasks to available machines and managing task lifecycles via the Job Tracker/Task Tracker mechanism.</w:t>
      </w:r>
    </w:p>
    <w:p>
      <w:pPr>
        <w:spacing w:after="140"/>
        <w:jc w:val="both"/>
      </w:pPr>
      <w:r>
        <w:t xml:space="preserve">The programmer's entire responsibility is reduced to writing just the Map and Reduce functions expressing the *logic* of the computation; all of the genuinely hard distributed-systems engineering (parallel execution, network communication, failure recovery, data locality optimization) is abstracted away by the framework — this dramatic simplification of the programming model, at the cost of the specific limitations discussed in Q3 below, is exactly why MapReduce/Hadoop achieved widespread industrial adoption despite being, in the words of the DBMS-community critique cited in the lecture, 'a step backwards' relative to full relational database functionality.</w:t>
      </w:r>
    </w:p>
    <w:p>
      <w:pPr>
        <w:shd w:fill="DCE6F1" w:color="auto" w:val="clear"/>
        <w:spacing w:after="100" w:before="200"/>
      </w:pPr>
      <w:r>
        <w:rPr>
          <w:b/>
          <w:bCs/>
          <w:color w:val="1F3864"/>
          <w:sz w:val="22"/>
          <w:szCs w:val="22"/>
        </w:rPr>
        <w:t xml:space="preserve">Q2. Explain why HDFS explicitly assumes 'hardware failure is the norm rather than the exception', and describe the concrete design decision this assumption drives.</w:t>
      </w:r>
    </w:p>
    <w:p>
      <w:pPr>
        <w:spacing w:after="140"/>
        <w:jc w:val="both"/>
      </w:pPr>
      <w:r>
        <w:t xml:space="preserve">HDFS is explicitly designed to run across 'hundreds to thousands of commodity servers per cluster' — i.e., ordinary, relatively inexpensive, individually less-reliable machines rather than a small number of expensive, highly-engineered, individually fault-tolerant enterprise servers. At the scale of thousands of individual components (disks, network cards, power supplies, memory modules) each with its own (small but nonzero) individual failure probability, basic probability theory dictates that the *expected number* of component failures across the whole cluster, per unit time, becomes substantial — with enough independent components, *some* component failing at *some* moment during any given large job becomes not merely possible but statistically likely, essentially the same 'multiple independent trials' logic underlying the Rhine-Paradox chance-finding example from the Statistics lecture (many independent low-probability events, given enough trials, become likely to occur at least once).</w:t>
      </w:r>
    </w:p>
    <w:p>
      <w:pPr>
        <w:spacing w:after="140"/>
        <w:jc w:val="both"/>
      </w:pPr>
      <w:r>
        <w:rPr>
          <w:b/>
          <w:bCs/>
        </w:rPr>
        <w:t xml:space="preserve">Concrete design decision this drives</w:t>
      </w:r>
      <w:r>
        <w:t xml:space="preserve">: block-level replication — every HDFS file is split into fixed-size blocks, and each individual block (not just the file as a whole) is independently replicated as full, real duplicate copies (explicitly 'no RAID', i.e. not space-efficient parity/erasure-coding schemes) across multiple *different* physical machines. This means that if any single node fails mid-computation, none of the data it held is actually lost (since complete duplicate copies of every one of its blocks already exist on other, unaffected nodes), and the MapReduce job scheduler can simply re-run the lost task on a different node holding a replica of the needed block, with no need to halt or restart the entire distributed job. This design choice deliberately trades storage efficiency (multiple full copies consume more total disk space than a single copy plus lightweight parity information would) for operational simplicity, fast/local fault recovery, and — critically — data locality (since replicas exist on multiple nodes, the scheduler has more choices for which node can process a given block 'near' where the data already resides, directly supporting the 'moving computation to data' design goal).</w:t>
      </w:r>
    </w:p>
    <w:p>
      <w:pPr>
        <w:shd w:fill="DCE6F1" w:color="auto" w:val="clear"/>
        <w:spacing w:after="100" w:before="200"/>
      </w:pPr>
      <w:r>
        <w:rPr>
          <w:b/>
          <w:bCs/>
          <w:color w:val="1F3864"/>
          <w:sz w:val="22"/>
          <w:szCs w:val="22"/>
        </w:rPr>
        <w:t xml:space="preserve">Q3. Summarize the classical-DBMS critique of MapReduce (2008) and explain, in your own words, why each cited missing feature genuinely matters for certain workloads.</w:t>
      </w:r>
    </w:p>
    <w:p>
      <w:pPr>
        <w:spacing w:after="140"/>
        <w:jc w:val="both"/>
      </w:pPr>
      <w:r>
        <w:t xml:space="preserve">The 2008 database-research-community critique (referenced in the lecture) argued that plain MapReduce represents 'a major step backwards' for large-scale, data-intensive application programming compared to mature relational DBMS technology, citing several specifically missing core features:</w:t>
      </w:r>
    </w:p>
    <w:p>
      <w:pPr>
        <w:spacing w:after="140"/>
        <w:jc w:val="both"/>
      </w:pPr>
      <w:r>
        <w:rPr>
          <w:b/>
          <w:bCs/>
        </w:rPr>
        <w:t xml:space="preserve">No indexing (only 'brute force' full scans)</w:t>
      </w:r>
      <w:r>
        <w:t xml:space="preserve">: every MapReduce job must, by default, scan the entirety of its input data (or at least every block potentially relevant), since there is no built-in mechanism analogous to a database B-tree index that would let a query jump directly to only the relevant rows — this matters enormously for workloads that only need to touch a small subset of a huge dataset (e.g., 'find the one customer record with ID=12345 out of a billion'), where a proper index would make the query near-instantaneous but a MapReduce full scan remains proportional to the entire dataset's size regardless of how selective the actual query is.</w:t>
      </w:r>
    </w:p>
    <w:p>
      <w:pPr>
        <w:spacing w:after="140"/>
        <w:jc w:val="both"/>
      </w:pPr>
      <w:r>
        <w:rPr>
          <w:b/>
          <w:bCs/>
        </w:rPr>
        <w:t xml:space="preserve">No updates (no in-place modification)</w:t>
      </w:r>
      <w:r>
        <w:t xml:space="preserve">: MapReduce's batch-processing model is fundamentally geared toward reading a (typically static/append-only) dataset and producing a new output dataset, not toward efficiently modifying individual existing records in place — this matters for any workload requiring frequent small, targeted mutations to existing data (e.g., an online transactional system updating individual customer balances), which a MapReduce-only architecture handles very poorly compared to a traditional OLTP database.</w:t>
      </w:r>
    </w:p>
    <w:p>
      <w:pPr>
        <w:spacing w:after="140"/>
        <w:jc w:val="both"/>
      </w:pPr>
      <w:r>
        <w:rPr>
          <w:b/>
          <w:bCs/>
        </w:rPr>
        <w:t xml:space="preserve">No transactions (no parallel-update-and-recovery guarantees)</w:t>
      </w:r>
      <w:r>
        <w:t xml:space="preserve">: without a transaction mechanism (ACID guarantees), there is no built-in support for ensuring that a set of related updates either all succeed together or are all rolled back together in the presence of concurrent access or mid-operation failures — this matters for any workload with correctness-critical multi-step updates (e.g., financial transfers debiting one account and crediting another) where partial/inconsistent application of just one half of an update would corrupt data integrity.</w:t>
      </w:r>
    </w:p>
    <w:p>
      <w:pPr>
        <w:spacing w:after="140"/>
        <w:jc w:val="both"/>
      </w:pPr>
      <w:r>
        <w:rPr>
          <w:b/>
          <w:bCs/>
        </w:rPr>
        <w:t xml:space="preserve">No integrity constraints/references, no views</w:t>
      </w:r>
      <w:r>
        <w:t xml:space="preserve">: without declarative constraints (e.g., foreign-key references) enforced by the storage layer itself, data consistency across related datasets must be manually maintained by application code rather than guaranteed by the platform; and without views (a schema-abstraction layer letting the underlying physical schema evolve without rewriting every dependent application), any change to the underlying data layout can force costly, error-prone rewriting of every downstream program that reads it — this matters for long-lived, evolving data systems where schema stability and referential integrity materially reduce the risk of silent data-quality bugs accumulating over time, exactly the concern raised repeatedly in the Data-Preprocessing and Research-Data-Management lectures about maintaining data quality/consistency across a system's lifetime.</w:t>
      </w:r>
    </w:p>
    <w:p>
      <w:pPr>
        <w:spacing w:after="140"/>
        <w:jc w:val="both"/>
      </w:pPr>
      <w:r>
        <w:t xml:space="preserve">The lecture presents this critique even-handedly, immediately followed by the observation that these very limitations directly motivated the subsequent development of higher-level tools (Hive adding SQL-style querying) and, eventually, the entire 'Big Data 2.0' generation of frameworks (Spark, Flink, covered in Lecture 11) that progressively re-introduce database-like features (in-memory processing, richer APIs, some transactional/streaming guarantees) on top of the original scale-out, fault-tolerant MapReduce/HDFS foundation.</w:t>
      </w:r>
    </w:p>
    <w:p>
      <w:pPr>
        <w:shd w:fill="DCE6F1" w:color="auto" w:val="clear"/>
        <w:spacing w:after="100" w:before="200"/>
      </w:pPr>
      <w:r>
        <w:rPr>
          <w:b/>
          <w:bCs/>
          <w:color w:val="1F3864"/>
          <w:sz w:val="22"/>
          <w:szCs w:val="22"/>
        </w:rPr>
        <w:t xml:space="preserve">Q4. Explain how Apache Hive works and why 'Hive = MapReduce + SQL' represents a meaningful simplification for data analysts, referencing the four-step query-execution flow given in the lecture.</w:t>
      </w:r>
    </w:p>
    <w:p>
      <w:pPr>
        <w:spacing w:after="140"/>
        <w:jc w:val="both"/>
      </w:pPr>
      <w:r>
        <w:t xml:space="preserve">Apache Hive is explicitly described in the lecture as a data-warehouse layer built on top of MapReduce, designed specifically to combine SQL's ease-of-use with MapReduce's underlying scalability and fault-tolerance mechanisms, so that analysts need not implement queries in the low-level Java MapReduce API by hand. The four-step query execution flow given is: (1) the user issues a SQL-like query written in </w:t>
      </w:r>
      <w:r>
        <w:rPr>
          <w:b/>
          <w:bCs/>
        </w:rPr>
        <w:t xml:space="preserve">HiveQL</w:t>
      </w:r>
      <w:r>
        <w:t xml:space="preserve"> (a query language deliberately modeled closely on standard SQL); (2) Hive </w:t>
      </w:r>
      <w:r>
        <w:rPr>
          <w:b/>
          <w:bCs/>
        </w:rPr>
        <w:t xml:space="preserve">parses and plans</w:t>
      </w:r>
      <w:r>
        <w:t xml:space="preserve"> the query, determining an appropriate execution strategy; (3) Hive </w:t>
      </w:r>
      <w:r>
        <w:rPr>
          <w:b/>
          <w:bCs/>
        </w:rPr>
        <w:t xml:space="preserve">converts the planned query into one or more underlying MapReduce jobs</w:t>
      </w:r>
      <w:r>
        <w:t xml:space="preserve"> (translating high-level relational operations like SELECT/GROUP BY/JOIN into the corresponding low-level Map and Reduce functions automatically); (4) Hadoop then actually </w:t>
      </w:r>
      <w:r>
        <w:rPr>
          <w:b/>
          <w:bCs/>
        </w:rPr>
        <w:t xml:space="preserve">runs</w:t>
      </w:r>
      <w:r>
        <w:t xml:space="preserve"> these generated MapReduce tasks across the distributed cluster exactly as it would for any hand-written MapReduce job.</w:t>
      </w:r>
    </w:p>
    <w:p>
      <w:pPr>
        <w:spacing w:after="140"/>
        <w:jc w:val="both"/>
      </w:pPr>
      <w:r>
        <w:rPr>
          <w:b/>
          <w:bCs/>
        </w:rPr>
        <w:t xml:space="preserve">Why this is a meaningful simplification</w:t>
      </w:r>
      <w:r>
        <w:t xml:space="preserve">: prior to Hive, an analyst wishing to compute, say, a word-count or a group-by aggregation over a massive dataset stored in HDFS had to write custom Java (or similar low-level language) MapReduce code by hand for every distinct analytical question — requiring not just domain/analytical expertise but also low-level distributed-programming expertise, and making even simple ad-hoc queries a substantial software-engineering task. Hive lets the same analyst instead write a query in familiar SQL syntax (the lecture's own worked example creates a table, loads data, and computes word counts via a single SELECT ... GROUP BY ... ORDER BY statement) — dramatically lowering the barrier to entry for large-scale data analysis, while Hive's internal query-compilation step transparently handles the translation into efficient, scalable MapReduce execution behind the scenes. This design pattern — providing a familiar, higher-level abstraction (SQL) compiled down onto a scalable, fault-tolerant but lower-level execution engine (MapReduce) — is explicitly highlighted as historically significant, since Hive (first released 2010, originally developed at Facebook, and subsequently adopted by companies such as Netflix and FINRA, and even adapted by Amazon for AWS Elastic MapReduce) became one of the most widely used components of the entire Hadoop ecosystem precisely because of this accessibility gain.</w:t>
      </w:r>
    </w:p>
    <w:p>
      <w:r>
        <w:br w:type="page"/>
      </w:r>
    </w:p>
    <w:p>
      <w:pPr>
        <w:spacing w:after="40"/>
      </w:pPr>
      <w:r>
        <w:rPr>
          <w:b/>
          <w:bCs/>
          <w:color w:val="2E74B5"/>
          <w:sz w:val="22"/>
          <w:szCs w:val="22"/>
        </w:rPr>
        <w:t xml:space="preserve">LECTURE 11</w:t>
      </w:r>
    </w:p>
    <w:p>
      <w:pPr>
        <w:pStyle w:val="Heading1"/>
        <w:spacing w:after="120" w:before="240"/>
      </w:pPr>
      <w:r>
        <w:t xml:space="preserve">Distributed Computing II — In-Memory Processing, Apache Spark &amp; Flink, Stream Processing</w:t>
      </w:r>
    </w:p>
    <w:p>
      <w:pPr>
        <w:pStyle w:val="Heading2"/>
        <w:spacing w:after="120" w:before="240"/>
      </w:pPr>
      <w:r>
        <w:t xml:space="preserve">1. Overview</w:t>
      </w:r>
    </w:p>
    <w:p>
      <w:pPr>
        <w:spacing w:after="140"/>
        <w:jc w:val="both"/>
      </w:pPr>
      <w:r>
        <w:t xml:space="preserve">Building directly on Lecture 10's MapReduce/Hadoop foundation, this lecture addresses MapReduce's two headline limitations (no iteration support, IO/disk bottleneck between chained jobs) by introducing in-memory processing and the resulting 'Big Data 2.0' / 'third-generation' multi-purpose frameworks — chiefly Apache Spark (RDDs, DAG execution, Transformations/Actions) and Apache Flink (true streaming).</w:t>
      </w:r>
    </w:p>
    <w:p>
      <w:pPr>
        <w:spacing w:after="140"/>
        <w:jc w:val="both"/>
      </w:pPr>
      <w:r>
        <w:t xml:space="preserve">It contrasts Batch Processing, In-Memory Processing, and Stream Processing as three fundamentally different data-driven analytics paradigms, each suited to a different latency/throughput/statefulness profile, then compares Spark's micro-batch streaming model against Flink's native event-at-a-time streaming model with concrete published benchmark results.</w:t>
      </w:r>
    </w:p>
    <w:p>
      <w:pPr>
        <w:spacing w:after="140"/>
        <w:jc w:val="both"/>
      </w:pPr>
      <w:r>
        <w:t xml:space="preserve">The lecture closes with the ongoing convergence trend between HPC and Big-Data scheduling/infrastructure (Mesos, YARN vs. Slurm/Grid-Engine), motivated by both paradigms increasingly needing to support the other's workload type on shared infrastructure (HPDA).</w:t>
      </w:r>
    </w:p>
    <w:p>
      <w:pPr>
        <w:pStyle w:val="Heading2"/>
        <w:spacing w:after="120" w:before="240"/>
      </w:pPr>
      <w:r>
        <w:t xml:space="preserve">2. Key Concepts &amp; Definitions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80"/>
              <w:left w:type="dxa" w:w="120"/>
              <w:bottom w:type="dxa" w:w="80"/>
              <w:right w:type="dxa" w:w="120"/>
            </w:tcMar>
            <w:vAlign w:val="center"/>
          </w:tcPr>
          <w:p>
            <w:r>
              <w:rPr>
                <w:b/>
                <w:bCs/>
                <w:color w:val="FFFFFF"/>
                <w:sz w:val="20"/>
                <w:szCs w:val="20"/>
              </w:rPr>
              <w:t xml:space="preserve">Term / Concept</w:t>
            </w:r>
          </w:p>
        </w:tc>
        <w:tc>
          <w:tcPr>
            <w:tcW w:type="dxa" w:w="7000"/>
            <w:shd w:fill="1F3864" w:color="auto" w:val="clear"/>
            <w:tcMar>
              <w:top w:type="dxa" w:w="80"/>
              <w:left w:type="dxa" w:w="120"/>
              <w:bottom w:type="dxa" w:w="80"/>
              <w:right w:type="dxa" w:w="120"/>
            </w:tcMar>
            <w:vAlign w:val="center"/>
          </w:tcPr>
          <w:p>
            <w:r>
              <w:rPr>
                <w:b/>
                <w:bCs/>
                <w:color w:val="FFFFFF"/>
                <w:sz w:val="20"/>
                <w:szCs w:val="20"/>
              </w:rPr>
              <w:t xml:space="preserve">Definition / Explanation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In-Memory Processing</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Storing and repeatedly operating on data held in RAM rather than continually re-reading/writing to disk between processing stages; historically motivated by 'coffee-break analytics' business-intelligence pain (queries taking so long that analysts would start a query, get coffee, and return later) — RAM/flash becoming cheaper and faster made large-scale in-memory computation newly practical, directly lifting the IO-bottleneck limitation that plain (disk-based) MapReduce suffered under for iterative workloads.</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Apache Spark</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A 'fast and general engine for large-scale data processing' (AMPLab/Berkeley, 2009; later Databricks), written in Scala; supports a Directed Acyclic Graph (DAG) execution engine enabling cyclic/iterative data flow and in-memory computing, with 80+ high-level operators and language bindings for Scala/Python/R; ships an integrated library stack: Spark SQL/DataFrames, MLlib (machine learning), GraphX (graph processing), Spark Streaming.</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Resilient Distributed Dataset (RDD)</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Spark's core data abstraction: a resilient (fault-tolerant, via a lineage graph enabling automatic recomputation of lost partitions), distributed (spread across cluster nodes) collection of records. Supports two operation types: Transformations (lazy — return a new RDD, not executed immediately, e.g. filter, map) and Actions (eager — trigger actual computation and return a concrete value/result, e.g. collect, count).</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Lazy Evaluation &amp; DAG</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Spark builds a Directed Acyclic Graph of all pending Transformations without executing anything until an Action is called, at which point the whole DAG is optimized and executed as one pipeline — avoiding unnecessary intermediate materialization to disk that plain MapReduce's job-chaining would otherwise require.</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Spark Cluster Roles</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Client/Driver (Spark Context) connects to a Cluster Manager (Master Node — standalone/Mesos/YARN/EC2), which allocates Worker Nodes; each Worker Node runs an Executor (with its own Cache and Task slots) that actually performs the assigned computation on its local data partition.</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RDD → DataFrame → Dataset Evolution</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Progressive enhancement of Spark's core abstraction (since v1.4): DataFrames add a schema/relational structure atop RDDs (enabling query optimization akin to a database), and further Memory Management/Binary Processing, Cache-aware computation, and Code Generation improvements exploit modern CPU/compiler capabilities beyond what raw JVM objects allow.</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Apache Flink</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A large-scale data-processing engine similar to Spark (derived from the Stratosphere research project) offering strong native streaming support: true event-at-a-time streaming with adjustable latency/throughput trade-offs, a rich functional API, flexible windowing semantics, and exactly-once processing guarantees.</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Batch vs. Stream Processing</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Batch: data is 'fixed'; a workload of queries runs against the complete, static dataset once. Stream: data is continuously 'in motion'/unbounded; a standing/continuous query runs against data as it arrives, working with limited state and bounded resources, appropriate for time-critical applications (autonomous driving, real-time sensor analysis, traffic monitoring).</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Spark Streaming vs. Flink: Micro-batch vs. True Streaming</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Spark Streaming splits an incoming stream into small discrete 'mini-batches' and processes each mini-batch using the same batch engine (mapped onto Spark's underlying batch-processing abstraction) — introducing a small but nonzero latency floor. Flink instead offers a *direct* API to process each individual event in real (true) streaming fashion as it arrives, without an artificial mini-batch grouping step — generally yielding lower latency, at comparable throughput scaling, per the cited Karimov et al. (ICDE 2018) benchmark study.</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HPC vs. Big-Data Scheduling</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HPC schedulers (Slurm, Grid Engine, Moab, LoadLeveler) require fine-grained control over specific resources (cores, accelerators, memory, wall-clock time) for tightly-coupled jobs. Big-Data schedulers (Hadoop's original integrated Job Tracker/Task Tracker, or more abstract modern schedulers like Apache Mesos/YARN) instead manage more service-oriented, loosely-coupled, often smaller and more numerous jobs; convergence research (HPDA) explores running Big-Data-style analytics jobs opportunistically within otherwise-idle 'holes' in HPC cluster utilization.</w:t>
            </w:r>
          </w:p>
        </w:tc>
      </w:tr>
    </w:tbl>
    <w:p>
      <w:pPr>
        <w:spacing w:after="160"/>
      </w:pPr>
    </w:p>
    <w:p>
      <w:pPr>
        <w:pStyle w:val="Heading2"/>
        <w:spacing w:after="120" w:before="240"/>
      </w:pPr>
      <w:r>
        <w:t xml:space="preserve">3. Diagrams &amp; Visual Flowcharts</w:t>
      </w:r>
    </w:p>
    <w:p>
      <w:pPr>
        <w:spacing w:after="120" w:before="200"/>
      </w:pPr>
      <w:r>
        <w:rPr>
          <w:b/>
          <w:bCs/>
          <w:i/>
          <w:iCs/>
          <w:color w:val="1F3864"/>
          <w:sz w:val="22"/>
          <w:szCs w:val="22"/>
        </w:rPr>
        <w:t xml:space="preserve">Figure 11.1 — Spark Cluster Architecture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Client / Driver (Spark Context)</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 connects to → Cluster Manager (Master Node: standalone / Mesos / YARN / EC2)</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 allocates → Worker Nodes, each running an Executor (with local Cache + Task slots)</w:t>
            </w:r>
          </w:p>
        </w:tc>
      </w:tr>
    </w:tbl>
    <w:p>
      <w:pPr>
        <w:spacing w:after="200" w:before="100"/>
      </w:pPr>
      <w:r>
        <w:rPr>
          <w:i/>
          <w:iCs/>
          <w:color w:val="555555"/>
          <w:sz w:val="19"/>
          <w:szCs w:val="19"/>
        </w:rPr>
        <w:t xml:space="preserve">↳ The Driver sends application/task code to Executors, which run tasks separately on their locally-cached data partitions — direct data-locality inheritance from the HDFS/MapReduce 'move computation to data' philosophy.</w:t>
      </w:r>
    </w:p>
    <w:p>
      <w:pPr>
        <w:spacing w:after="120" w:before="200"/>
      </w:pPr>
      <w:r>
        <w:rPr>
          <w:b/>
          <w:bCs/>
          <w:i/>
          <w:iCs/>
          <w:color w:val="1F3864"/>
          <w:sz w:val="22"/>
          <w:szCs w:val="22"/>
        </w:rPr>
        <w:t xml:space="preserve">Figure 11.2 — RDD Transformation/Action Example (log filtering)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lines = spark.textFile('hdfs://...')   [RDD created]</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errors = lines.filter(_.startsWith('ERROR'))   [Transformation — LAZY, no computation yet]</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errors.filter(...).map(...).collect()   [collect() is an ACTION — triggers actual DAG execution]</w:t>
            </w:r>
          </w:p>
        </w:tc>
      </w:tr>
    </w:tbl>
    <w:p>
      <w:pPr>
        <w:spacing w:after="200" w:before="100"/>
      </w:pPr>
      <w:r>
        <w:rPr>
          <w:i/>
          <w:iCs/>
          <w:color w:val="555555"/>
          <w:sz w:val="19"/>
          <w:szCs w:val="19"/>
        </w:rPr>
        <w:t xml:space="preserve">↳ Nothing is actually computed until the terminal Action (here collect()) is invoked — Spark instead builds and later optimizes the full chain of Transformations as one Directed Acyclic Graph.</w:t>
      </w:r>
    </w:p>
    <w:p>
      <w:pPr>
        <w:spacing w:after="120" w:before="200"/>
      </w:pPr>
      <w:r>
        <w:rPr>
          <w:b/>
          <w:bCs/>
          <w:i/>
          <w:iCs/>
          <w:color w:val="1F3864"/>
          <w:sz w:val="22"/>
          <w:szCs w:val="22"/>
        </w:rPr>
        <w:t xml:space="preserve">Figure 11.3 — Batch vs. Stream Processing Model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BATCH: Events → DB (fixed/at-rest) → Query (workload run once against static data)</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STREAM: Events → continuous/standing Query → State (bounded, updated incrementally) → continuous Query output</w:t>
            </w:r>
          </w:p>
        </w:tc>
      </w:tr>
    </w:tbl>
    <w:p>
      <w:pPr>
        <w:spacing w:after="200" w:before="100"/>
      </w:pPr>
      <w:r>
        <w:rPr>
          <w:i/>
          <w:iCs/>
          <w:color w:val="555555"/>
          <w:sz w:val="19"/>
          <w:szCs w:val="19"/>
        </w:rPr>
        <w:t xml:space="preserve">↳ Batch processing answers a fixed question against fixed data; Stream processing continuously answers a standing question against an ever-arriving, unbounded stream, using only limited state.</w:t>
      </w:r>
    </w:p>
    <w:p>
      <w:pPr>
        <w:pStyle w:val="Heading2"/>
        <w:spacing w:after="120" w:before="240"/>
      </w:pPr>
      <w:r>
        <w:t xml:space="preserve">5. Exam-Style Questions &amp; Detailed Answers</w:t>
      </w:r>
    </w:p>
    <w:p>
      <w:pPr>
        <w:shd w:fill="DCE6F1" w:color="auto" w:val="clear"/>
        <w:spacing w:after="100" w:before="200"/>
      </w:pPr>
      <w:r>
        <w:rPr>
          <w:b/>
          <w:bCs/>
          <w:color w:val="1F3864"/>
          <w:sz w:val="22"/>
          <w:szCs w:val="22"/>
        </w:rPr>
        <w:t xml:space="preserve">Q1. Explain, precisely, why plain (disk-based) MapReduce is poorly suited to iterative algorithms, and how in-memory processing (Spark) resolves this.</w:t>
      </w:r>
    </w:p>
    <w:p>
      <w:pPr>
        <w:spacing w:after="140"/>
        <w:jc w:val="both"/>
      </w:pPr>
      <w:r>
        <w:t xml:space="preserve">A plain MapReduce job reads its entire input from disk (HDFS), executes exactly one Map phase and one Reduce phase, and writes its final output back to disk. Any algorithm requiring </w:t>
      </w:r>
      <w:r>
        <w:rPr>
          <w:b/>
          <w:bCs/>
        </w:rPr>
        <w:t xml:space="preserve">iteration</w:t>
      </w:r>
      <w:r>
        <w:t xml:space="preserve"> — repeatedly re-processing the *same* (or slightly updated) data across many rounds, such as many machine-learning training loops, iterative graph algorithms (e.g. PageRank-style computations), or numerical optimization — must therefore be implemented as a *chain* of many separate MapReduce jobs, where the output of iteration k (written to disk at the end of job k) must be re-read from disk as the input to iteration k+1's job. Since disk I/O is orders of magnitude slower than in-memory access, and this pattern re-incurs the full read/write cost at *every single iteration*, iterative MapReduce pipelines suffer severe, repeatedly compounding I/O overhead — precisely the limitation the lecture flags explicitly under 'MapReduce – Limitations!': 'No iterations'.</w:t>
      </w:r>
    </w:p>
    <w:p>
      <w:pPr>
        <w:spacing w:after="140"/>
        <w:jc w:val="both"/>
      </w:pPr>
      <w:r>
        <w:rPr>
          <w:b/>
          <w:bCs/>
        </w:rPr>
        <w:t xml:space="preserve">How Spark resolves this</w:t>
      </w:r>
      <w:r>
        <w:t xml:space="preserve">: Spark's core RDD abstraction is designed to be explicitly *cacheable* in distributed in-memory storage across the cluster, and its DAG execution engine allows an *entire chain* of Transformations (potentially spanning what would otherwise have been many separate MapReduce jobs) to be expressed and optimized as a single logical pipeline before any execution actually occurs (lazy evaluation). For genuinely iterative workloads, an RDD holding the current iteration's state can simply be cached in memory (via Spark's caching mechanism, visible in the Executor's 'Cache' slot in the cluster architecture diagram) and reused directly as input to the next iteration's Transformations, entirely avoiding the repeated disk round-trip that plain MapReduce would require — this is precisely the 'Limitations and Extensions to MapReduce: In-Memory Processing' improvement explicitly diagrammed in the lecture, and is the single most important architectural reason Spark superseded plain Hadoop/MapReduce for iterative machine-learning and graph-processing workloads (both explicitly supported via Spark's own MLlib and GraphX libraries).</w:t>
      </w:r>
    </w:p>
    <w:p>
      <w:pPr>
        <w:shd w:fill="DCE6F1" w:color="auto" w:val="clear"/>
        <w:spacing w:after="100" w:before="200"/>
      </w:pPr>
      <w:r>
        <w:rPr>
          <w:b/>
          <w:bCs/>
          <w:color w:val="1F3864"/>
          <w:sz w:val="22"/>
          <w:szCs w:val="22"/>
        </w:rPr>
        <w:t xml:space="preserve">Q2. Define an RDD and explain the distinction between a Transformation and an Action, using the lecture's log-filtering example.</w:t>
      </w:r>
    </w:p>
    <w:p>
      <w:pPr>
        <w:spacing w:after="140"/>
        <w:jc w:val="both"/>
      </w:pPr>
      <w:r>
        <w:t xml:space="preserve">A </w:t>
      </w:r>
      <w:r>
        <w:rPr>
          <w:b/>
          <w:bCs/>
        </w:rPr>
        <w:t xml:space="preserve">Resilient Distributed Dataset (RDD)</w:t>
      </w:r>
      <w:r>
        <w:t xml:space="preserve"> is Spark's fundamental data abstraction: a collection of records that is *distributed* (physically partitioned and spread across the memory/disk of multiple worker nodes in the cluster) and *resilient* (fault-tolerant) — resilience is achieved not by storing redundant physical copies (as HDFS does for its blocks) but via a </w:t>
      </w:r>
      <w:r>
        <w:rPr>
          <w:b/>
          <w:bCs/>
        </w:rPr>
        <w:t xml:space="preserve">lineage graph</w:t>
      </w:r>
      <w:r>
        <w:t xml:space="preserve">: Spark records the sequence of Transformations that produced each RDD from its original source data, so that if a partition is lost (e.g., due to a node failure), Spark can automatically *recompute* just that lost partition by re-applying the recorded lineage of transformations, rather than requiring the entire dataset to be reprocessed or a physical replica to already exist.</w:t>
      </w:r>
    </w:p>
    <w:p>
      <w:pPr>
        <w:spacing w:after="140"/>
        <w:jc w:val="both"/>
      </w:pPr>
      <w:r>
        <w:rPr>
          <w:b/>
          <w:bCs/>
        </w:rPr>
        <w:t xml:space="preserve">Transformations</w:t>
      </w:r>
      <w:r>
        <w:t xml:space="preserve"> are *lazy* operations: calling a transformation (e.g. `.filter(...)`, `.map(...)`) does not trigger any actual computation immediately — it merely returns a *new* RDD object that records, in the lineage graph, that this new RDD is defined as 'the result of applying this specific filter/map operation to that specific parent RDD'. </w:t>
      </w:r>
      <w:r>
        <w:rPr>
          <w:b/>
          <w:bCs/>
        </w:rPr>
        <w:t xml:space="preserve">Actions</w:t>
      </w:r>
      <w:r>
        <w:t xml:space="preserve"> are the operations that actually *trigger* computation and *return a concrete value* to the driver program (e.g. `.collect()`, `.count()`) — only when an Action is invoked does Spark actually walk the accumulated DAG of pending Transformations, optimize it as a whole, and execute the resulting physical execution plan across the cluster.</w:t>
      </w:r>
    </w:p>
    <w:p>
      <w:pPr>
        <w:spacing w:after="140"/>
        <w:jc w:val="both"/>
      </w:pPr>
      <w:r>
        <w:rPr>
          <w:b/>
          <w:bCs/>
        </w:rPr>
        <w:t xml:space="preserve">Worked example from the lecture</w:t>
      </w:r>
      <w:r>
        <w:t xml:space="preserve">: `lines = spark.textFile('hdfs://...')` creates the initial RDD (reading from HDFS). `errors = lines.filter(_.startsWith('ERROR'))` is a Transformation — at this point, *nothing* has actually been read or filtered yet; Spark has merely recorded that `errors` is lazily defined as 'lines, filtered by the ERROR-prefix predicate'. Only the final call `errors.filter(_.contains('HDFS')).map(_.split('\t')(3)).collect()` — where `.collect()` is the terminal Action — actually causes Spark to execute the entire chain (read lines from HDFS → filter for 'ERROR' → filter for 'HDFS' → split and extract field 3 → collect results back to the driver) as one optimized DAG-based execution pass, illustrating exactly why Spark can avoid unnecessary intermediate disk writes between each of these chained steps, unlike a naive sequence of separate MapReduce jobs.</w:t>
      </w:r>
    </w:p>
    <w:p>
      <w:pPr>
        <w:shd w:fill="DCE6F1" w:color="auto" w:val="clear"/>
        <w:spacing w:after="100" w:before="200"/>
      </w:pPr>
      <w:r>
        <w:rPr>
          <w:b/>
          <w:bCs/>
          <w:color w:val="1F3864"/>
          <w:sz w:val="22"/>
          <w:szCs w:val="22"/>
        </w:rPr>
        <w:t xml:space="preserve">Q3. Compare Spark Streaming's micro-batch model with Apache Flink's native streaming model, and state the empirically observed performance difference reported in the lecture's cited benchmark.</w:t>
      </w:r>
    </w:p>
    <w:p>
      <w:pPr>
        <w:spacing w:after="140"/>
        <w:jc w:val="both"/>
      </w:pPr>
      <w:r>
        <w:rPr>
          <w:b/>
          <w:bCs/>
        </w:rPr>
        <w:t xml:space="preserve">Spark Streaming (micro-batch)</w:t>
      </w:r>
      <w:r>
        <w:t xml:space="preserve">: rather than processing each incoming event individually as it arrives, Spark Streaming groups the continuous input stream into small, discrete time-bounded chunks ('mini-batches', e.g., every few hundred milliseconds or seconds), and then processes each mini-batch using Spark's ordinary *batch*-processing engine and API — i.e., streaming is effectively implemented by repeatedly running many small batch jobs in rapid succession, with window-based semantics layered on top. The lecture explicitly characterizes this as: 'Input is split into so-called mini-batches, but streaming is mapped onto processes' (i.e., onto the underlying batch-processing abstraction).</w:t>
      </w:r>
    </w:p>
    <w:p>
      <w:pPr>
        <w:spacing w:after="140"/>
        <w:jc w:val="both"/>
      </w:pPr>
      <w:r>
        <w:rPr>
          <w:b/>
          <w:bCs/>
        </w:rPr>
        <w:t xml:space="preserve">Apache Flink (true streaming)</w:t>
      </w:r>
      <w:r>
        <w:t xml:space="preserve">: instead provides a direct API that processes each individual event as it arrives in genuinely continuous fashion, without imposing an artificial discretization into batches — the lecture describes this as 'direct API to access events in real streaming attempt', additionally offering adjustable latency/throughput trade-offs, flexible windowing semantics, and exactly-once processing guarantees even while maintaining small internal state.</w:t>
      </w:r>
    </w:p>
    <w:p>
      <w:pPr>
        <w:spacing w:after="140"/>
        <w:jc w:val="both"/>
      </w:pPr>
      <w:r>
        <w:rPr>
          <w:b/>
          <w:bCs/>
        </w:rPr>
        <w:t xml:space="preserve">Empirical benchmark result (Karimov, Rabl, Katsifodimos, Samarev, Heiskanen &amp; Markl, ICDE 2018, 'Benchmarking Distributed Stream Data Processing Systems')</w:t>
      </w:r>
      <w:r>
        <w:t xml:space="preserve">: comparing Storm, Spark, and Flink implementations of a windowed-aggregation workload across varying data-stream sizes, the lecture reports that both Spark and Flink show good throughput scaling as data-stream size increases (up to their respective maximum sustainable throughput and again at a fixed 90% throughput level), but Spark consistently exhibits a 'slight offset' — i.e., somewhat higher latency — relative to Flink at comparable throughput levels, attributed directly to Spark's micro-batching architecture introducing an inherent latency floor that Flink's true event-at-a-time processing model avoids. The lecture is careful to add an explicit disclaimer that concentrating on Spark/Flink specifically does not imply either framework is universally 'best', given the many competing frameworks and specialized approaches available in the ecosystem.</w:t>
      </w:r>
    </w:p>
    <w:p>
      <w:pPr>
        <w:shd w:fill="DCE6F1" w:color="auto" w:val="clear"/>
        <w:spacing w:after="100" w:before="200"/>
      </w:pPr>
      <w:r>
        <w:rPr>
          <w:b/>
          <w:bCs/>
          <w:color w:val="1F3864"/>
          <w:sz w:val="22"/>
          <w:szCs w:val="22"/>
        </w:rPr>
        <w:t xml:space="preserve">Q4. Explain the motivation behind 'HPC and Big Data convergence' research, and describe one concrete scheduling-level approach mentioned in the lecture.</w:t>
      </w:r>
    </w:p>
    <w:p>
      <w:pPr>
        <w:spacing w:after="140"/>
        <w:jc w:val="both"/>
      </w:pPr>
      <w:r>
        <w:t xml:space="preserve">The lecture frames HPC and Big-Data infrastructure as having historically diverged along several dimensions: HPC traditionally requires fine-grained resource control (specific cores, accelerators, memory, wall-clock time) for tightly-coupled, communication-intensive, typically capacity-scale simulation jobs, scheduled by dedicated batch schedulers like Slurm or Grid Engine, and traditionally programmed in C/C++/Fortran; Big-Data infrastructure, by contrast, historically ran more service-oriented, loosely-coupled, often much smaller/shorter and more numerous jobs (originally scheduled by Hadoop's integrated Job Tracker/Task Tracker mechanism), traditionally programmed in Java/Scala/Python.</w:t>
      </w:r>
    </w:p>
    <w:p>
      <w:pPr>
        <w:spacing w:after="140"/>
        <w:jc w:val="both"/>
      </w:pPr>
      <w:r>
        <w:t xml:space="preserve">The motivation for convergence is that modern HPC systems are increasingly faced with genuinely diverse, mixed workload types simultaneously — the lecture explicitly lists HPDA (High Performance Data Analytics) services, traditional capacity-supercomputing simulation jobs, interactive prototyping sessions, and complex multi-step 'job chains' with workflow dependencies between steps — meaning a single, rigid scheduling paradigm designed only for one workload type (either pure HPC or pure Big-Data) is no longer sufficient for the actual mix of demands placed on shared infrastructure, and running two entirely separate, non-interoperable infrastructures side-by-side is inefficient (e.g., large HPC systems periodically need to free up substantial fractions of the whole system for a single very large parallel job, temporarily creating idle 'holes' elsewhere in the cluster).</w:t>
      </w:r>
    </w:p>
    <w:p>
      <w:pPr>
        <w:spacing w:after="140"/>
        <w:jc w:val="both"/>
      </w:pPr>
      <w:r>
        <w:rPr>
          <w:b/>
          <w:bCs/>
        </w:rPr>
        <w:t xml:space="preserve">Concrete scheduling-level approach</w:t>
      </w:r>
      <w:r>
        <w:t xml:space="preserve">: the lecture cites </w:t>
      </w:r>
      <w:r>
        <w:rPr>
          <w:b/>
          <w:bCs/>
        </w:rPr>
        <w:t xml:space="preserve">Apache Mesos</w:t>
      </w:r>
      <w:r>
        <w:t xml:space="preserve"> as an example of an abstract scheduler designed specifically to sit above heterogeneous underlying frameworks and abstract resource allocation in a way flexible enough to support both classic Big-Data service-oriented frameworks *and* more HPC-style workloads, rather than treating Big-Data frameworks as fundamentally incompatible with (and requiring entirely separate infrastructure from) traditional HPC scheduling. A second concrete, closely related research direction cited is opportunistically </w:t>
      </w:r>
      <w:r>
        <w:rPr>
          <w:b/>
          <w:bCs/>
        </w:rPr>
        <w:t xml:space="preserve">filling otherwise-idle HPC resource 'holes'</w:t>
      </w:r>
      <w:r>
        <w:t xml:space="preserve"> (freed temporarily around large, highly-parallel jobs that require freeing up large parts of the system beforehand) with smaller, non-time-critical Big-Data analytics jobs (Mercier, Glesser, Georgiou &amp; Richard, IEEE BigData 2017), directly exploiting a scheduling inefficiency inherent to pure-HPC-only operation by importing Big-Data-style flexible, smaller-grained job scheduling into the same shared infrastructure.</w:t>
      </w:r>
    </w:p>
    <w:p>
      <w:r>
        <w:br w:type="page"/>
      </w:r>
    </w:p>
    <w:p>
      <w:pPr>
        <w:spacing w:after="40"/>
      </w:pPr>
      <w:r>
        <w:rPr>
          <w:b/>
          <w:bCs/>
          <w:color w:val="2E74B5"/>
          <w:sz w:val="22"/>
          <w:szCs w:val="22"/>
        </w:rPr>
        <w:t xml:space="preserve">LECTURE 12</w:t>
      </w:r>
    </w:p>
    <w:p>
      <w:pPr>
        <w:pStyle w:val="Heading1"/>
        <w:spacing w:after="120" w:before="240"/>
      </w:pPr>
      <w:r>
        <w:t xml:space="preserve">Consequences — Synthesis, Ethics, and Open Questions</w:t>
      </w:r>
    </w:p>
    <w:p>
      <w:pPr>
        <w:pStyle w:val="Heading2"/>
        <w:spacing w:after="120" w:before="240"/>
      </w:pPr>
      <w:r>
        <w:t xml:space="preserve">1. Overview</w:t>
      </w:r>
    </w:p>
    <w:p>
      <w:pPr>
        <w:spacing w:after="140"/>
        <w:jc w:val="both"/>
      </w:pPr>
      <w:r>
        <w:t xml:space="preserve">The closing lecture (Prof. Wolfgang E. Nagel) revisits the entire course's arc through the lens of consequences: from 19th-century manual cholera statistics to today's foundation-model chatbots, and asks what this trajectory means for how humans think, decide, and are governed.</w:t>
      </w:r>
    </w:p>
    <w:p>
      <w:pPr>
        <w:spacing w:after="140"/>
        <w:jc w:val="both"/>
      </w:pPr>
      <w:r>
        <w:t xml:space="preserve">It re-derives the 5 V's of Big Data with concrete magnitude data (data volume growth projections, 'Data Never Sleeps' velocity infographic), reiterates the HPC-hardware historical arc (transistor count → clock-rate/IPC plateau → multicore/SIMD/GPU parallelism → exascale supercomputers with tens-of-megawatt power budgets), and explicitly frames Data Analytics as 'Statistics + Machine Learning', combined with the necessary hardware (HPC/distributed computing) to operate at Big-Data scale.</w:t>
      </w:r>
    </w:p>
    <w:p>
      <w:pPr>
        <w:spacing w:after="140"/>
        <w:jc w:val="both"/>
      </w:pPr>
      <w:r>
        <w:t xml:space="preserve">It closes, deliberately unresolved, with the same category of open ethical/societal questions raised in Lecture 1 — now revisited with the full technical vocabulary of the course available to reason about them: bias, responsibility, resource cost, and the changing nature of human decision-making in an increasingly data/AI-mediated world.</w:t>
      </w:r>
    </w:p>
    <w:p>
      <w:pPr>
        <w:pStyle w:val="Heading2"/>
        <w:spacing w:after="120" w:before="240"/>
      </w:pPr>
      <w:r>
        <w:t xml:space="preserve">2. Key Concepts &amp; Definitions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80"/>
              <w:left w:type="dxa" w:w="120"/>
              <w:bottom w:type="dxa" w:w="80"/>
              <w:right w:type="dxa" w:w="120"/>
            </w:tcMar>
            <w:vAlign w:val="center"/>
          </w:tcPr>
          <w:p>
            <w:r>
              <w:rPr>
                <w:b/>
                <w:bCs/>
                <w:color w:val="FFFFFF"/>
                <w:sz w:val="20"/>
                <w:szCs w:val="20"/>
              </w:rPr>
              <w:t xml:space="preserve">Term / Concept</w:t>
            </w:r>
          </w:p>
        </w:tc>
        <w:tc>
          <w:tcPr>
            <w:tcW w:type="dxa" w:w="7000"/>
            <w:shd w:fill="1F3864" w:color="auto" w:val="clear"/>
            <w:tcMar>
              <w:top w:type="dxa" w:w="80"/>
              <w:left w:type="dxa" w:w="120"/>
              <w:bottom w:type="dxa" w:w="80"/>
              <w:right w:type="dxa" w:w="120"/>
            </w:tcMar>
            <w:vAlign w:val="center"/>
          </w:tcPr>
          <w:p>
            <w:r>
              <w:rPr>
                <w:b/>
                <w:bCs/>
                <w:color w:val="FFFFFF"/>
                <w:sz w:val="20"/>
                <w:szCs w:val="20"/>
              </w:rPr>
              <w:t xml:space="preserve">Definition / Explanation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Course Synthesis: Data Analytics = Statistics + ML</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The course's own explicit closing definition: 'Data Analytics comprises Statistics and Machine Learning to analyze large amounts of data' — Statistics being centuries-old and domain-independent, Machine Learning being the automated-pattern-detection layer built atop it, both scaled to Big-Data volumes only by appropriate hardware/distributed-computing architectures.</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Two Fundamental Data-Analytics Goals (recap)</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Predict future events based on known data (e.g. weather forecast, image recognition, speech understanding) — challenge: needing enough 'known' (labeled/training) data. OR Detect unknown structures/relations in data (e.g. marketing/sensor pattern discovery) — challenge: no ground truth exists to validate whether detected structure is meaningful ('semantics of detected structures are unknown').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Hardware Evolution Recap</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Moore's Law (exponential transistor growth) continued, but clock frequency/IPC improvements plateaued (~mid-2000s, the 'power wall'), redirecting increased transistor budgets into more cores and wider SIMD; today's landscape spans mobile SoCs (2–8 cores) through servers (12–128+ cores) to HPC clusters/supercomputers (100,000+ cores, e.g. El Capitan: 11,039,616 cores, 1.742 ExaFLOPS, ~29.6 MW).</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HPC vs. Big-Data Paradigm Mismatch (recap)</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Data-driven/Big-Data applications historically map poorly onto classical HPC architectures (architecture mismatch, differing data sources/storage patterns, analytics algorithms that don't natively parallelize the HPC way, and additional legal/data-governance constraints on storing third-party data) — motivating the continued, still-active convergence research introduced in Lecture 11.</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Open Ethical/Societal Questions (revisited)</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Facts vs. Bias (can data-driven conclusions be trusted as objective 'facts', or do they encode hidden biases?); 'How are we going to think?' (epistemic shift as human reasoning is increasingly supplemented/replaced by statistical/ML decision support); Which tasks can/should be delegated to automated support?; Ethical issues and Responsibility (who is accountable for automated-decision errors?); Resource constraints (energy/hardware cost of ever-larger models).</w:t>
            </w:r>
          </w:p>
        </w:tc>
      </w:tr>
    </w:tbl>
    <w:p>
      <w:pPr>
        <w:spacing w:after="160"/>
      </w:pPr>
    </w:p>
    <w:p>
      <w:pPr>
        <w:pStyle w:val="Heading2"/>
        <w:spacing w:after="120" w:before="240"/>
      </w:pPr>
      <w:r>
        <w:t xml:space="preserve">3. Diagrams &amp; Visual Flowcharts</w:t>
      </w:r>
    </w:p>
    <w:p>
      <w:pPr>
        <w:spacing w:after="120" w:before="200"/>
      </w:pPr>
      <w:r>
        <w:rPr>
          <w:b/>
          <w:bCs/>
          <w:i/>
          <w:iCs/>
          <w:color w:val="1F3864"/>
          <w:sz w:val="22"/>
          <w:szCs w:val="22"/>
        </w:rPr>
        <w:t xml:space="preserve">Figure 12.1 — Full Course Arc (Lecture 1 → Lecture 12)</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L1 Introduction (5 V's, HPC vs Big Data)</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L2 Preprocessing (Clean→Integrate→Transform→Reduce→Extract)</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3</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L3 RDM (FAIR, Metadata, Lifecycle)</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4</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L4-6 Machine Learning (Unsupervised→Supervised→Regression)</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5</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L7 Statistics (Descriptive + Base-Rate Fallacy)</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6</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L8-9 Deep Learning (MLP/Backprop→CNN/RNN/Transformer)</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7</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L10-11 Distributed Computing (MapReduce/HDFS→Spark/Flink)</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8</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L12 Consequences (Synthesis + Open Ethical Questions)</w:t>
            </w:r>
          </w:p>
        </w:tc>
      </w:tr>
    </w:tbl>
    <w:p>
      <w:pPr>
        <w:spacing w:after="200" w:before="100"/>
      </w:pPr>
      <w:r>
        <w:rPr>
          <w:i/>
          <w:iCs/>
          <w:color w:val="555555"/>
          <w:sz w:val="19"/>
          <w:szCs w:val="19"/>
        </w:rPr>
        <w:t xml:space="preserve">↳ The course is explicitly cyclical/recursive: L12 re-asks L1's open questions, now answerable (in part) using the full technical toolkit built across L2–L11.</w:t>
      </w:r>
    </w:p>
    <w:p>
      <w:pPr>
        <w:spacing w:after="120" w:before="200"/>
      </w:pPr>
      <w:r>
        <w:rPr>
          <w:b/>
          <w:bCs/>
          <w:i/>
          <w:iCs/>
          <w:color w:val="1F3864"/>
          <w:sz w:val="22"/>
          <w:szCs w:val="22"/>
        </w:rPr>
        <w:t xml:space="preserve">Figure 12.2 — Two Fundamental Data-Analytics Goals &amp; their Core Challenge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8600"/>
      </w:tblGrid>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1</w:t>
            </w:r>
          </w:p>
        </w:tc>
        <w:tc>
          <w:tcPr>
            <w:tcW w:type="dxa" w:w="8600"/>
            <w:shd w:fill="FFFFFF" w:color="auto" w:val="clear"/>
            <w:tcMar>
              <w:top w:type="dxa" w:w="80"/>
              <w:left w:type="dxa" w:w="120"/>
              <w:bottom w:type="dxa" w:w="80"/>
              <w:right w:type="dxa" w:w="120"/>
            </w:tcMar>
            <w:vAlign w:val="center"/>
          </w:tcPr>
          <w:p>
            <w:r>
              <w:rPr>
                <w:b w:val="false"/>
                <w:bCs w:val="false"/>
                <w:sz w:val="20"/>
                <w:szCs w:val="20"/>
              </w:rPr>
              <w:t xml:space="preserve">GOAL: Predict future events  →  CHALLENGE: need enough 'known' (labeled) data</w:t>
            </w:r>
          </w:p>
        </w:tc>
      </w:tr>
      <w:tr>
        <w:tc>
          <w:tcPr>
            <w:tcW w:type="dxa" w:w="500"/>
            <w:shd w:fill="1F3864" w:color="auto" w:val="clear"/>
            <w:tcMar>
              <w:top w:type="dxa" w:w="80"/>
              <w:left w:type="dxa" w:w="120"/>
              <w:bottom w:type="dxa" w:w="80"/>
              <w:right w:type="dxa" w:w="120"/>
            </w:tcMar>
            <w:vAlign w:val="center"/>
          </w:tcPr>
          <w:p>
            <w:r>
              <w:rPr>
                <w:b/>
                <w:bCs/>
                <w:color w:val="FFFFFF"/>
                <w:sz w:val="20"/>
                <w:szCs w:val="20"/>
              </w:rPr>
              <w:t xml:space="preserve">2</w:t>
            </w:r>
          </w:p>
        </w:tc>
        <w:tc>
          <w:tcPr>
            <w:tcW w:type="dxa" w:w="8600"/>
            <w:shd w:fill="DCE6F1" w:color="auto" w:val="clear"/>
            <w:tcMar>
              <w:top w:type="dxa" w:w="80"/>
              <w:left w:type="dxa" w:w="120"/>
              <w:bottom w:type="dxa" w:w="80"/>
              <w:right w:type="dxa" w:w="120"/>
            </w:tcMar>
            <w:vAlign w:val="center"/>
          </w:tcPr>
          <w:p>
            <w:r>
              <w:rPr>
                <w:b w:val="false"/>
                <w:bCs w:val="false"/>
                <w:sz w:val="20"/>
                <w:szCs w:val="20"/>
              </w:rPr>
              <w:t xml:space="preserve">GOAL: Detect unknown structure  →  CHALLENGE: no ground truth exists to validate it</w:t>
            </w:r>
          </w:p>
        </w:tc>
      </w:tr>
    </w:tbl>
    <w:p>
      <w:pPr>
        <w:spacing w:after="200" w:before="100"/>
      </w:pPr>
      <w:r>
        <w:rPr>
          <w:i/>
          <w:iCs/>
          <w:color w:val="555555"/>
          <w:sz w:val="19"/>
          <w:szCs w:val="19"/>
        </w:rPr>
        <w:t xml:space="preserve">↳ Nearly every method taught across L4–L9 (Decision Trees, Naïve Bayes, Regression = 'predict'; Clustering, PCA/t-SNE/Autoencoder = 'detect structure') falls cleanly into exactly one of these two goal categories, each with its own characteristic challenge.</w:t>
      </w:r>
    </w:p>
    <w:p>
      <w:pPr>
        <w:pStyle w:val="Heading2"/>
        <w:spacing w:after="120" w:before="240"/>
      </w:pPr>
      <w:r>
        <w:t xml:space="preserve">5. Exam-Style Questions &amp; Detailed Answers</w:t>
      </w:r>
    </w:p>
    <w:p>
      <w:pPr>
        <w:shd w:fill="DCE6F1" w:color="auto" w:val="clear"/>
        <w:spacing w:after="100" w:before="200"/>
      </w:pPr>
      <w:r>
        <w:rPr>
          <w:b/>
          <w:bCs/>
          <w:color w:val="1F3864"/>
          <w:sz w:val="22"/>
          <w:szCs w:val="22"/>
        </w:rPr>
        <w:t xml:space="preserve">Q1. Synthesize the course's own final definition: 'Data Analytics comprises Statistics and Machine Learning to analyze large amounts of data.' Explain the distinct contribution of each component and why hardware/distributed computing is a necessary third pillar even though it is not named in this definition.</w:t>
      </w:r>
    </w:p>
    <w:p>
      <w:pPr>
        <w:spacing w:after="140"/>
        <w:jc w:val="both"/>
      </w:pPr>
      <w:r>
        <w:rPr>
          <w:b/>
          <w:bCs/>
        </w:rPr>
        <w:t xml:space="preserve">Statistics's contribution</w:t>
      </w:r>
      <w:r>
        <w:t xml:space="preserve">: provides the centuries-old, mathematically rigorous foundation for describing data (Descriptive Statistics: location/dispersion measures, visualization), for quantifying uncertainty and avoiding reasoning fallacies (Inferential Statistics: hypothesis testing, the base-rate fallacy, chance-finding/multiple-comparisons awareness), and for formal dependency/association measures (correlation, regression) applicable regardless of dataset size — Statistics is, in the course's own words, 'well known since centuries' and 'an independent research field' that long predates modern computing.</w:t>
      </w:r>
    </w:p>
    <w:p>
      <w:pPr>
        <w:spacing w:after="140"/>
        <w:jc w:val="both"/>
      </w:pPr>
      <w:r>
        <w:rPr>
          <w:b/>
          <w:bCs/>
        </w:rPr>
        <w:t xml:space="preserve">Machine Learning's contribution</w:t>
      </w:r>
      <w:r>
        <w:t xml:space="preserve">: builds directly atop statistical foundations but specifically targets *automation* — 'a set of methods that can automatically detect patterns in data, and then use the uncovered patterns to predict future data, or to perform other kinds of decision making under uncertainty' (Murphy, cited in the course) — i.e., ML supplies the *algorithms* (Decision Trees, Naïve Bayes, Regression, Clustering, Deep Neural Networks) that scale pattern-detection to complexity/dimensionality/volume levels well beyond what manual statistical analysis alone could feasibly handle, at the cost of requiring larger amounts of (often labeled) training data and more careful evaluation methodology (train/validation/test discipline) to guard against overfitting.</w:t>
      </w:r>
    </w:p>
    <w:p>
      <w:pPr>
        <w:spacing w:after="140"/>
        <w:jc w:val="both"/>
      </w:pPr>
      <w:r>
        <w:rPr>
          <w:b/>
          <w:bCs/>
        </w:rPr>
        <w:t xml:space="preserve">Why hardware/distributed computing is a necessary (if implicit) third pillar</w:t>
      </w:r>
      <w:r>
        <w:t xml:space="preserve">: the course's own Lecture 1 and Lecture 12 both explicitly state that 'Processing and analyzing large amounts of data [is] only possible due to hardware evolution ... and new concepts concerning architecture, high performance computing, and processing' — i.e., neither classical Statistics nor modern Machine Learning algorithms are, by themselves, sufficient to actually *execute* at true Big-Data scale (billions of records, exabyte volumes, millisecond-latency streams) without the distributed/parallel computing architectures (MapReduce/HDFS, Spark/Flink, GPU-accelerated deep learning, HPC clusters) developed across Lectures 8–11. The 'Statistics + Machine Learning' definition therefore implicitly presupposes an adequate computational substrate; the course's structural choice to devote four full lectures (8–11) to Deep Learning and Distributed Computing — rather than treating them as a mere footnote — reflects the instructors' own view that hardware/architecture is not a peripheral implementation detail but a co-equal enabling pillar of modern Data Analytics, exactly mirroring the course's very first slide's own framing: 'digitization data analytics' bridged by 'Information, Decision support, Suggest conclusions', achievable only once the necessary hardware questions ('what are the requirements concerning hardware — architecture, storage, processing power?') are also answered.</w:t>
      </w:r>
    </w:p>
    <w:p>
      <w:pPr>
        <w:shd w:fill="DCE6F1" w:color="auto" w:val="clear"/>
        <w:spacing w:after="100" w:before="200"/>
      </w:pPr>
      <w:r>
        <w:rPr>
          <w:b/>
          <w:bCs/>
          <w:color w:val="1F3864"/>
          <w:sz w:val="22"/>
          <w:szCs w:val="22"/>
        </w:rPr>
        <w:t xml:space="preserve">Q2. The course distinguishes two fundamental Data-Analytics goals: 'predict future events' and 'detect unknown structures'. Classify each of the following methods taught in the course under the correct goal, and justify: (a) k-means clustering, (b) Naïve Bayes, (c) PCA, (d) Logistic Regression, (e) Autoencoder.</w:t>
      </w:r>
    </w:p>
    <w:p>
      <w:pPr>
        <w:spacing w:after="140"/>
        <w:jc w:val="both"/>
      </w:pPr>
      <w:r>
        <w:rPr>
          <w:b/>
          <w:bCs/>
        </w:rPr>
        <w:t xml:space="preserve">(a) k-means clustering → Detect unknown structures.</w:t>
      </w:r>
      <w:r>
        <w:t xml:space="preserve"> k-means takes unlabeled data and partitions it into groups based purely on similarity/distance, with no notion of a 'correct' target output to predict — its entire purpose is descriptive/exploratory: to reveal a grouping structure that may (or may not) correspond to any meaningful real-world category, and — as the course explicitly notes for this goal category — there is generally no ground truth available to confirm the discovered clusters' semantic validity (unless external labels happen to exist for post-hoc validation only, as with the Iris species labels).</w:t>
      </w:r>
    </w:p>
    <w:p>
      <w:pPr>
        <w:spacing w:after="140"/>
        <w:jc w:val="both"/>
      </w:pPr>
      <w:r>
        <w:rPr>
          <w:b/>
          <w:bCs/>
        </w:rPr>
        <w:t xml:space="preserve">(b) Naïve Bayes → Predict future events.</w:t>
      </w:r>
      <w:r>
        <w:t xml:space="preserve"> Naïve Bayes is a supervised classification algorithm trained on labeled data (X,y) with the explicit goal of predicting the class label y for a new, previously unseen input X — a direct instance of the course's 'predict future events ... classification of unknown data' goal category, whose core challenge (per the course) is needing 'enough known data' (i.e., a sufficiently large, representative, and correctly-labeled training set with non-zero counts per class/attribute combination, motivating the Laplacian correction).</w:t>
      </w:r>
    </w:p>
    <w:p>
      <w:pPr>
        <w:spacing w:after="140"/>
        <w:jc w:val="both"/>
      </w:pPr>
      <w:r>
        <w:rPr>
          <w:b/>
          <w:bCs/>
        </w:rPr>
        <w:t xml:space="preserve">(c) PCA → Detect unknown structures</w:t>
      </w:r>
      <w:r>
        <w:t xml:space="preserve"> (specifically, structure in the sense of dependency/redundancy among variables, rather than in the sense of groupings). PCA operates on unlabeled data and its only goal is to reveal the directions of maximal variance/the underlying linear correlation structure among the original variables — it makes no prediction of any target variable whatsoever, and, like clustering, has no inherent way of confirming that the 'important' directions it identifies are semantically meaningful without external validation (e.g., checking that the discovered principal components correlate sensibly with known real-world factors).</w:t>
      </w:r>
    </w:p>
    <w:p>
      <w:pPr>
        <w:spacing w:after="140"/>
        <w:jc w:val="both"/>
      </w:pPr>
      <w:r>
        <w:rPr>
          <w:b/>
          <w:bCs/>
        </w:rPr>
        <w:t xml:space="preserve">(d) Logistic Regression → Predict future events.</w:t>
      </w:r>
      <w:r>
        <w:t xml:space="preserve"> Despite superficially resembling a 'regression' rather than a 'classification' method by name, logistic regression is explicitly a *supervised classification* technique (predicting P(Y=1|x) for a labeled binary outcome Y), sharing the same predictive goal category, training-data requirement, and evaluation methodology (train/test split, p-values for coefficient significance) as Naïve Bayes and Decision Trees.</w:t>
      </w:r>
    </w:p>
    <w:p>
      <w:pPr>
        <w:spacing w:after="140"/>
        <w:jc w:val="both"/>
      </w:pPr>
      <w:r>
        <w:rPr>
          <w:b/>
          <w:bCs/>
        </w:rPr>
        <w:t xml:space="preserve">(e) Autoencoder → Detect unknown structures</w:t>
      </w:r>
      <w:r>
        <w:t xml:space="preserve">, specifically dimensionality/redundancy structure, similarly to PCA but capturing nonlinear rather than only linear dependency structure — an Autoencoder is trained without any external label at all (it is trained purely to reconstruct its own input), so its entire objective is unsupervised structure discovery (a compressed 'bottleneck' representation revealing the essential, non-redundant information content of the data) rather than prediction of any externally-provided target variable.</w:t>
      </w:r>
    </w:p>
    <w:p>
      <w:pPr>
        <w:spacing w:after="140"/>
        <w:jc w:val="both"/>
      </w:pPr>
      <w:r>
        <w:t xml:space="preserve">This classification exercise directly demonstrates the course's own final organizing insight: nearly every technique taught across Lectures 4–9, despite superficial algorithmic diversity, reduces to exactly one of these two fundamental goals, each carrying its own characteristic evaluation challenge (needing enough labeled data vs. lacking any ground truth for validation).</w:t>
      </w:r>
    </w:p>
    <w:p>
      <w:pPr>
        <w:shd w:fill="DCE6F1" w:color="auto" w:val="clear"/>
        <w:spacing w:after="100" w:before="200"/>
      </w:pPr>
      <w:r>
        <w:rPr>
          <w:b/>
          <w:bCs/>
          <w:color w:val="1F3864"/>
          <w:sz w:val="22"/>
          <w:szCs w:val="22"/>
        </w:rPr>
        <w:t xml:space="preserve">Q3. Revisit the four open ethical/societal questions from Lecture 1 (Facts/Bias, Responsibility, Resource cost, 'How are we going to think?') and, for each, explain how a SPECIFIC technical concept taught later in the course gives concrete substance to that previously abstract question.</w:t>
      </w:r>
    </w:p>
    <w:p>
      <w:pPr>
        <w:spacing w:after="140"/>
        <w:jc w:val="both"/>
      </w:pPr>
      <w:r>
        <w:rPr>
          <w:b/>
          <w:bCs/>
        </w:rPr>
        <w:t xml:space="preserve">Facts vs. Bias</w:t>
      </w:r>
      <w:r>
        <w:t xml:space="preserve">: Lecture 1 asks abstractly whether data-driven conclusions represent objective 'Facts' or hidden 'Bias'. Lecture 7 (Statistics) gives this concrete technical substance via the </w:t>
      </w:r>
      <w:r>
        <w:rPr>
          <w:b/>
          <w:bCs/>
        </w:rPr>
        <w:t xml:space="preserve">base-rate fallacy</w:t>
      </w:r>
      <w:r>
        <w:t xml:space="preserve">: even a technically 'accurate' classifier/test (high sensitivity/specificity) can produce systematically misleading real-world conclusions (e.g., only ~20–63% of positive test results in the face-recognition/COVID-19 examples actually being true positives) purely as a function of the underlying population's prevalence — demonstrating concretely how an apparently objective, technically correct statistical procedure can still generate a highly misleading practical 'fact' if its base-rate context is ignored, giving quantitative teeth to what was initially only a vague worry about 'bias'.</w:t>
      </w:r>
    </w:p>
    <w:p>
      <w:pPr>
        <w:spacing w:after="140"/>
        <w:jc w:val="both"/>
      </w:pPr>
      <w:r>
        <w:rPr>
          <w:b/>
          <w:bCs/>
        </w:rPr>
        <w:t xml:space="preserve">Responsibility</w:t>
      </w:r>
      <w:r>
        <w:t xml:space="preserve">: Lecture 1 abstractly asks who is accountable when an automated decision is wrong. Lecture 5 (Model Evaluation) supplies the concrete technical vocabulary needed to even *precisely define* what 'wrong' means and how often it occurs — False Positives vs. False Negatives, Precision vs. Recall, and their very different real-world costs (e.g., a missed cancer diagnosis, a False Negative, is typically far more costly than a false alarm, a False Positive) — meaning that any serious discussion of algorithmic 'responsibility' must first be grounded in a specific, quantified confusion-matrix-based understanding of *which kind* of error the system in question is prone to and at what rate, rather than treating 'the AI was wrong' as a single undifferentiated failure mode.</w:t>
      </w:r>
    </w:p>
    <w:p>
      <w:pPr>
        <w:spacing w:after="140"/>
        <w:jc w:val="both"/>
      </w:pPr>
      <w:r>
        <w:rPr>
          <w:b/>
          <w:bCs/>
        </w:rPr>
        <w:t xml:space="preserve">Resource cost</w:t>
      </w:r>
      <w:r>
        <w:t xml:space="preserve">: Lecture 1's abstract worry about the environmental/economic cost of ever-larger data-driven systems is given concrete numeric substance by Lecture 12's own HPC hardware figures — e.g., the El Capitan supercomputer's ~29.6 MW power draw for 1.742 ExaFLOPS of peak performance — directly quantifying what 'the resource cost of large-scale data-driven computation' concretely means in physical energy terms, and connecting directly to Lecture 8–9's observation that GPU-based deep-learning training (the dominant modern driver of such large-scale compute demand) is specifically the *expensive* half of the ML lifecycle (as opposed to comparatively cheap inference), meaning the resource-cost question is disproportionately a question about *training*, not deploying, large models.</w:t>
      </w:r>
    </w:p>
    <w:p>
      <w:pPr>
        <w:spacing w:after="140"/>
        <w:jc w:val="both"/>
      </w:pPr>
      <w:r>
        <w:rPr>
          <w:b/>
          <w:bCs/>
        </w:rPr>
        <w:t xml:space="preserve">'How are we going to think?'</w:t>
      </w:r>
      <w:r>
        <w:t xml:space="preserve">: Lecture 1's abstract epistemic worry — that human reasoning may be increasingly supplemented or supplanted by opaque statistical/ML decision support — is given concrete technical substance by the course's repeated emphasis (Lecture 3's RDM discussion of context/metadata, Lecture 7's 'Correlation ≠ Causation' mantra, and Lecture 1's own NYC-taxi case study) that even sophisticated, large-scale, seemingly 'objective' data-driven analysis remains fundamentally *descriptive/correlational* rather than *causal*, and that its correct interpretation still critically depends on human-supplied contextual/domain knowledge (e.g., recognizing off-statistical issues like a changed COVID-19 case definition, or correctly attributing a Naïve Bayes prediction's underlying independence assumption as merely a simplifying approximation rather than a literal claim about reality) — i.e., the course's technical content collectively supports the conclusion that human critical judgment remains structurally necessary for correctly *interpreting* data-analytic output, even as the mechanical computation itself becomes increasingly automated.</w:t>
      </w:r>
    </w:p>
    <w:p>
      <w:pPr>
        <w:shd w:fill="DCE6F1" w:color="auto" w:val="clear"/>
        <w:spacing w:after="100" w:before="200"/>
      </w:pPr>
      <w:r>
        <w:rPr>
          <w:b/>
          <w:bCs/>
          <w:color w:val="1F3864"/>
          <w:sz w:val="22"/>
          <w:szCs w:val="22"/>
        </w:rPr>
        <w:t xml:space="preserve">Q4. The lecture states data-driven Big-Data applications 'are not easily mapped onto HPC architectures'. Using concepts from Lectures 1, 10, and 11, give three distinct technical reasons why this mismatch exists.</w:t>
      </w:r>
    </w:p>
    <w:p>
      <w:pPr>
        <w:spacing w:after="140"/>
        <w:jc w:val="both"/>
      </w:pPr>
      <w:r>
        <w:rPr>
          <w:b/>
          <w:bCs/>
        </w:rPr>
        <w:t xml:space="preserve">Reason 1 — Communication pattern mismatch</w:t>
      </w:r>
      <w:r>
        <w:t xml:space="preserve">: classical HPC applications (e.g., large-scale physical simulations) are typically *communication-intensive* and *tightly-coupled* — many processes must repeatedly exchange small amounts of data (e.g., boundary values between adjacent simulation-grid regions) at every iteration, favoring low-latency, high-bandwidth interconnects and synchronous, closely-coordinated execution (MPI-style). Big-Data analytics workloads, by contrast, are typically *embarrassingly parallel* / *loosely-coupled* (e.g., independently processing separate records or partitions in a MapReduce Map phase), favoring architectures optimized for many largely-independent tasks with only occasional, coarse-grained synchronization (e.g., MapReduce's single Shuffle step) rather than continuous fine-grained inter-process communication — a fundamentally different communication profile than HPC hardware/software stacks are optimized for.</w:t>
      </w:r>
    </w:p>
    <w:p>
      <w:pPr>
        <w:spacing w:after="140"/>
        <w:jc w:val="both"/>
      </w:pPr>
      <w:r>
        <w:rPr>
          <w:b/>
          <w:bCs/>
        </w:rPr>
        <w:t xml:space="preserve">Reason 2 — Data source, storage, and I/O-pattern mismatch</w:t>
      </w:r>
      <w:r>
        <w:t xml:space="preserve">: HPC storage systems are traditionally optimized for large, sequential, relatively infrequent I/O operations tied closely to simulation checkpointing, whereas Big-Data workloads (as explicitly noted in the lecture) increasingly need to handle continuously arriving *streaming* data with millisecond-to-second latency requirements — a workload pattern historically not well covered by HPC storage/scheduling architectures, which were built around the assumption of large batch simulation jobs with predictable, scheduled resource requests rather than continuously-arriving external data streams needing near-real-time processing.</w:t>
      </w:r>
    </w:p>
    <w:p>
      <w:pPr>
        <w:spacing w:after="140"/>
        <w:jc w:val="both"/>
      </w:pPr>
      <w:r>
        <w:rPr>
          <w:b/>
          <w:bCs/>
        </w:rPr>
        <w:t xml:space="preserve">Reason 3 — Scheduling philosophy and legal/data-governance mismatch</w:t>
      </w:r>
      <w:r>
        <w:t xml:space="preserve">: as elaborated in Lecture 11, HPC schedulers (Slurm, Grid Engine) require fine-grained, largely static resource requests (specific core/memory/accelerator counts, fixed wall-clock time) suited to a comparatively small number of large, long-running jobs, whereas Big-Data scheduling philosophy (originally Hadoop's Job Tracker, now more abstract systems like YARN/Mesos) is built around managing a much larger number of smaller, more dynamically-varying, often shorter-lived tasks — a genuine architectural/software mismatch requiring active ongoing convergence research (as covered in Lecture 11) rather than a solved problem. Additionally, Lecture 12 explicitly flags a *non-technical* mismatch: Big-Data analytics frequently involves storing and processing large amounts of third-party (e.g. personal/customer) data, raising legal/data-governance questions ('am I allowed to store large amounts of third-party data?') that simply do not arise for a typical HPC simulation workload processing purely synthetic or internally-generated scientific data, meaning Big-Data infrastructure must additionally satisfy compliance/governance requirements that classical HPC infrastructure was never designed to address.</w:t>
      </w:r>
    </w:p>
    <w:p>
      <w:r>
        <w:br w:type="page"/>
      </w:r>
    </w:p>
    <w:p>
      <w:pPr>
        <w:pStyle w:val="Heading1"/>
        <w:spacing w:after="120" w:before="240"/>
      </w:pPr>
      <w:r>
        <w:t xml:space="preserve">APPENDIX — Cross-Lecture Quick-Revision Map</w:t>
      </w:r>
    </w:p>
    <w:p>
      <w:pPr>
        <w:spacing w:after="140"/>
        <w:jc w:val="both"/>
      </w:pPr>
      <w:r>
        <w:t xml:space="preserve">This appendix links recurring exam themes across multiple lectures, since TU Dresden DDA exams frequently ask synthesis questions spanning several lectures at once.</w:t>
      </w:r>
    </w:p>
    <w:p>
      <w:pPr>
        <w:pStyle w:val="Heading2"/>
        <w:spacing w:after="120" w:before="240"/>
      </w:pPr>
      <w:r>
        <w:t xml:space="preserve">A. The 5 V's of Big Data (Lectures 1, 12)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80"/>
              <w:left w:type="dxa" w:w="120"/>
              <w:bottom w:type="dxa" w:w="80"/>
              <w:right w:type="dxa" w:w="120"/>
            </w:tcMar>
            <w:vAlign w:val="center"/>
          </w:tcPr>
          <w:p>
            <w:r>
              <w:rPr>
                <w:b/>
                <w:bCs/>
                <w:color w:val="FFFFFF"/>
                <w:sz w:val="20"/>
                <w:szCs w:val="20"/>
              </w:rPr>
              <w:t xml:space="preserve">Term / Concept</w:t>
            </w:r>
          </w:p>
        </w:tc>
        <w:tc>
          <w:tcPr>
            <w:tcW w:type="dxa" w:w="7000"/>
            <w:shd w:fill="1F3864" w:color="auto" w:val="clear"/>
            <w:tcMar>
              <w:top w:type="dxa" w:w="80"/>
              <w:left w:type="dxa" w:w="120"/>
              <w:bottom w:type="dxa" w:w="80"/>
              <w:right w:type="dxa" w:w="120"/>
            </w:tcMar>
            <w:vAlign w:val="center"/>
          </w:tcPr>
          <w:p>
            <w:r>
              <w:rPr>
                <w:b/>
                <w:bCs/>
                <w:color w:val="FFFFFF"/>
                <w:sz w:val="20"/>
                <w:szCs w:val="20"/>
              </w:rPr>
              <w:t xml:space="preserve">Definition / Explanation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Volume</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Data at rest; TB to EB scale; drives Data Reduction (L2) and Distributed Storage/HDFS (L10).</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Velocity</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Data in motion; ms–s response; drives Stream Processing / Flink vs Spark micro-batching (L11).</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Variety</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Structured/unstructured/multimedia; drives Feature Extraction &amp; Data Transformation (L2).</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Veracity</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Uncertainty/inconsistency; drives Data Cleaning (L2) and the Base-Rate Fallacy (L7).</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Value</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Usefulness of extracted knowledge; the ultimate justification for the entire pipeline (L1, L12).</w:t>
            </w:r>
          </w:p>
        </w:tc>
      </w:tr>
    </w:tbl>
    <w:p>
      <w:pPr>
        <w:pStyle w:val="Heading2"/>
        <w:spacing w:after="120" w:before="240"/>
      </w:pPr>
      <w:r>
        <w:t xml:space="preserve">B. 'Correlation ≠ Causation' — where it recurs</w:t>
      </w:r>
    </w:p>
    <w:p>
      <w:pPr>
        <w:spacing w:after="140"/>
        <w:jc w:val="both"/>
      </w:pPr>
      <w:r>
        <w:t xml:space="preserve">First raised in L1 (NYC Taxi/Lyft-vs-voting example), formalized with R² and spurious-correlation examples in L7 (Basics of Statistics), and revisited as an epistemic caution in L12's 'How are we going to think?' discussion. Exam questions often ask you to identify this fallacy in a novel scenario — always answer by (1) naming the confound risk, (2) proposing a controlled/experimental alternative.</w:t>
      </w:r>
    </w:p>
    <w:p>
      <w:pPr>
        <w:pStyle w:val="Heading2"/>
        <w:spacing w:after="120" w:before="240"/>
      </w:pPr>
      <w:r>
        <w:t xml:space="preserve">C. Overfitting — where it recurs</w:t>
      </w:r>
    </w:p>
    <w:p>
      <w:pPr>
        <w:spacing w:after="140"/>
        <w:jc w:val="both"/>
      </w:pPr>
      <w:r>
        <w:t xml:space="preserve">Defined generally in L5 (Training and Learning) via the train/validation/test split and cross-validation; concrete architectural countermeasures (Dropout, Early Stopping, Regularization, Data Augmentation) given in L8 (Deep Learning I). An excellent exam answer explicitly cites BOTH the evaluation-methodology layer (L5) AND the model-level countermeasures (L8).</w:t>
      </w:r>
    </w:p>
    <w:p>
      <w:pPr>
        <w:pStyle w:val="Heading2"/>
        <w:spacing w:after="120" w:before="240"/>
      </w:pPr>
      <w:r>
        <w:t xml:space="preserve">D. Distance / Similarity Measures — where they recur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80"/>
              <w:left w:type="dxa" w:w="120"/>
              <w:bottom w:type="dxa" w:w="80"/>
              <w:right w:type="dxa" w:w="120"/>
            </w:tcMar>
            <w:vAlign w:val="center"/>
          </w:tcPr>
          <w:p>
            <w:r>
              <w:rPr>
                <w:b/>
                <w:bCs/>
                <w:color w:val="FFFFFF"/>
                <w:sz w:val="20"/>
                <w:szCs w:val="20"/>
              </w:rPr>
              <w:t xml:space="preserve">Term / Concept</w:t>
            </w:r>
          </w:p>
        </w:tc>
        <w:tc>
          <w:tcPr>
            <w:tcW w:type="dxa" w:w="7000"/>
            <w:shd w:fill="1F3864" w:color="auto" w:val="clear"/>
            <w:tcMar>
              <w:top w:type="dxa" w:w="80"/>
              <w:left w:type="dxa" w:w="120"/>
              <w:bottom w:type="dxa" w:w="80"/>
              <w:right w:type="dxa" w:w="120"/>
            </w:tcMar>
            <w:vAlign w:val="center"/>
          </w:tcPr>
          <w:p>
            <w:r>
              <w:rPr>
                <w:b/>
                <w:bCs/>
                <w:color w:val="FFFFFF"/>
                <w:sz w:val="20"/>
                <w:szCs w:val="20"/>
              </w:rPr>
              <w:t xml:space="preserve">Definition / Explanation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Lp-norms (Manhattan/Euclidean/Chebyshev)</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L4 (Clustering) — choice of norm changes k-means/hierarchical-clustering results materially.</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Cosine similarity</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L4 — for text/document vectors; also implicitly relevant to L9's word-embedding similarity discussion.</w:t>
            </w:r>
          </w:p>
        </w:tc>
      </w:tr>
      <w:tr>
        <w:tc>
          <w:tcPr>
            <w:tcW w:type="dxa" w:w="2600"/>
            <w:shd w:fill="FFFFFF" w:color="auto" w:val="clear"/>
            <w:tcMar>
              <w:top w:type="dxa" w:w="80"/>
              <w:left w:type="dxa" w:w="120"/>
              <w:bottom w:type="dxa" w:w="80"/>
              <w:right w:type="dxa" w:w="120"/>
            </w:tcMar>
            <w:vAlign w:val="center"/>
          </w:tcPr>
          <w:p>
            <w:r>
              <w:rPr>
                <w:b/>
                <w:bCs/>
                <w:sz w:val="20"/>
                <w:szCs w:val="20"/>
              </w:rPr>
              <w:t xml:space="preserve">Standardization (Z-score)</w:t>
            </w:r>
          </w:p>
        </w:tc>
        <w:tc>
          <w:tcPr>
            <w:tcW w:type="dxa" w:w="7000"/>
            <w:shd w:fill="FFFFFF" w:color="auto" w:val="clear"/>
            <w:tcMar>
              <w:top w:type="dxa" w:w="80"/>
              <w:left w:type="dxa" w:w="120"/>
              <w:bottom w:type="dxa" w:w="80"/>
              <w:right w:type="dxa" w:w="120"/>
            </w:tcMar>
            <w:vAlign w:val="center"/>
          </w:tcPr>
          <w:p>
            <w:r>
              <w:rPr>
                <w:b w:val="false"/>
                <w:bCs w:val="false"/>
                <w:sz w:val="20"/>
                <w:szCs w:val="20"/>
              </w:rPr>
              <w:t xml:space="preserve">L2 (Preprocessing) — a near-mandatory precursor to any distance-based method in L4.</w:t>
            </w:r>
          </w:p>
        </w:tc>
      </w:tr>
      <w:tr>
        <w:tc>
          <w:tcPr>
            <w:tcW w:type="dxa" w:w="2600"/>
            <w:shd w:fill="F2F2F2" w:color="auto" w:val="clear"/>
            <w:tcMar>
              <w:top w:type="dxa" w:w="80"/>
              <w:left w:type="dxa" w:w="120"/>
              <w:bottom w:type="dxa" w:w="80"/>
              <w:right w:type="dxa" w:w="120"/>
            </w:tcMar>
            <w:vAlign w:val="center"/>
          </w:tcPr>
          <w:p>
            <w:r>
              <w:rPr>
                <w:b/>
                <w:bCs/>
                <w:sz w:val="20"/>
                <w:szCs w:val="20"/>
              </w:rPr>
              <w:t xml:space="preserve">Edit distance / DTW</w:t>
            </w:r>
          </w:p>
        </w:tc>
        <w:tc>
          <w:tcPr>
            <w:tcW w:type="dxa" w:w="7000"/>
            <w:shd w:fill="F2F2F2" w:color="auto" w:val="clear"/>
            <w:tcMar>
              <w:top w:type="dxa" w:w="80"/>
              <w:left w:type="dxa" w:w="120"/>
              <w:bottom w:type="dxa" w:w="80"/>
              <w:right w:type="dxa" w:w="120"/>
            </w:tcMar>
            <w:vAlign w:val="center"/>
          </w:tcPr>
          <w:p>
            <w:r>
              <w:rPr>
                <w:b w:val="false"/>
                <w:bCs w:val="false"/>
                <w:sz w:val="20"/>
                <w:szCs w:val="20"/>
              </w:rPr>
              <w:t xml:space="preserve">L4 — for sequences and time series respectively.</w:t>
            </w:r>
          </w:p>
        </w:tc>
      </w:tr>
    </w:tbl>
    <w:p>
      <w:pPr>
        <w:pStyle w:val="Heading2"/>
        <w:spacing w:after="120" w:before="240"/>
      </w:pPr>
      <w:r>
        <w:t xml:space="preserve">E. Data Quality &amp; Documentation — where it recurs</w:t>
      </w:r>
    </w:p>
    <w:p>
      <w:pPr>
        <w:spacing w:after="140"/>
        <w:jc w:val="both"/>
      </w:pPr>
      <w:r>
        <w:t xml:space="preserve">GIGO principle and data-quality dimensions (Accuracy, Completeness, Consistency, Timeliness, Credibility, Interpretability) taught in L2; formalized as FAIR + Metadata in L3; and shown to have real-world stakes via the 'off-statistical issues' (changing COVID-19 case definitions / inconsistent death-counting methodology) in L7. A strong synthesis answer traces GIGO (L2) → Metadata/documentation as the remedy (L3) → concrete real-world failure when documentation/definitional stability is absent (L7).</w:t>
      </w:r>
    </w:p>
    <w:p>
      <w:pPr>
        <w:pStyle w:val="Heading2"/>
        <w:spacing w:after="120" w:before="240"/>
      </w:pPr>
      <w:r>
        <w:t xml:space="preserve">F. Exam Answering Strategy (general)</w:t>
      </w:r>
    </w:p>
    <w:p>
      <w:pPr>
        <w:spacing w:after="140"/>
        <w:jc w:val="both"/>
      </w:pPr>
      <w:r>
        <w:t xml:space="preserve">For TU Dresden DDA-style exams: (1) ALWAYS define terms formally before discussing them (a definition-first sentence earns baseline marks even under time pressure). (2) For any 'compare X and Y' question, structure the answer as parallel dimensions (e.g., input data / assumptions / computational cost / when to prefer) rather than two separate unlinked paragraphs. (3) For any numeric/formula question, show the formula explicitly, substitute given numbers, and state the final number with correct units — partial credit is typically awarded per step. (4) For any 'why' /'explain' question expecting an elaborate answer, use the structure: mechanism → concrete example from the lecture materials → generalization/broader implication. (5) Always mention the Advantages AND Disadvantages of a named method if time permits — nearly every method-teaching slide in this course explicitly pairs the two, and exam rubrics typically reward covering both sides.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Digitization and Data Analytics — Exam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Digitization and Data Analytics — Complete Exam Preparation Compendium</dc:title>
  <dc:creator>DDA Exam Prep</dc:creator>
  <cp:lastModifiedBy>Un-named</cp:lastModifiedBy>
  <cp:revision>1</cp:revision>
  <dcterms:created xsi:type="dcterms:W3CDTF">2026-07-10T07:34:17.926Z</dcterms:created>
  <dcterms:modified xsi:type="dcterms:W3CDTF">2026-07-10T07:34:17.941Z</dcterms:modified>
</cp:coreProperties>
</file>

<file path=docProps/custom.xml><?xml version="1.0" encoding="utf-8"?>
<Properties xmlns="http://schemas.openxmlformats.org/officeDocument/2006/custom-properties" xmlns:vt="http://schemas.openxmlformats.org/officeDocument/2006/docPropsVTypes"/>
</file>