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DB67" w14:textId="77777777" w:rsidR="00A1703F" w:rsidRPr="00A1703F" w:rsidRDefault="00A1703F" w:rsidP="00A1703F">
      <w:r w:rsidRPr="00A1703F">
        <w:t>We have successfully wrapped up the design phases! We are now ready to begin </w:t>
      </w:r>
      <w:r w:rsidRPr="00A1703F">
        <w:rPr>
          <w:b/>
          <w:bCs/>
        </w:rPr>
        <w:t>Phase 5: Architectural Governance, PoC, &amp; Developer Hand-off</w:t>
      </w:r>
      <w:r w:rsidRPr="00A1703F">
        <w:t>.</w:t>
      </w:r>
    </w:p>
    <w:p w14:paraId="323DDC61" w14:textId="77777777" w:rsidR="00A1703F" w:rsidRPr="00A1703F" w:rsidRDefault="00A1703F" w:rsidP="00A1703F">
      <w:r w:rsidRPr="00A1703F">
        <w:t>This phase is where the architect ensures that the design is successfully translated into working, high-quality code. Here is how a Solution Architect starts Phase 5:</w:t>
      </w:r>
    </w:p>
    <w:p w14:paraId="2BECCFAA" w14:textId="77777777" w:rsidR="00A1703F" w:rsidRDefault="00A1703F" w:rsidP="00A1703F"/>
    <w:p w14:paraId="14AB3BB7" w14:textId="30363DC7" w:rsidR="00A1703F" w:rsidRPr="00A1703F" w:rsidRDefault="00A1703F" w:rsidP="00A1703F">
      <w:r w:rsidRPr="00A1703F">
        <w:t>Step 1: Design the Proof of Concept (PoC) Blueprint</w:t>
      </w:r>
    </w:p>
    <w:p w14:paraId="081E891E" w14:textId="77777777" w:rsidR="00A1703F" w:rsidRPr="00A1703F" w:rsidRDefault="00A1703F" w:rsidP="00A1703F">
      <w:r w:rsidRPr="00A1703F">
        <w:t>Before handing off tasks to the developers, we must build a PoC to validate our core architectural risks.</w:t>
      </w:r>
    </w:p>
    <w:p w14:paraId="167EE8C4" w14:textId="77777777" w:rsidR="00A1703F" w:rsidRPr="00A1703F" w:rsidRDefault="00A1703F" w:rsidP="00A1703F">
      <w:pPr>
        <w:numPr>
          <w:ilvl w:val="0"/>
          <w:numId w:val="1"/>
        </w:numPr>
      </w:pPr>
      <w:r w:rsidRPr="00A1703F">
        <w:rPr>
          <w:b/>
          <w:bCs/>
        </w:rPr>
        <w:t>The Target PoC</w:t>
      </w:r>
      <w:r w:rsidRPr="00A1703F">
        <w:t>: We will validate the </w:t>
      </w:r>
      <w:r w:rsidRPr="00A1703F">
        <w:rPr>
          <w:b/>
          <w:bCs/>
        </w:rPr>
        <w:t>User Registration Transaction Saga</w:t>
      </w:r>
      <w:r w:rsidRPr="00A1703F">
        <w:t xml:space="preserve"> using </w:t>
      </w:r>
      <w:proofErr w:type="spellStart"/>
      <w:r w:rsidRPr="00A1703F">
        <w:t>Keycloak</w:t>
      </w:r>
      <w:proofErr w:type="spellEnd"/>
      <w:r w:rsidRPr="00A1703F">
        <w:t>, PostgreSQL, and Temporal.</w:t>
      </w:r>
    </w:p>
    <w:p w14:paraId="1DB468C5" w14:textId="77777777" w:rsidR="00A1703F" w:rsidRPr="00A1703F" w:rsidRDefault="00A1703F" w:rsidP="00A1703F">
      <w:pPr>
        <w:numPr>
          <w:ilvl w:val="0"/>
          <w:numId w:val="1"/>
        </w:numPr>
      </w:pPr>
      <w:r w:rsidRPr="00A1703F">
        <w:rPr>
          <w:b/>
          <w:bCs/>
        </w:rPr>
        <w:t>Why this is the PoC</w:t>
      </w:r>
      <w:r w:rsidRPr="00A1703F">
        <w:t xml:space="preserve">: If our Temporal workflows cannot talk to </w:t>
      </w:r>
      <w:proofErr w:type="spellStart"/>
      <w:r w:rsidRPr="00A1703F">
        <w:t>Keycloak</w:t>
      </w:r>
      <w:proofErr w:type="spellEnd"/>
      <w:r w:rsidRPr="00A1703F">
        <w:t xml:space="preserve">, or if database failures leave orphan accounts in </w:t>
      </w:r>
      <w:proofErr w:type="spellStart"/>
      <w:r w:rsidRPr="00A1703F">
        <w:t>Keycloak</w:t>
      </w:r>
      <w:proofErr w:type="spellEnd"/>
      <w:r w:rsidRPr="00A1703F">
        <w:t>, our identity foundation is broken. We must prove this works first.</w:t>
      </w:r>
    </w:p>
    <w:p w14:paraId="2D23FE92" w14:textId="77777777" w:rsidR="00A1703F" w:rsidRPr="00A1703F" w:rsidRDefault="00A1703F" w:rsidP="00A1703F">
      <w:pPr>
        <w:numPr>
          <w:ilvl w:val="0"/>
          <w:numId w:val="1"/>
        </w:numPr>
      </w:pPr>
      <w:r w:rsidRPr="00A1703F">
        <w:rPr>
          <w:b/>
          <w:bCs/>
        </w:rPr>
        <w:t>PoC Code Base</w:t>
      </w:r>
      <w:r w:rsidRPr="00A1703F">
        <w:t xml:space="preserve">: We will write the initial Java configurations inside the user-management-service connecting to the local </w:t>
      </w:r>
      <w:proofErr w:type="spellStart"/>
      <w:r w:rsidRPr="00A1703F">
        <w:t>Keycloak</w:t>
      </w:r>
      <w:proofErr w:type="spellEnd"/>
      <w:r w:rsidRPr="00A1703F">
        <w:t xml:space="preserve"> container and verify that:</w:t>
      </w:r>
    </w:p>
    <w:p w14:paraId="58E9F8EF" w14:textId="77777777" w:rsidR="00A1703F" w:rsidRPr="00A1703F" w:rsidRDefault="00A1703F" w:rsidP="00A1703F">
      <w:pPr>
        <w:numPr>
          <w:ilvl w:val="1"/>
          <w:numId w:val="1"/>
        </w:numPr>
      </w:pPr>
      <w:r w:rsidRPr="00A1703F">
        <w:t>A registration call triggers the Temporal worker.</w:t>
      </w:r>
    </w:p>
    <w:p w14:paraId="22FFD71F" w14:textId="77777777" w:rsidR="00A1703F" w:rsidRPr="00A1703F" w:rsidRDefault="00A1703F" w:rsidP="00A1703F">
      <w:pPr>
        <w:numPr>
          <w:ilvl w:val="1"/>
          <w:numId w:val="1"/>
        </w:numPr>
      </w:pPr>
      <w:r w:rsidRPr="00A1703F">
        <w:t xml:space="preserve">The worker successfully registers the user in </w:t>
      </w:r>
      <w:proofErr w:type="spellStart"/>
      <w:r w:rsidRPr="00A1703F">
        <w:t>Keycloak</w:t>
      </w:r>
      <w:proofErr w:type="spellEnd"/>
      <w:r w:rsidRPr="00A1703F">
        <w:t>.</w:t>
      </w:r>
    </w:p>
    <w:p w14:paraId="4BEC8220" w14:textId="77777777" w:rsidR="00A1703F" w:rsidRPr="00A1703F" w:rsidRDefault="00A1703F" w:rsidP="00A1703F">
      <w:pPr>
        <w:numPr>
          <w:ilvl w:val="1"/>
          <w:numId w:val="1"/>
        </w:numPr>
      </w:pPr>
      <w:r w:rsidRPr="00A1703F">
        <w:t xml:space="preserve">If we inject a database crash (e.g., throwing a SQL exception on database save), the Temporal compensation activity executes, calling the </w:t>
      </w:r>
      <w:proofErr w:type="spellStart"/>
      <w:r w:rsidRPr="00A1703F">
        <w:t>Keycloak</w:t>
      </w:r>
      <w:proofErr w:type="spellEnd"/>
      <w:r w:rsidRPr="00A1703F">
        <w:t xml:space="preserve"> API to delete the newly created user profile automatically.</w:t>
      </w:r>
    </w:p>
    <w:p w14:paraId="4B48D280" w14:textId="77777777" w:rsidR="00A1703F" w:rsidRPr="00A1703F" w:rsidRDefault="00A1703F" w:rsidP="00A1703F">
      <w:r w:rsidRPr="00A1703F">
        <w:pict w14:anchorId="3669A7B4">
          <v:rect id="_x0000_i1042" style="width:590.55pt;height:.75pt" o:hrpct="0" o:hralign="center" o:hrstd="t" o:hr="t" fillcolor="#a0a0a0" stroked="f"/>
        </w:pict>
      </w:r>
    </w:p>
    <w:p w14:paraId="43C06047" w14:textId="77777777" w:rsidR="00A1703F" w:rsidRPr="00A1703F" w:rsidRDefault="00A1703F" w:rsidP="00A1703F">
      <w:r w:rsidRPr="00A1703F">
        <w:t>Step 2: Establish Architectural Governance &amp; Quality Gates</w:t>
      </w:r>
    </w:p>
    <w:p w14:paraId="463A4D39" w14:textId="77777777" w:rsidR="00A1703F" w:rsidRPr="00A1703F" w:rsidRDefault="00A1703F" w:rsidP="00A1703F">
      <w:r w:rsidRPr="00A1703F">
        <w:t>We must ensure that developers write code according to the architecture. We configure automatic gates in our CI/CD pipelines:</w:t>
      </w:r>
    </w:p>
    <w:p w14:paraId="45B15DD9" w14:textId="77777777" w:rsidR="00A1703F" w:rsidRPr="00A1703F" w:rsidRDefault="00A1703F" w:rsidP="00A1703F">
      <w:pPr>
        <w:numPr>
          <w:ilvl w:val="0"/>
          <w:numId w:val="2"/>
        </w:numPr>
      </w:pPr>
      <w:r w:rsidRPr="00A1703F">
        <w:rPr>
          <w:b/>
          <w:bCs/>
        </w:rPr>
        <w:t>Code Quality Gates (SonarQube)</w:t>
      </w:r>
      <w:r w:rsidRPr="00A1703F">
        <w:t>:</w:t>
      </w:r>
    </w:p>
    <w:p w14:paraId="406A1504" w14:textId="77777777" w:rsidR="00A1703F" w:rsidRPr="00A1703F" w:rsidRDefault="00A1703F" w:rsidP="00A1703F">
      <w:pPr>
        <w:numPr>
          <w:ilvl w:val="1"/>
          <w:numId w:val="2"/>
        </w:numPr>
      </w:pPr>
      <w:r w:rsidRPr="00A1703F">
        <w:rPr>
          <w:b/>
          <w:bCs/>
        </w:rPr>
        <w:t>Rule 1</w:t>
      </w:r>
      <w:r w:rsidRPr="00A1703F">
        <w:t>: Block PRs (Pull Requests) if code coverage is under 80%.</w:t>
      </w:r>
    </w:p>
    <w:p w14:paraId="40B5035C" w14:textId="77777777" w:rsidR="00A1703F" w:rsidRPr="00A1703F" w:rsidRDefault="00A1703F" w:rsidP="00A1703F">
      <w:pPr>
        <w:numPr>
          <w:ilvl w:val="1"/>
          <w:numId w:val="2"/>
        </w:numPr>
      </w:pPr>
      <w:r w:rsidRPr="00A1703F">
        <w:rPr>
          <w:b/>
          <w:bCs/>
        </w:rPr>
        <w:t>Rule 2</w:t>
      </w:r>
      <w:r w:rsidRPr="00A1703F">
        <w:t>: Check for multi-tenant isolation rules. Enforce that any repository call implements the </w:t>
      </w:r>
      <w:proofErr w:type="spellStart"/>
      <w:r w:rsidRPr="00A1703F">
        <w:t>TenantContext</w:t>
      </w:r>
      <w:proofErr w:type="spellEnd"/>
      <w:r w:rsidRPr="00A1703F">
        <w:t> check.</w:t>
      </w:r>
    </w:p>
    <w:p w14:paraId="7B4EB024" w14:textId="77777777" w:rsidR="00A1703F" w:rsidRPr="00A1703F" w:rsidRDefault="00A1703F" w:rsidP="00A1703F">
      <w:pPr>
        <w:numPr>
          <w:ilvl w:val="0"/>
          <w:numId w:val="2"/>
        </w:numPr>
      </w:pPr>
      <w:r w:rsidRPr="00A1703F">
        <w:rPr>
          <w:b/>
          <w:bCs/>
        </w:rPr>
        <w:t>Linting &amp; Formatting (</w:t>
      </w:r>
      <w:proofErr w:type="spellStart"/>
      <w:r w:rsidRPr="00A1703F">
        <w:rPr>
          <w:b/>
          <w:bCs/>
        </w:rPr>
        <w:t>Checkstyle</w:t>
      </w:r>
      <w:proofErr w:type="spellEnd"/>
      <w:r w:rsidRPr="00A1703F">
        <w:rPr>
          <w:b/>
          <w:bCs/>
        </w:rPr>
        <w:t>)</w:t>
      </w:r>
      <w:r w:rsidRPr="00A1703F">
        <w:t>:</w:t>
      </w:r>
    </w:p>
    <w:p w14:paraId="14C85F79" w14:textId="77777777" w:rsidR="00A1703F" w:rsidRPr="00A1703F" w:rsidRDefault="00A1703F" w:rsidP="00A1703F">
      <w:pPr>
        <w:numPr>
          <w:ilvl w:val="1"/>
          <w:numId w:val="2"/>
        </w:numPr>
      </w:pPr>
      <w:r w:rsidRPr="00A1703F">
        <w:t>Standardize indentations and naming conventions across all services.</w:t>
      </w:r>
    </w:p>
    <w:p w14:paraId="66036B50" w14:textId="77777777" w:rsidR="00A1703F" w:rsidRPr="00A1703F" w:rsidRDefault="00A1703F" w:rsidP="00A1703F">
      <w:pPr>
        <w:numPr>
          <w:ilvl w:val="0"/>
          <w:numId w:val="2"/>
        </w:numPr>
      </w:pPr>
      <w:r w:rsidRPr="00A1703F">
        <w:rPr>
          <w:b/>
          <w:bCs/>
        </w:rPr>
        <w:t>Database Migration Governance (Flyway)</w:t>
      </w:r>
      <w:r w:rsidRPr="00A1703F">
        <w:t>:</w:t>
      </w:r>
    </w:p>
    <w:p w14:paraId="2C38CB68" w14:textId="77777777" w:rsidR="00A1703F" w:rsidRPr="00A1703F" w:rsidRDefault="00A1703F" w:rsidP="00A1703F">
      <w:pPr>
        <w:numPr>
          <w:ilvl w:val="1"/>
          <w:numId w:val="2"/>
        </w:numPr>
      </w:pPr>
      <w:r w:rsidRPr="00A1703F">
        <w:lastRenderedPageBreak/>
        <w:t>Enforce that developers </w:t>
      </w:r>
      <w:r w:rsidRPr="00A1703F">
        <w:rPr>
          <w:i/>
          <w:iCs/>
        </w:rPr>
        <w:t>never</w:t>
      </w:r>
      <w:r w:rsidRPr="00A1703F">
        <w:t> modify existing database migration scripts (e.g., </w:t>
      </w:r>
    </w:p>
    <w:p w14:paraId="19E02B7A" w14:textId="0EA60FED" w:rsidR="00A1703F" w:rsidRPr="00A1703F" w:rsidRDefault="00A1703F" w:rsidP="00A1703F">
      <w:r w:rsidRPr="00A1703F">
        <mc:AlternateContent>
          <mc:Choice Requires="wps">
            <w:drawing>
              <wp:inline distT="0" distB="0" distL="0" distR="0" wp14:anchorId="0E5377B7" wp14:editId="70A89697">
                <wp:extent cx="304800" cy="304800"/>
                <wp:effectExtent l="0" t="0" r="0" b="0"/>
                <wp:docPr id="8560006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02E9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F0A0DD" w14:textId="77777777" w:rsidR="00A1703F" w:rsidRPr="00A1703F" w:rsidRDefault="00A1703F" w:rsidP="00A1703F">
      <w:r w:rsidRPr="00A1703F">
        <w:t>V5__grant_cinebook_app_permissions.sql). Any database change must be written as a new version script (e.g., V6__...</w:t>
      </w:r>
      <w:proofErr w:type="spellStart"/>
      <w:r w:rsidRPr="00A1703F">
        <w:t>sql</w:t>
      </w:r>
      <w:proofErr w:type="spellEnd"/>
      <w:r w:rsidRPr="00A1703F">
        <w:t>).</w:t>
      </w:r>
    </w:p>
    <w:p w14:paraId="75582B4E" w14:textId="77777777" w:rsidR="00A1703F" w:rsidRPr="00A1703F" w:rsidRDefault="00A1703F" w:rsidP="00A1703F">
      <w:r w:rsidRPr="00A1703F">
        <w:pict w14:anchorId="33245A5C">
          <v:rect id="_x0000_i1044" style="width:590.55pt;height:.75pt" o:hrpct="0" o:hralign="center" o:hrstd="t" o:hr="t" fillcolor="#a0a0a0" stroked="f"/>
        </w:pict>
      </w:r>
    </w:p>
    <w:p w14:paraId="52823430" w14:textId="77777777" w:rsidR="00A1703F" w:rsidRPr="00A1703F" w:rsidRDefault="00A1703F" w:rsidP="00A1703F">
      <w:r w:rsidRPr="00A1703F">
        <w:t>Step 3: Developer JIRA Task Decomposition (Hand-off Backlog)</w:t>
      </w:r>
    </w:p>
    <w:p w14:paraId="68190228" w14:textId="77777777" w:rsidR="00A1703F" w:rsidRPr="00A1703F" w:rsidRDefault="00A1703F" w:rsidP="00A1703F">
      <w:r w:rsidRPr="00A1703F">
        <w:t>We decompose the LLD into specific, bite-sized tasks for developers. For our initial sprint, the backlog cards look like this:</w:t>
      </w:r>
    </w:p>
    <w:p w14:paraId="2274A7E0" w14:textId="77777777" w:rsidR="00A1703F" w:rsidRPr="00A1703F" w:rsidRDefault="00A1703F" w:rsidP="00A1703F">
      <w:pPr>
        <w:numPr>
          <w:ilvl w:val="0"/>
          <w:numId w:val="3"/>
        </w:numPr>
      </w:pPr>
      <w:r w:rsidRPr="00A1703F">
        <w:rPr>
          <w:b/>
          <w:bCs/>
        </w:rPr>
        <w:t>Task 1: Core Multi-Tenancy Setup</w:t>
      </w:r>
    </w:p>
    <w:p w14:paraId="70591310" w14:textId="77777777" w:rsidR="00A1703F" w:rsidRPr="00A1703F" w:rsidRDefault="00A1703F" w:rsidP="00A1703F">
      <w:pPr>
        <w:numPr>
          <w:ilvl w:val="1"/>
          <w:numId w:val="3"/>
        </w:numPr>
      </w:pPr>
      <w:r w:rsidRPr="00A1703F">
        <w:rPr>
          <w:i/>
          <w:iCs/>
        </w:rPr>
        <w:t>Description</w:t>
      </w:r>
      <w:r w:rsidRPr="00A1703F">
        <w:t>: Implement </w:t>
      </w:r>
      <w:proofErr w:type="spellStart"/>
      <w:r w:rsidRPr="00A1703F">
        <w:t>TenantContext</w:t>
      </w:r>
      <w:proofErr w:type="spellEnd"/>
      <w:r w:rsidRPr="00A1703F">
        <w:t> thread-local holder in </w:t>
      </w:r>
      <w:proofErr w:type="spellStart"/>
      <w:r w:rsidRPr="00A1703F">
        <w:t>cinebook</w:t>
      </w:r>
      <w:proofErr w:type="spellEnd"/>
      <w:r w:rsidRPr="00A1703F">
        <w:t>-core-common and configure Spring's </w:t>
      </w:r>
      <w:proofErr w:type="spellStart"/>
      <w:r w:rsidRPr="00A1703F">
        <w:t>TaskDecorator</w:t>
      </w:r>
      <w:proofErr w:type="spellEnd"/>
      <w:r w:rsidRPr="00A1703F">
        <w:t> for async thread pools.</w:t>
      </w:r>
    </w:p>
    <w:p w14:paraId="243D5316" w14:textId="77777777" w:rsidR="00A1703F" w:rsidRPr="00A1703F" w:rsidRDefault="00A1703F" w:rsidP="00A1703F">
      <w:pPr>
        <w:numPr>
          <w:ilvl w:val="0"/>
          <w:numId w:val="3"/>
        </w:numPr>
      </w:pPr>
      <w:r w:rsidRPr="00A1703F">
        <w:rPr>
          <w:b/>
          <w:bCs/>
        </w:rPr>
        <w:t>Task 2: Cinema Service Seat Locking API</w:t>
      </w:r>
    </w:p>
    <w:p w14:paraId="5FA939A6" w14:textId="77777777" w:rsidR="00A1703F" w:rsidRPr="00A1703F" w:rsidRDefault="00A1703F" w:rsidP="00A1703F">
      <w:pPr>
        <w:numPr>
          <w:ilvl w:val="1"/>
          <w:numId w:val="3"/>
        </w:numPr>
      </w:pPr>
      <w:r w:rsidRPr="00A1703F">
        <w:rPr>
          <w:i/>
          <w:iCs/>
        </w:rPr>
        <w:t>Description</w:t>
      </w:r>
      <w:r w:rsidRPr="00A1703F">
        <w:t>: Create the </w:t>
      </w:r>
      <w:proofErr w:type="spellStart"/>
      <w:r w:rsidRPr="00A1703F">
        <w:t>cinema.seat_status</w:t>
      </w:r>
      <w:proofErr w:type="spellEnd"/>
      <w:r w:rsidRPr="00A1703F">
        <w:t> database table and implement the Redis-based seat lock service with a 10-minute lease TTL.</w:t>
      </w:r>
    </w:p>
    <w:p w14:paraId="7A157A28" w14:textId="77777777" w:rsidR="00A1703F" w:rsidRPr="00A1703F" w:rsidRDefault="00A1703F" w:rsidP="00A1703F">
      <w:pPr>
        <w:numPr>
          <w:ilvl w:val="0"/>
          <w:numId w:val="3"/>
        </w:numPr>
      </w:pPr>
      <w:r w:rsidRPr="00A1703F">
        <w:rPr>
          <w:b/>
          <w:bCs/>
        </w:rPr>
        <w:t xml:space="preserve">Task 3: </w:t>
      </w:r>
      <w:proofErr w:type="spellStart"/>
      <w:r w:rsidRPr="00A1703F">
        <w:rPr>
          <w:b/>
          <w:bCs/>
        </w:rPr>
        <w:t>Keycloak</w:t>
      </w:r>
      <w:proofErr w:type="spellEnd"/>
      <w:r w:rsidRPr="00A1703F">
        <w:rPr>
          <w:b/>
          <w:bCs/>
        </w:rPr>
        <w:t xml:space="preserve"> Admin Integration</w:t>
      </w:r>
    </w:p>
    <w:p w14:paraId="24FC3D1B" w14:textId="77777777" w:rsidR="00A1703F" w:rsidRPr="00A1703F" w:rsidRDefault="00A1703F" w:rsidP="00A1703F">
      <w:pPr>
        <w:numPr>
          <w:ilvl w:val="1"/>
          <w:numId w:val="3"/>
        </w:numPr>
      </w:pPr>
      <w:r w:rsidRPr="00A1703F">
        <w:rPr>
          <w:i/>
          <w:iCs/>
        </w:rPr>
        <w:t>Description</w:t>
      </w:r>
      <w:r w:rsidRPr="00A1703F">
        <w:t xml:space="preserve">: Set up </w:t>
      </w:r>
      <w:proofErr w:type="spellStart"/>
      <w:r w:rsidRPr="00A1703F">
        <w:t>Keycloak</w:t>
      </w:r>
      <w:proofErr w:type="spellEnd"/>
      <w:r w:rsidRPr="00A1703F">
        <w:t xml:space="preserve"> client credentials configuration in user-management-service to allow admin API registrations.</w:t>
      </w:r>
    </w:p>
    <w:p w14:paraId="7BC0EFEC" w14:textId="77777777" w:rsidR="00A1703F" w:rsidRPr="00A1703F" w:rsidRDefault="00A1703F" w:rsidP="00A1703F">
      <w:pPr>
        <w:numPr>
          <w:ilvl w:val="0"/>
          <w:numId w:val="3"/>
        </w:numPr>
      </w:pPr>
      <w:r w:rsidRPr="00A1703F">
        <w:rPr>
          <w:b/>
          <w:bCs/>
        </w:rPr>
        <w:t>Task 4: Temporal Workflow Worker Setup</w:t>
      </w:r>
    </w:p>
    <w:p w14:paraId="33C13D00" w14:textId="77777777" w:rsidR="00A1703F" w:rsidRPr="00A1703F" w:rsidRDefault="00A1703F" w:rsidP="00A1703F">
      <w:pPr>
        <w:numPr>
          <w:ilvl w:val="1"/>
          <w:numId w:val="3"/>
        </w:numPr>
      </w:pPr>
      <w:r w:rsidRPr="00A1703F">
        <w:rPr>
          <w:i/>
          <w:iCs/>
        </w:rPr>
        <w:t>Description</w:t>
      </w:r>
      <w:r w:rsidRPr="00A1703F">
        <w:t>: Configure the Temporal worker factory in Spring Boot and register the </w:t>
      </w:r>
      <w:proofErr w:type="spellStart"/>
      <w:r w:rsidRPr="00A1703F">
        <w:t>UserRegistrationWorkflowImpl</w:t>
      </w:r>
      <w:proofErr w:type="spellEnd"/>
      <w:r w:rsidRPr="00A1703F">
        <w:t> class.</w:t>
      </w:r>
    </w:p>
    <w:p w14:paraId="6834E51D" w14:textId="77777777" w:rsidR="002E77D1" w:rsidRDefault="002E77D1"/>
    <w:sectPr w:rsidR="002E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02FD"/>
    <w:multiLevelType w:val="multilevel"/>
    <w:tmpl w:val="A77EF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C14D4"/>
    <w:multiLevelType w:val="multilevel"/>
    <w:tmpl w:val="970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514594"/>
    <w:multiLevelType w:val="multilevel"/>
    <w:tmpl w:val="F57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6784721">
    <w:abstractNumId w:val="2"/>
  </w:num>
  <w:num w:numId="2" w16cid:durableId="1640769590">
    <w:abstractNumId w:val="0"/>
  </w:num>
  <w:num w:numId="3" w16cid:durableId="193744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D1"/>
    <w:rsid w:val="002E77D1"/>
    <w:rsid w:val="003B3BB4"/>
    <w:rsid w:val="00A1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9C5D"/>
  <w15:chartTrackingRefBased/>
  <w15:docId w15:val="{BE2E6A70-B3B5-47B1-8608-D2CD7433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Paliwal</dc:creator>
  <cp:keywords/>
  <dc:description/>
  <cp:lastModifiedBy>Krishna Paliwal</cp:lastModifiedBy>
  <cp:revision>2</cp:revision>
  <dcterms:created xsi:type="dcterms:W3CDTF">2026-08-06T07:51:00Z</dcterms:created>
  <dcterms:modified xsi:type="dcterms:W3CDTF">2026-08-06T07:53:00Z</dcterms:modified>
</cp:coreProperties>
</file>