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480" w:lineRule="auto"/>
        <w:rPr>
          <w:b w:val="1"/>
          <w:color w:val="0f1114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f1114"/>
          <w:sz w:val="32"/>
          <w:szCs w:val="32"/>
          <w:rtl w:val="0"/>
        </w:rPr>
        <w:t xml:space="preserve">Free Snowflake Trial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We’ve reached an exciting moment – Now you’ll get to create your Snowflake account, quickly load some data, and start doing work in Snowflake!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Signing up for a free account is very simple. As part of this course, you get a 120-day free trial account that you can access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here</w:t>
        </w:r>
      </w:hyperlink>
      <w:r w:rsidDel="00000000" w:rsidR="00000000" w:rsidRPr="00000000">
        <w:rPr>
          <w:color w:val="0f111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You should get a welcome email from Snowflake. Follow the instructions on the email to "activate" your account and create a user/password combination to access your account.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And that’s it for signing up! You now have a 120-day free trial Snowflake account.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480" w:lineRule="auto"/>
        <w:rPr>
          <w:b w:val="1"/>
          <w:color w:val="0f1114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f1114"/>
          <w:sz w:val="32"/>
          <w:szCs w:val="32"/>
          <w:rtl w:val="0"/>
        </w:rPr>
        <w:t xml:space="preserve">Ingesting One Table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Next we want to ingest the data you’ll be using in the following assignment. Just open up your free trial account, copy the code below, paste it into a SQL Worksheet, and run it. This will create your “tasty_bytes_sample_data.raw_pos.menu” table and load data into it. You don’t need to worry about what this code is doing – we’ll cover all of this later in the course.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accountadmin;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WAREHOUSE compute_wh;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create the Tasty Bytes Database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create the Raw POS (Point-of-Sale) Schema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create the Raw Menu Table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menu_type_id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truck_brand_name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menu_item_id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menu_item_name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item_category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item_subcategory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cost_of_goods_usd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sale_price_usd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menu_item_health_metrics_obj VARIANT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create the Stage referencing the Blob location and CSV File Format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STAGE tasty_bytes_sample_data.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.blob_stage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rtl w:val="0"/>
        </w:rPr>
        <w:t xml:space="preserve">'s3://sfquickstarts/tastybytes/'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file_format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csv);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query the Stage to find the Menu CSV file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@tasty_bytes_sample_data.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.blob_stage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copy the Menu file into the Menu table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@tasty_bytes_sample_data.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.blob_stage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Great! Now you can move onto your first assignment!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gnup.snowflake.com/?trial=student&amp;cloud=aws&amp;region=us-west-2&amp;utm_source=linkedin&amp;utm_campaign=introtosnowflake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hhZ/vPsmxEK/GXWj69PnlUguYw==">CgMxLjAyCWguMzBqMHpsbDIJaC4xZm9iOXRlOAByITFWWjdyTnlSQUtkUThVYlZLOEswem5yQlVaZVNQV3llWQ==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