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72"/>
        </w:rPr>
        <w:t>VoltIQ</w:t>
      </w:r>
    </w:p>
    <w:p>
      <w:pPr>
        <w:jc w:val="center"/>
      </w:pPr>
      <w:r>
        <w:rPr>
          <w:rFonts w:ascii="Arial" w:hAnsi="Arial"/>
          <w:i/>
          <w:color w:val="475569"/>
          <w:sz w:val="28"/>
        </w:rPr>
        <w:t>Enterprise Fleet Intelligence &amp; APM Platform Specification</w:t>
      </w:r>
    </w:p>
    <w:p>
      <w:r>
        <w:br/>
        <w:br/>
      </w:r>
    </w:p>
    <w:p>
      <w:pPr>
        <w:pStyle w:val="Heading1"/>
      </w:pPr>
      <w:r>
        <w:rPr>
          <w:color w:val="1E3A8A"/>
          <w:sz w:val="36"/>
        </w:rPr>
        <w:t>1. Project Overview &amp; Business Case</w:t>
      </w:r>
    </w:p>
    <w:p>
      <w:r>
        <w:t>VoltIQ is a premium commercial enterprise SaaS application built to address the critical needs of industrial fleet operators transitions to electric vehicles (EVs), battery diagnostics management (APM), and corporate carbon scope 1 offset target accounting.</w:t>
      </w:r>
    </w:p>
    <w:p>
      <w:r>
        <w:t>Key Real-World Use Cases:</w:t>
      </w:r>
    </w:p>
    <w:p>
      <w:pPr>
        <w:pStyle w:val="ListBullet"/>
      </w:pPr>
      <w:r>
        <w:rPr>
          <w:b/>
        </w:rPr>
        <w:t xml:space="preserve">Electrification Transition Feasibility: </w:t>
      </w:r>
      <w:r>
        <w:t>Automating the transition plan for large combustion fleets by scanning route duty cycles, mileage, and payload metrics to identify prime candidates for replacement with commercially available EV alternatives.</w:t>
      </w:r>
    </w:p>
    <w:p>
      <w:pPr>
        <w:pStyle w:val="ListBullet"/>
      </w:pPr>
      <w:r>
        <w:rPr>
          <w:b/>
        </w:rPr>
        <w:t xml:space="preserve">Battery Asset Performance (APM): </w:t>
      </w:r>
      <w:r>
        <w:t>Real-time degradation telemetry monitoring to predict battery State of Health (SOH) and Remaining Useful Life (RUL), preventing expensive on-road vehicle downtime through proactive service alarms.</w:t>
      </w:r>
    </w:p>
    <w:p>
      <w:pPr>
        <w:pStyle w:val="ListBullet"/>
      </w:pPr>
      <w:r>
        <w:rPr>
          <w:b/>
        </w:rPr>
        <w:t xml:space="preserve">Scope 1 Emissions Tracking: </w:t>
      </w:r>
      <w:r>
        <w:t>Replacing spreadsheet-based sustainability accounting with live emissions calculations comparing standard diesel/petrol combustion lines against power-grid EV scenarios.</w:t>
      </w:r>
    </w:p>
    <w:p>
      <w:pPr>
        <w:pStyle w:val="ListBullet"/>
      </w:pPr>
      <w:r>
        <w:rPr>
          <w:b/>
        </w:rPr>
        <w:t xml:space="preserve">Interactive AI Guidance: </w:t>
      </w:r>
      <w:r>
        <w:t>Enabling operations managers to query complex databases in natural language and receive source-cited insights concerning transitions, regulatory compliance, and procurement timelines.</w:t>
      </w:r>
    </w:p>
    <w:p>
      <w:pPr>
        <w:pStyle w:val="Heading1"/>
      </w:pPr>
      <w:r>
        <w:rPr>
          <w:color w:val="1E3A8A"/>
          <w:sz w:val="36"/>
        </w:rPr>
        <w:t>2. Technical Stack &amp; Decoupled Architecture</w:t>
      </w:r>
    </w:p>
    <w:p>
      <w:r>
        <w:t>The project is structured with a strict separation of concerns, decoupling the frontend client interface from the data processing and machine learning backend services.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Technology</w:t>
            </w:r>
          </w:p>
        </w:tc>
        <w:tc>
          <w:tcPr>
            <w:tcW w:type="dxa" w:w="3120"/>
            <w:shd w:fill="1E3A8A"/>
            <w:tcMar>
              <w:top w:w="100" w:type="dxa"/>
              <w:bottom w:w="100" w:type="dxa"/>
              <w:left w:w="150" w:type="dxa"/>
              <w:right w:w="150" w:type="dxa"/>
            </w:tcMar>
          </w:tcPr>
          <w:p>
            <w:r>
              <w:rPr>
                <w:b/>
                <w:color w:val="FFFFFF"/>
              </w:rPr>
              <w:t>Application Area</w:t>
            </w:r>
          </w:p>
        </w:tc>
        <w:tc>
          <w:tcPr>
            <w:tcW w:type="dxa" w:w="3120"/>
            <w:shd w:fill="1E3A8A"/>
            <w:tcMar>
              <w:top w:w="100" w:type="dxa"/>
              <w:bottom w:w="100" w:type="dxa"/>
              <w:left w:w="150" w:type="dxa"/>
              <w:right w:w="150" w:type="dxa"/>
            </w:tcMar>
          </w:tcPr>
          <w:p>
            <w:r>
              <w:rPr>
                <w:b/>
                <w:color w:val="FFFFFF"/>
              </w:rPr>
              <w:t>Operational Role</w:t>
            </w:r>
          </w:p>
        </w:tc>
      </w:tr>
      <w:tr>
        <w:tc>
          <w:tcPr>
            <w:tcW w:type="dxa" w:w="3120"/>
            <w:tcMar>
              <w:top w:w="100" w:type="dxa"/>
              <w:bottom w:w="100" w:type="dxa"/>
              <w:left w:w="150" w:type="dxa"/>
              <w:right w:w="150" w:type="dxa"/>
            </w:tcMar>
            <w:shd w:fill="F8FAFC"/>
          </w:tcPr>
          <w:p>
            <w:r>
              <w:t>FastAPI</w:t>
            </w:r>
          </w:p>
        </w:tc>
        <w:tc>
          <w:tcPr>
            <w:tcW w:type="dxa" w:w="3120"/>
            <w:tcMar>
              <w:top w:w="100" w:type="dxa"/>
              <w:bottom w:w="100" w:type="dxa"/>
              <w:left w:w="150" w:type="dxa"/>
              <w:right w:w="150" w:type="dxa"/>
            </w:tcMar>
            <w:shd w:fill="F8FAFC"/>
          </w:tcPr>
          <w:p>
            <w:r>
              <w:t>Backend Core</w:t>
            </w:r>
          </w:p>
        </w:tc>
        <w:tc>
          <w:tcPr>
            <w:tcW w:type="dxa" w:w="3120"/>
            <w:tcMar>
              <w:top w:w="100" w:type="dxa"/>
              <w:bottom w:w="100" w:type="dxa"/>
              <w:left w:w="150" w:type="dxa"/>
              <w:right w:w="150" w:type="dxa"/>
            </w:tcMar>
            <w:shd w:fill="F8FAFC"/>
          </w:tcPr>
          <w:p>
            <w:r>
              <w:t>Serves REST API routes for health status, telemetry prediction, carbon analysis, and AI assistant query processing.</w:t>
            </w:r>
          </w:p>
        </w:tc>
      </w:tr>
      <w:tr>
        <w:tc>
          <w:tcPr>
            <w:tcW w:type="dxa" w:w="3120"/>
            <w:tcMar>
              <w:top w:w="100" w:type="dxa"/>
              <w:bottom w:w="100" w:type="dxa"/>
              <w:left w:w="150" w:type="dxa"/>
              <w:right w:w="150" w:type="dxa"/>
            </w:tcMar>
            <w:shd w:fill="F8FAFC"/>
          </w:tcPr>
          <w:p>
            <w:r>
              <w:t>Streamlit</w:t>
            </w:r>
          </w:p>
        </w:tc>
        <w:tc>
          <w:tcPr>
            <w:tcW w:type="dxa" w:w="3120"/>
            <w:tcMar>
              <w:top w:w="100" w:type="dxa"/>
              <w:bottom w:w="100" w:type="dxa"/>
              <w:left w:w="150" w:type="dxa"/>
              <w:right w:w="150" w:type="dxa"/>
            </w:tcMar>
            <w:shd w:fill="F8FAFC"/>
          </w:tcPr>
          <w:p>
            <w:r>
              <w:t>Frontend Application</w:t>
            </w:r>
          </w:p>
        </w:tc>
        <w:tc>
          <w:tcPr>
            <w:tcW w:type="dxa" w:w="3120"/>
            <w:tcMar>
              <w:top w:w="100" w:type="dxa"/>
              <w:bottom w:w="100" w:type="dxa"/>
              <w:left w:w="150" w:type="dxa"/>
              <w:right w:w="150" w:type="dxa"/>
            </w:tcMar>
            <w:shd w:fill="F8FAFC"/>
          </w:tcPr>
          <w:p>
            <w:r>
              <w:t>Constructs the client dashboard layout, sidebar navigation, dynamic graphs, and conversational interface.</w:t>
            </w:r>
          </w:p>
        </w:tc>
      </w:tr>
      <w:tr>
        <w:tc>
          <w:tcPr>
            <w:tcW w:type="dxa" w:w="3120"/>
            <w:tcMar>
              <w:top w:w="100" w:type="dxa"/>
              <w:bottom w:w="100" w:type="dxa"/>
              <w:left w:w="150" w:type="dxa"/>
              <w:right w:w="150" w:type="dxa"/>
            </w:tcMar>
            <w:shd w:fill="F8FAFC"/>
          </w:tcPr>
          <w:p>
            <w:r>
              <w:t>Pandas &amp; NumPy</w:t>
            </w:r>
          </w:p>
        </w:tc>
        <w:tc>
          <w:tcPr>
            <w:tcW w:type="dxa" w:w="3120"/>
            <w:tcMar>
              <w:top w:w="100" w:type="dxa"/>
              <w:bottom w:w="100" w:type="dxa"/>
              <w:left w:w="150" w:type="dxa"/>
              <w:right w:w="150" w:type="dxa"/>
            </w:tcMar>
            <w:shd w:fill="F8FAFC"/>
          </w:tcPr>
          <w:p>
            <w:r>
              <w:t>Data &amp; Performance</w:t>
            </w:r>
          </w:p>
        </w:tc>
        <w:tc>
          <w:tcPr>
            <w:tcW w:type="dxa" w:w="3120"/>
            <w:tcMar>
              <w:top w:w="100" w:type="dxa"/>
              <w:bottom w:w="100" w:type="dxa"/>
              <w:left w:w="150" w:type="dxa"/>
              <w:right w:w="150" w:type="dxa"/>
            </w:tcMar>
            <w:shd w:fill="F8FAFC"/>
          </w:tcPr>
          <w:p>
            <w:r>
              <w:t>Performs file parsing and mathematical aggregates, backed by a global memory caching structure.</w:t>
            </w:r>
          </w:p>
        </w:tc>
      </w:tr>
      <w:tr>
        <w:tc>
          <w:tcPr>
            <w:tcW w:type="dxa" w:w="3120"/>
            <w:tcMar>
              <w:top w:w="100" w:type="dxa"/>
              <w:bottom w:w="100" w:type="dxa"/>
              <w:left w:w="150" w:type="dxa"/>
              <w:right w:w="150" w:type="dxa"/>
            </w:tcMar>
            <w:shd w:fill="F8FAFC"/>
          </w:tcPr>
          <w:p>
            <w:r>
              <w:t>Scikit-Learn</w:t>
            </w:r>
          </w:p>
        </w:tc>
        <w:tc>
          <w:tcPr>
            <w:tcW w:type="dxa" w:w="3120"/>
            <w:tcMar>
              <w:top w:w="100" w:type="dxa"/>
              <w:bottom w:w="100" w:type="dxa"/>
              <w:left w:w="150" w:type="dxa"/>
              <w:right w:w="150" w:type="dxa"/>
            </w:tcMar>
            <w:shd w:fill="F8FAFC"/>
          </w:tcPr>
          <w:p>
            <w:r>
              <w:t>Machine Learning</w:t>
            </w:r>
          </w:p>
        </w:tc>
        <w:tc>
          <w:tcPr>
            <w:tcW w:type="dxa" w:w="3120"/>
            <w:tcMar>
              <w:top w:w="100" w:type="dxa"/>
              <w:bottom w:w="100" w:type="dxa"/>
              <w:left w:w="150" w:type="dxa"/>
              <w:right w:w="150" w:type="dxa"/>
            </w:tcMar>
            <w:shd w:fill="F8FAFC"/>
          </w:tcPr>
          <w:p>
            <w:r>
              <w:t>Executes regression models (LinearRegression, GradientBoosting) to predict readiness scores and battery health.</w:t>
            </w:r>
          </w:p>
        </w:tc>
      </w:tr>
      <w:tr>
        <w:tc>
          <w:tcPr>
            <w:tcW w:type="dxa" w:w="3120"/>
            <w:tcMar>
              <w:top w:w="100" w:type="dxa"/>
              <w:bottom w:w="100" w:type="dxa"/>
              <w:left w:w="150" w:type="dxa"/>
              <w:right w:w="150" w:type="dxa"/>
            </w:tcMar>
            <w:shd w:fill="F8FAFC"/>
          </w:tcPr>
          <w:p>
            <w:r>
              <w:t>Plotly</w:t>
            </w:r>
          </w:p>
        </w:tc>
        <w:tc>
          <w:tcPr>
            <w:tcW w:type="dxa" w:w="3120"/>
            <w:tcMar>
              <w:top w:w="100" w:type="dxa"/>
              <w:bottom w:w="100" w:type="dxa"/>
              <w:left w:w="150" w:type="dxa"/>
              <w:right w:w="150" w:type="dxa"/>
            </w:tcMar>
            <w:shd w:fill="F8FAFC"/>
          </w:tcPr>
          <w:p>
            <w:r>
              <w:t>Data Visualization</w:t>
            </w:r>
          </w:p>
        </w:tc>
        <w:tc>
          <w:tcPr>
            <w:tcW w:type="dxa" w:w="3120"/>
            <w:tcMar>
              <w:top w:w="100" w:type="dxa"/>
              <w:bottom w:w="100" w:type="dxa"/>
              <w:left w:w="150" w:type="dxa"/>
              <w:right w:w="150" w:type="dxa"/>
            </w:tcMar>
            <w:shd w:fill="F8FAFC"/>
          </w:tcPr>
          <w:p>
            <w:r>
              <w:t>Renders interactive charts including pie segments, cap fade curves, and emission waterfall graphs.</w:t>
            </w:r>
          </w:p>
        </w:tc>
      </w:tr>
      <w:tr>
        <w:tc>
          <w:tcPr>
            <w:tcW w:type="dxa" w:w="3120"/>
            <w:tcMar>
              <w:top w:w="100" w:type="dxa"/>
              <w:bottom w:w="100" w:type="dxa"/>
              <w:left w:w="150" w:type="dxa"/>
              <w:right w:w="150" w:type="dxa"/>
            </w:tcMar>
            <w:shd w:fill="F8FAFC"/>
          </w:tcPr>
          <w:p>
            <w:r>
              <w:t>Requests</w:t>
            </w:r>
          </w:p>
        </w:tc>
        <w:tc>
          <w:tcPr>
            <w:tcW w:type="dxa" w:w="3120"/>
            <w:tcMar>
              <w:top w:w="100" w:type="dxa"/>
              <w:bottom w:w="100" w:type="dxa"/>
              <w:left w:w="150" w:type="dxa"/>
              <w:right w:w="150" w:type="dxa"/>
            </w:tcMar>
            <w:shd w:fill="F8FAFC"/>
          </w:tcPr>
          <w:p>
            <w:r>
              <w:t>HTTP Middleware</w:t>
            </w:r>
          </w:p>
        </w:tc>
        <w:tc>
          <w:tcPr>
            <w:tcW w:type="dxa" w:w="3120"/>
            <w:tcMar>
              <w:top w:w="100" w:type="dxa"/>
              <w:bottom w:w="100" w:type="dxa"/>
              <w:left w:w="150" w:type="dxa"/>
              <w:right w:w="150" w:type="dxa"/>
            </w:tcMar>
            <w:shd w:fill="F8FAFC"/>
          </w:tcPr>
          <w:p>
            <w:r>
              <w:t>Handles synchronous communication between Streamlit widgets and FastAPI routes.</w:t>
            </w:r>
          </w:p>
        </w:tc>
      </w:tr>
      <w:tr>
        <w:tc>
          <w:tcPr>
            <w:tcW w:type="dxa" w:w="3120"/>
            <w:tcMar>
              <w:top w:w="100" w:type="dxa"/>
              <w:bottom w:w="100" w:type="dxa"/>
              <w:left w:w="150" w:type="dxa"/>
              <w:right w:w="150" w:type="dxa"/>
            </w:tcMar>
            <w:shd w:fill="F8FAFC"/>
          </w:tcPr>
          <w:p>
            <w:r>
              <w:t>Joblib</w:t>
            </w:r>
          </w:p>
        </w:tc>
        <w:tc>
          <w:tcPr>
            <w:tcW w:type="dxa" w:w="3120"/>
            <w:tcMar>
              <w:top w:w="100" w:type="dxa"/>
              <w:bottom w:w="100" w:type="dxa"/>
              <w:left w:w="150" w:type="dxa"/>
              <w:right w:w="150" w:type="dxa"/>
            </w:tcMar>
            <w:shd w:fill="F8FAFC"/>
          </w:tcPr>
          <w:p>
            <w:r>
              <w:t>Model Persistence</w:t>
            </w:r>
          </w:p>
        </w:tc>
        <w:tc>
          <w:tcPr>
            <w:tcW w:type="dxa" w:w="3120"/>
            <w:tcMar>
              <w:top w:w="100" w:type="dxa"/>
              <w:bottom w:w="100" w:type="dxa"/>
              <w:left w:w="150" w:type="dxa"/>
              <w:right w:w="150" w:type="dxa"/>
            </w:tcMar>
            <w:shd w:fill="F8FAFC"/>
          </w:tcPr>
          <w:p>
            <w:r>
              <w:t>Deserializes and loads the machine learning pipelines from saved pickles at backend startup.</w:t>
            </w:r>
          </w:p>
        </w:tc>
      </w:tr>
    </w:tbl>
    <w:p>
      <w:r>
        <w:br/>
      </w:r>
    </w:p>
    <w:p>
      <w:pPr>
        <w:pStyle w:val="Heading1"/>
      </w:pPr>
      <w:r>
        <w:rPr>
          <w:color w:val="1E3A8A"/>
          <w:sz w:val="36"/>
        </w:rPr>
        <w:t>3. System File Registry</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File Path</w:t>
            </w:r>
          </w:p>
        </w:tc>
        <w:tc>
          <w:tcPr>
            <w:tcW w:type="dxa" w:w="3120"/>
            <w:shd w:fill="1E3A8A"/>
            <w:tcMar>
              <w:top w:w="100" w:type="dxa"/>
              <w:bottom w:w="100" w:type="dxa"/>
              <w:left w:w="150" w:type="dxa"/>
              <w:right w:w="150" w:type="dxa"/>
            </w:tcMar>
          </w:tcPr>
          <w:p>
            <w:r>
              <w:rPr>
                <w:b/>
                <w:color w:val="FFFFFF"/>
              </w:rPr>
              <w:t>Structural Role</w:t>
            </w:r>
          </w:p>
        </w:tc>
        <w:tc>
          <w:tcPr>
            <w:tcW w:type="dxa" w:w="3120"/>
            <w:shd w:fill="1E3A8A"/>
            <w:tcMar>
              <w:top w:w="100" w:type="dxa"/>
              <w:bottom w:w="100" w:type="dxa"/>
              <w:left w:w="150" w:type="dxa"/>
              <w:right w:w="150" w:type="dxa"/>
            </w:tcMar>
          </w:tcPr>
          <w:p>
            <w:r>
              <w:rPr>
                <w:b/>
                <w:color w:val="FFFFFF"/>
              </w:rPr>
              <w:t>Description of Logic</w:t>
            </w:r>
          </w:p>
        </w:tc>
      </w:tr>
      <w:tr>
        <w:tc>
          <w:tcPr>
            <w:tcW w:type="dxa" w:w="3120"/>
            <w:tcMar>
              <w:top w:w="100" w:type="dxa"/>
              <w:bottom w:w="100" w:type="dxa"/>
              <w:left w:w="150" w:type="dxa"/>
              <w:right w:w="150" w:type="dxa"/>
            </w:tcMar>
            <w:shd w:fill="F8FAFC"/>
          </w:tcPr>
          <w:p>
            <w:r>
              <w:t>app/main.py</w:t>
            </w:r>
          </w:p>
        </w:tc>
        <w:tc>
          <w:tcPr>
            <w:tcW w:type="dxa" w:w="3120"/>
            <w:tcMar>
              <w:top w:w="100" w:type="dxa"/>
              <w:bottom w:w="100" w:type="dxa"/>
              <w:left w:w="150" w:type="dxa"/>
              <w:right w:w="150" w:type="dxa"/>
            </w:tcMar>
            <w:shd w:fill="F8FAFC"/>
          </w:tcPr>
          <w:p>
            <w:r>
              <w:t>FastAPI App Lifespan</w:t>
            </w:r>
          </w:p>
        </w:tc>
        <w:tc>
          <w:tcPr>
            <w:tcW w:type="dxa" w:w="3120"/>
            <w:tcMar>
              <w:top w:w="100" w:type="dxa"/>
              <w:bottom w:w="100" w:type="dxa"/>
              <w:left w:w="150" w:type="dxa"/>
              <w:right w:w="150" w:type="dxa"/>
            </w:tcMar>
            <w:shd w:fill="F8FAFC"/>
          </w:tcPr>
          <w:p>
            <w:r>
              <w:t>Configures the API server, manages lifespan events (loading ML models into memory), sets up CORS policies, and includes API routers.</w:t>
            </w:r>
          </w:p>
        </w:tc>
      </w:tr>
      <w:tr>
        <w:tc>
          <w:tcPr>
            <w:tcW w:type="dxa" w:w="3120"/>
            <w:tcMar>
              <w:top w:w="100" w:type="dxa"/>
              <w:bottom w:w="100" w:type="dxa"/>
              <w:left w:w="150" w:type="dxa"/>
              <w:right w:w="150" w:type="dxa"/>
            </w:tcMar>
            <w:shd w:fill="F8FAFC"/>
          </w:tcPr>
          <w:p>
            <w:r>
              <w:t>app/middleware.py</w:t>
            </w:r>
          </w:p>
        </w:tc>
        <w:tc>
          <w:tcPr>
            <w:tcW w:type="dxa" w:w="3120"/>
            <w:tcMar>
              <w:top w:w="100" w:type="dxa"/>
              <w:bottom w:w="100" w:type="dxa"/>
              <w:left w:w="150" w:type="dxa"/>
              <w:right w:w="150" w:type="dxa"/>
            </w:tcMar>
            <w:shd w:fill="F8FAFC"/>
          </w:tcPr>
          <w:p>
            <w:r>
              <w:t>Request Profiler</w:t>
            </w:r>
          </w:p>
        </w:tc>
        <w:tc>
          <w:tcPr>
            <w:tcW w:type="dxa" w:w="3120"/>
            <w:tcMar>
              <w:top w:w="100" w:type="dxa"/>
              <w:bottom w:w="100" w:type="dxa"/>
              <w:left w:w="150" w:type="dxa"/>
              <w:right w:w="150" w:type="dxa"/>
            </w:tcMar>
            <w:shd w:fill="F8FAFC"/>
          </w:tcPr>
          <w:p>
            <w:r>
              <w:t>Logs incoming API HTTP methods, paths, duration times, and injects a Request ID (RID) header for audit trails.</w:t>
            </w:r>
          </w:p>
        </w:tc>
      </w:tr>
      <w:tr>
        <w:tc>
          <w:tcPr>
            <w:tcW w:type="dxa" w:w="3120"/>
            <w:tcMar>
              <w:top w:w="100" w:type="dxa"/>
              <w:bottom w:w="100" w:type="dxa"/>
              <w:left w:w="150" w:type="dxa"/>
              <w:right w:w="150" w:type="dxa"/>
            </w:tcMar>
            <w:shd w:fill="F8FAFC"/>
          </w:tcPr>
          <w:p>
            <w:r>
              <w:t>app/config/config.py</w:t>
            </w:r>
          </w:p>
        </w:tc>
        <w:tc>
          <w:tcPr>
            <w:tcW w:type="dxa" w:w="3120"/>
            <w:tcMar>
              <w:top w:w="100" w:type="dxa"/>
              <w:bottom w:w="100" w:type="dxa"/>
              <w:left w:w="150" w:type="dxa"/>
              <w:right w:w="150" w:type="dxa"/>
            </w:tcMar>
            <w:shd w:fill="F8FAFC"/>
          </w:tcPr>
          <w:p>
            <w:r>
              <w:t>Configuration settings</w:t>
            </w:r>
          </w:p>
        </w:tc>
        <w:tc>
          <w:tcPr>
            <w:tcW w:type="dxa" w:w="3120"/>
            <w:tcMar>
              <w:top w:w="100" w:type="dxa"/>
              <w:bottom w:w="100" w:type="dxa"/>
              <w:left w:w="150" w:type="dxa"/>
              <w:right w:w="150" w:type="dxa"/>
            </w:tcMar>
            <w:shd w:fill="F8FAFC"/>
          </w:tcPr>
          <w:p>
            <w:r>
              <w:t>Loads environmental settings (Database URL, dataset directories, API timeouts) using Pydantic Settings.</w:t>
            </w:r>
          </w:p>
        </w:tc>
      </w:tr>
      <w:tr>
        <w:tc>
          <w:tcPr>
            <w:tcW w:type="dxa" w:w="3120"/>
            <w:tcMar>
              <w:top w:w="100" w:type="dxa"/>
              <w:bottom w:w="100" w:type="dxa"/>
              <w:left w:w="150" w:type="dxa"/>
              <w:right w:w="150" w:type="dxa"/>
            </w:tcMar>
            <w:shd w:fill="F8FAFC"/>
          </w:tcPr>
          <w:p>
            <w:r>
              <w:t>app/schemas/payloads.py</w:t>
            </w:r>
          </w:p>
        </w:tc>
        <w:tc>
          <w:tcPr>
            <w:tcW w:type="dxa" w:w="3120"/>
            <w:tcMar>
              <w:top w:w="100" w:type="dxa"/>
              <w:bottom w:w="100" w:type="dxa"/>
              <w:left w:w="150" w:type="dxa"/>
              <w:right w:w="150" w:type="dxa"/>
            </w:tcMar>
            <w:shd w:fill="F8FAFC"/>
          </w:tcPr>
          <w:p>
            <w:r>
              <w:t>Data Validation</w:t>
            </w:r>
          </w:p>
        </w:tc>
        <w:tc>
          <w:tcPr>
            <w:tcW w:type="dxa" w:w="3120"/>
            <w:tcMar>
              <w:top w:w="100" w:type="dxa"/>
              <w:bottom w:w="100" w:type="dxa"/>
              <w:left w:w="150" w:type="dxa"/>
              <w:right w:w="150" w:type="dxa"/>
            </w:tcMar>
            <w:shd w:fill="F8FAFC"/>
          </w:tcPr>
          <w:p>
            <w:r>
              <w:t>Houses input/output Pydantic schemas validating all client API JSON parameters (e.g. telemetry parameters, carbon query specs).</w:t>
            </w:r>
          </w:p>
        </w:tc>
      </w:tr>
      <w:tr>
        <w:tc>
          <w:tcPr>
            <w:tcW w:type="dxa" w:w="3120"/>
            <w:tcMar>
              <w:top w:w="100" w:type="dxa"/>
              <w:bottom w:w="100" w:type="dxa"/>
              <w:left w:w="150" w:type="dxa"/>
              <w:right w:w="150" w:type="dxa"/>
            </w:tcMar>
            <w:shd w:fill="F8FAFC"/>
          </w:tcPr>
          <w:p>
            <w:r>
              <w:t>app/services/models_service.py</w:t>
            </w:r>
          </w:p>
        </w:tc>
        <w:tc>
          <w:tcPr>
            <w:tcW w:type="dxa" w:w="3120"/>
            <w:tcMar>
              <w:top w:w="100" w:type="dxa"/>
              <w:bottom w:w="100" w:type="dxa"/>
              <w:left w:w="150" w:type="dxa"/>
              <w:right w:w="150" w:type="dxa"/>
            </w:tcMar>
            <w:shd w:fill="F8FAFC"/>
          </w:tcPr>
          <w:p>
            <w:r>
              <w:t>ML Inference Core</w:t>
            </w:r>
          </w:p>
        </w:tc>
        <w:tc>
          <w:tcPr>
            <w:tcW w:type="dxa" w:w="3120"/>
            <w:tcMar>
              <w:top w:w="100" w:type="dxa"/>
              <w:bottom w:w="100" w:type="dxa"/>
              <w:left w:w="150" w:type="dxa"/>
              <w:right w:w="150" w:type="dxa"/>
            </w:tcMar>
            <w:shd w:fill="F8FAFC"/>
          </w:tcPr>
          <w:p>
            <w:r>
              <w:t>Manages model loading from disk via joblib and processes vehicle parameters to output EV readiness and battery status.</w:t>
            </w:r>
          </w:p>
        </w:tc>
      </w:tr>
      <w:tr>
        <w:tc>
          <w:tcPr>
            <w:tcW w:type="dxa" w:w="3120"/>
            <w:tcMar>
              <w:top w:w="100" w:type="dxa"/>
              <w:bottom w:w="100" w:type="dxa"/>
              <w:left w:w="150" w:type="dxa"/>
              <w:right w:w="150" w:type="dxa"/>
            </w:tcMar>
            <w:shd w:fill="F8FAFC"/>
          </w:tcPr>
          <w:p>
            <w:r>
              <w:t>app/services/carbon_service.py</w:t>
            </w:r>
          </w:p>
        </w:tc>
        <w:tc>
          <w:tcPr>
            <w:tcW w:type="dxa" w:w="3120"/>
            <w:tcMar>
              <w:top w:w="100" w:type="dxa"/>
              <w:bottom w:w="100" w:type="dxa"/>
              <w:left w:w="150" w:type="dxa"/>
              <w:right w:w="150" w:type="dxa"/>
            </w:tcMar>
            <w:shd w:fill="F8FAFC"/>
          </w:tcPr>
          <w:p>
            <w:r>
              <w:t>Emissions Logic</w:t>
            </w:r>
          </w:p>
        </w:tc>
        <w:tc>
          <w:tcPr>
            <w:tcW w:type="dxa" w:w="3120"/>
            <w:tcMar>
              <w:top w:w="100" w:type="dxa"/>
              <w:bottom w:w="100" w:type="dxa"/>
              <w:left w:w="150" w:type="dxa"/>
              <w:right w:w="150" w:type="dxa"/>
            </w:tcMar>
            <w:shd w:fill="F8FAFC"/>
          </w:tcPr>
          <w:p>
            <w:r>
              <w:t>Evaluates scope 1 combustion parameters versus EV grid offsets and targets.</w:t>
            </w:r>
          </w:p>
        </w:tc>
      </w:tr>
      <w:tr>
        <w:tc>
          <w:tcPr>
            <w:tcW w:type="dxa" w:w="3120"/>
            <w:tcMar>
              <w:top w:w="100" w:type="dxa"/>
              <w:bottom w:w="100" w:type="dxa"/>
              <w:left w:w="150" w:type="dxa"/>
              <w:right w:w="150" w:type="dxa"/>
            </w:tcMar>
            <w:shd w:fill="F8FAFC"/>
          </w:tcPr>
          <w:p>
            <w:r>
              <w:t>app/utils/data_loader.py</w:t>
            </w:r>
          </w:p>
        </w:tc>
        <w:tc>
          <w:tcPr>
            <w:tcW w:type="dxa" w:w="3120"/>
            <w:tcMar>
              <w:top w:w="100" w:type="dxa"/>
              <w:bottom w:w="100" w:type="dxa"/>
              <w:left w:w="150" w:type="dxa"/>
              <w:right w:w="150" w:type="dxa"/>
            </w:tcMar>
            <w:shd w:fill="F8FAFC"/>
          </w:tcPr>
          <w:p>
            <w:r>
              <w:t>Caching Data Loader</w:t>
            </w:r>
          </w:p>
        </w:tc>
        <w:tc>
          <w:tcPr>
            <w:tcW w:type="dxa" w:w="3120"/>
            <w:tcMar>
              <w:top w:w="100" w:type="dxa"/>
              <w:bottom w:w="100" w:type="dxa"/>
              <w:left w:w="150" w:type="dxa"/>
              <w:right w:w="150" w:type="dxa"/>
            </w:tcMar>
            <w:shd w:fill="F8FAFC"/>
          </w:tcPr>
          <w:p>
            <w:r>
              <w:t>Singleton loading class managing dataset files with a global in-memory cache, reducing disk read latency from 3.4s to 0.016s.</w:t>
            </w:r>
          </w:p>
        </w:tc>
      </w:tr>
      <w:tr>
        <w:tc>
          <w:tcPr>
            <w:tcW w:type="dxa" w:w="3120"/>
            <w:tcMar>
              <w:top w:w="100" w:type="dxa"/>
              <w:bottom w:w="100" w:type="dxa"/>
              <w:left w:w="150" w:type="dxa"/>
              <w:right w:w="150" w:type="dxa"/>
            </w:tcMar>
            <w:shd w:fill="F8FAFC"/>
          </w:tcPr>
          <w:p>
            <w:r>
              <w:t>app/api/</w:t>
            </w:r>
          </w:p>
        </w:tc>
        <w:tc>
          <w:tcPr>
            <w:tcW w:type="dxa" w:w="3120"/>
            <w:tcMar>
              <w:top w:w="100" w:type="dxa"/>
              <w:bottom w:w="100" w:type="dxa"/>
              <w:left w:w="150" w:type="dxa"/>
              <w:right w:w="150" w:type="dxa"/>
            </w:tcMar>
            <w:shd w:fill="F8FAFC"/>
          </w:tcPr>
          <w:p>
            <w:r>
              <w:t>Backend Router Routes</w:t>
            </w:r>
          </w:p>
        </w:tc>
        <w:tc>
          <w:tcPr>
            <w:tcW w:type="dxa" w:w="3120"/>
            <w:tcMar>
              <w:top w:w="100" w:type="dxa"/>
              <w:bottom w:w="100" w:type="dxa"/>
              <w:left w:w="150" w:type="dxa"/>
              <w:right w:w="150" w:type="dxa"/>
            </w:tcMar>
            <w:shd w:fill="F8FAFC"/>
          </w:tcPr>
          <w:p>
            <w:r>
              <w:t>Contains individual modules (fleet.py, battery.py, carbon.py, chat.py) mapping HTTP verbs to service methods.</w:t>
            </w:r>
          </w:p>
        </w:tc>
      </w:tr>
      <w:tr>
        <w:tc>
          <w:tcPr>
            <w:tcW w:type="dxa" w:w="3120"/>
            <w:tcMar>
              <w:top w:w="100" w:type="dxa"/>
              <w:bottom w:w="100" w:type="dxa"/>
              <w:left w:w="150" w:type="dxa"/>
              <w:right w:w="150" w:type="dxa"/>
            </w:tcMar>
            <w:shd w:fill="F8FAFC"/>
          </w:tcPr>
          <w:p>
            <w:r>
              <w:t>frontend/dashboard.py</w:t>
            </w:r>
          </w:p>
        </w:tc>
        <w:tc>
          <w:tcPr>
            <w:tcW w:type="dxa" w:w="3120"/>
            <w:tcMar>
              <w:top w:w="100" w:type="dxa"/>
              <w:bottom w:w="100" w:type="dxa"/>
              <w:left w:w="150" w:type="dxa"/>
              <w:right w:w="150" w:type="dxa"/>
            </w:tcMar>
            <w:shd w:fill="F8FAFC"/>
          </w:tcPr>
          <w:p>
            <w:r>
              <w:t>Main Frontend Router</w:t>
            </w:r>
          </w:p>
        </w:tc>
        <w:tc>
          <w:tcPr>
            <w:tcW w:type="dxa" w:w="3120"/>
            <w:tcMar>
              <w:top w:w="100" w:type="dxa"/>
              <w:bottom w:w="100" w:type="dxa"/>
              <w:left w:w="150" w:type="dxa"/>
              <w:right w:w="150" w:type="dxa"/>
            </w:tcMar>
            <w:shd w:fill="F8FAFC"/>
          </w:tcPr>
          <w:p>
            <w:r>
              <w:t>Configures page metadata, executes styles, draws sidebar navigation, and acts as the entrypoint for the Streamlit site.</w:t>
            </w:r>
          </w:p>
        </w:tc>
      </w:tr>
      <w:tr>
        <w:tc>
          <w:tcPr>
            <w:tcW w:type="dxa" w:w="3120"/>
            <w:tcMar>
              <w:top w:w="100" w:type="dxa"/>
              <w:bottom w:w="100" w:type="dxa"/>
              <w:left w:w="150" w:type="dxa"/>
              <w:right w:w="150" w:type="dxa"/>
            </w:tcMar>
            <w:shd w:fill="F8FAFC"/>
          </w:tcPr>
          <w:p>
            <w:r>
              <w:t>frontend/components/ui.py</w:t>
            </w:r>
          </w:p>
        </w:tc>
        <w:tc>
          <w:tcPr>
            <w:tcW w:type="dxa" w:w="3120"/>
            <w:tcMar>
              <w:top w:w="100" w:type="dxa"/>
              <w:bottom w:w="100" w:type="dxa"/>
              <w:left w:w="150" w:type="dxa"/>
              <w:right w:w="150" w:type="dxa"/>
            </w:tcMar>
            <w:shd w:fill="F8FAFC"/>
          </w:tcPr>
          <w:p>
            <w:r>
              <w:t>Reusable Component Library</w:t>
            </w:r>
          </w:p>
        </w:tc>
        <w:tc>
          <w:tcPr>
            <w:tcW w:type="dxa" w:w="3120"/>
            <w:tcMar>
              <w:top w:w="100" w:type="dxa"/>
              <w:bottom w:w="100" w:type="dxa"/>
              <w:left w:w="150" w:type="dxa"/>
              <w:right w:w="150" w:type="dxa"/>
            </w:tcMar>
            <w:shd w:fill="F8FAFC"/>
          </w:tcPr>
          <w:p>
            <w:r>
              <w:t>Houses layout widgets including KPI blocks, glass cards, animated skeleton placeholders, and error banners with retry features.</w:t>
            </w:r>
          </w:p>
        </w:tc>
      </w:tr>
      <w:tr>
        <w:tc>
          <w:tcPr>
            <w:tcW w:type="dxa" w:w="3120"/>
            <w:tcMar>
              <w:top w:w="100" w:type="dxa"/>
              <w:bottom w:w="100" w:type="dxa"/>
              <w:left w:w="150" w:type="dxa"/>
              <w:right w:w="150" w:type="dxa"/>
            </w:tcMar>
            <w:shd w:fill="F8FAFC"/>
          </w:tcPr>
          <w:p>
            <w:r>
              <w:t>frontend/styles/theme.py</w:t>
            </w:r>
          </w:p>
        </w:tc>
        <w:tc>
          <w:tcPr>
            <w:tcW w:type="dxa" w:w="3120"/>
            <w:tcMar>
              <w:top w:w="100" w:type="dxa"/>
              <w:bottom w:w="100" w:type="dxa"/>
              <w:left w:w="150" w:type="dxa"/>
              <w:right w:w="150" w:type="dxa"/>
            </w:tcMar>
            <w:shd w:fill="F8FAFC"/>
          </w:tcPr>
          <w:p>
            <w:r>
              <w:t>Premium CSS &amp; Plotly Theme</w:t>
            </w:r>
          </w:p>
        </w:tc>
        <w:tc>
          <w:tcPr>
            <w:tcW w:type="dxa" w:w="3120"/>
            <w:tcMar>
              <w:top w:w="100" w:type="dxa"/>
              <w:bottom w:w="100" w:type="dxa"/>
              <w:left w:w="150" w:type="dxa"/>
              <w:right w:w="150" w:type="dxa"/>
            </w:tcMar>
            <w:shd w:fill="F8FAFC"/>
          </w:tcPr>
          <w:p>
            <w:r>
              <w:t>Contains the global base CSS rules and a safe helper to merge and apply Plotly chart styles without collisions.</w:t>
            </w:r>
          </w:p>
        </w:tc>
      </w:tr>
      <w:tr>
        <w:tc>
          <w:tcPr>
            <w:tcW w:type="dxa" w:w="3120"/>
            <w:tcMar>
              <w:top w:w="100" w:type="dxa"/>
              <w:bottom w:w="100" w:type="dxa"/>
              <w:left w:w="150" w:type="dxa"/>
              <w:right w:w="150" w:type="dxa"/>
            </w:tcMar>
            <w:shd w:fill="F8FAFC"/>
          </w:tcPr>
          <w:p>
            <w:r>
              <w:t>frontend/services/api_client.py</w:t>
            </w:r>
          </w:p>
        </w:tc>
        <w:tc>
          <w:tcPr>
            <w:tcW w:type="dxa" w:w="3120"/>
            <w:tcMar>
              <w:top w:w="100" w:type="dxa"/>
              <w:bottom w:w="100" w:type="dxa"/>
              <w:left w:w="150" w:type="dxa"/>
              <w:right w:w="150" w:type="dxa"/>
            </w:tcMar>
            <w:shd w:fill="F8FAFC"/>
          </w:tcPr>
          <w:p>
            <w:r>
              <w:t>Service API Connector</w:t>
            </w:r>
          </w:p>
        </w:tc>
        <w:tc>
          <w:tcPr>
            <w:tcW w:type="dxa" w:w="3120"/>
            <w:tcMar>
              <w:top w:w="100" w:type="dxa"/>
              <w:bottom w:w="100" w:type="dxa"/>
              <w:left w:w="150" w:type="dxa"/>
              <w:right w:w="150" w:type="dxa"/>
            </w:tcMar>
            <w:shd w:fill="F8FAFC"/>
          </w:tcPr>
          <w:p>
            <w:r>
              <w:t>Singleton wrapper for python requests executing POST/GET commands to the backend endpoints.</w:t>
            </w:r>
          </w:p>
        </w:tc>
      </w:tr>
    </w:tbl>
    <w:p>
      <w:r>
        <w:br/>
      </w:r>
    </w:p>
    <w:p>
      <w:pPr>
        <w:pStyle w:val="Heading1"/>
      </w:pPr>
      <w:r>
        <w:rPr>
          <w:color w:val="1E3A8A"/>
          <w:sz w:val="36"/>
        </w:rPr>
        <w:t>4. Dataset Integration &amp; Caching Mechanism</w:t>
      </w:r>
    </w:p>
    <w:p>
      <w:r>
        <w:t>VoltIQ parses 8 canonical CSV telemetry databases representing different aspects of fleet operations. These databases are stored in 'datasets/' and loaded on-demand via the singleton data loader.</w:t>
      </w:r>
    </w:p>
    <w:p>
      <w:r>
        <w:t>Integrated Datasets:</w:t>
      </w:r>
    </w:p>
    <w:p>
      <w:pPr>
        <w:pStyle w:val="ListBullet"/>
      </w:pPr>
      <w:r>
        <w:rPr>
          <w:b/>
        </w:rPr>
        <w:t xml:space="preserve">battery/ev_battery_degradation.csv: </w:t>
      </w:r>
      <w:r>
        <w:t>Cell-level charge-discharge telemetry, core temperature logs, and capacity fades.</w:t>
      </w:r>
    </w:p>
    <w:p>
      <w:pPr>
        <w:pStyle w:val="ListBullet"/>
      </w:pPr>
      <w:r>
        <w:rPr>
          <w:b/>
        </w:rPr>
        <w:t xml:space="preserve">carbon/fleet_carbon_intelligence.csv: </w:t>
      </w:r>
      <w:r>
        <w:t>Scope 1 emissions datasets, annual distances, and net-zero alignment percentages.</w:t>
      </w:r>
    </w:p>
    <w:p>
      <w:pPr>
        <w:pStyle w:val="ListBullet"/>
      </w:pPr>
      <w:r>
        <w:rPr>
          <w:b/>
        </w:rPr>
        <w:t xml:space="preserve">charging/ev_charging_sessions.csv: </w:t>
      </w:r>
      <w:r>
        <w:t>Historical records of charging logs (kWh delivery, duration).</w:t>
      </w:r>
    </w:p>
    <w:p>
      <w:pPr>
        <w:pStyle w:val="ListBullet"/>
      </w:pPr>
      <w:r>
        <w:rPr>
          <w:b/>
        </w:rPr>
        <w:t xml:space="preserve">charging/ev_charging_station_data.csv: </w:t>
      </w:r>
      <w:r>
        <w:t>Grid distribution coordinates and hardware statuses of charging points.</w:t>
      </w:r>
    </w:p>
    <w:p>
      <w:pPr>
        <w:pStyle w:val="ListBullet"/>
      </w:pPr>
      <w:r>
        <w:rPr>
          <w:b/>
        </w:rPr>
        <w:t xml:space="preserve">fleet/fleet_electrification_readiness.csv: </w:t>
      </w:r>
      <w:r>
        <w:t>250,000-row registry holding ICE parameters (age, usage, maintenance, DTC codes, readiness scores).</w:t>
      </w:r>
    </w:p>
    <w:p>
      <w:pPr>
        <w:pStyle w:val="ListBullet"/>
      </w:pPr>
      <w:r>
        <w:rPr>
          <w:b/>
        </w:rPr>
        <w:t xml:space="preserve">fleet/fleet_route_data.csv: </w:t>
      </w:r>
      <w:r>
        <w:t>Operational route records (urban vs highway freight configurations).</w:t>
      </w:r>
    </w:p>
    <w:p>
      <w:pPr>
        <w:pStyle w:val="ListBullet"/>
      </w:pPr>
      <w:r>
        <w:rPr>
          <w:b/>
        </w:rPr>
        <w:t xml:space="preserve">reference/carbon_emissions_reference.csv: </w:t>
      </w:r>
      <w:r>
        <w:t>Baseline regulatory fuel factor mappings (Diesel, Petrol, CNG).</w:t>
      </w:r>
    </w:p>
    <w:p>
      <w:pPr>
        <w:pStyle w:val="ListBullet"/>
      </w:pPr>
      <w:r>
        <w:rPr>
          <w:b/>
        </w:rPr>
        <w:t xml:space="preserve">weather/weather_data.csv: </w:t>
      </w:r>
      <w:r>
        <w:t>Environmental parameters corresponding to route timelines.</w:t>
      </w:r>
    </w:p>
    <w:p>
      <w:r>
        <w:br/>
        <w:t>Performance Optimization &amp; Connection Strategy:</w:t>
      </w:r>
    </w:p>
    <w:p>
      <w:r>
        <w:t>Because these datasets contain up to 250,000 rows, reading files from disk on every page render created a major navigation lag (~3.5 seconds). To resolve this, VoltIQ implements a global, in-memory dictionary-based cache within DataLoader.load(). Once a dataset is loaded from disk, the DataFrame is cached in memory. Subsequent backend endpoint requests retrieve the data instantly in 0.016 seconds (a 205x performance improvement), providing smooth and immediate page switching.</w:t>
      </w:r>
    </w:p>
    <w:p>
      <w:pPr>
        <w:pStyle w:val="Heading1"/>
      </w:pPr>
      <w:r>
        <w:rPr>
          <w:color w:val="1E3A8A"/>
          <w:sz w:val="36"/>
        </w:rPr>
        <w:t>5. UI Sections, Input &amp; Output Specifications</w:t>
      </w:r>
    </w:p>
    <w:p>
      <w:pPr>
        <w:pStyle w:val="Heading2"/>
      </w:pPr>
      <w:r>
        <w:t>A. Executive Dashboard</w:t>
      </w:r>
    </w:p>
    <w:p>
      <w:r>
        <w:t>Presents high-level metrics (Fleet size, EV readiness progress, Scope 1 offsets) alongside critical warnings.</w:t>
      </w:r>
    </w:p>
    <w:p>
      <w:r>
        <w:rPr>
          <w:b/>
        </w:rPr>
        <w:t xml:space="preserve">Input Parameters: </w:t>
      </w:r>
      <w:r>
        <w:t>None (Page loads database summary instantly on navigation).</w:t>
      </w:r>
    </w:p>
    <w:p>
      <w:r>
        <w:rPr>
          <w:b/>
        </w:rPr>
        <w:t xml:space="preserve">Output Presentation: </w:t>
      </w:r>
      <w:r>
        <w:t>KPI widgets (e.g. EV Readiness: 45.0%, Carbon Avoided: 3.76M kg) and AI transition insight cards.</w:t>
      </w:r>
    </w:p>
    <w:p>
      <w:pPr>
        <w:pStyle w:val="Heading2"/>
      </w:pPr>
      <w:r>
        <w:t>B. Fleet Electrification Readiness</w:t>
      </w:r>
    </w:p>
    <w:p>
      <w:r>
        <w:t>Displays segments of transition candidates (High/Moderate/Low) using pie charts, registry lookups, and a predictive feasibility calculator.</w:t>
      </w:r>
    </w:p>
    <w:p>
      <w:r>
        <w:rPr>
          <w:b/>
        </w:rPr>
        <w:t xml:space="preserve">Input Parameters: </w:t>
      </w:r>
      <w:r>
        <w:t>JSON telemetry structure submitted via the ML estimator input widgets (e.g. usage hours, load capacity, vehicle age, trouble codes).</w:t>
      </w:r>
    </w:p>
    <w:p>
      <w:r>
        <w:rPr>
          <w:b/>
        </w:rPr>
        <w:t xml:space="preserve">Output Presentation: </w:t>
      </w:r>
      <w:r>
        <w:t>EV suitability score (0.7258) and transition recommendations (e.g. Class: Van -&gt; Replacement: Ford E-Transit, Lead Time: 3 mo, Est. Cost: $45,000).</w:t>
      </w:r>
    </w:p>
    <w:p>
      <w:pPr>
        <w:pStyle w:val="Heading2"/>
      </w:pPr>
      <w:r>
        <w:t>C. Battery APM</w:t>
      </w:r>
    </w:p>
    <w:p>
      <w:r>
        <w:t>Tracks cell telemetry. Features dial meters for SOH percentages, capacity fade curves, and core temperature charts.</w:t>
      </w:r>
    </w:p>
    <w:p>
      <w:r>
        <w:rPr>
          <w:b/>
        </w:rPr>
        <w:t xml:space="preserve">Input Parameters: </w:t>
      </w:r>
      <w:r>
        <w:t>Telemetry fields (Cycle number, capacity, terminal voltage, core temperature, voltage sag, degradation rate).</w:t>
      </w:r>
    </w:p>
    <w:p>
      <w:r>
        <w:rPr>
          <w:b/>
        </w:rPr>
        <w:t xml:space="preserve">Output Presentation: </w:t>
      </w:r>
      <w:r>
        <w:t>Predicted State of Health (SOH: 87.5%), Remaining Useful Life (RUL: 425 cycles), and health zone classification (Healthy/Attention/Critical).</w:t>
      </w:r>
    </w:p>
    <w:p>
      <w:pPr>
        <w:pStyle w:val="Heading2"/>
      </w:pPr>
      <w:r>
        <w:t>D. Carbon Intelligence Tracker</w:t>
      </w:r>
    </w:p>
    <w:p>
      <w:r>
        <w:t>Evaluates scope 1 carbon baselines against grid-emissions EV offsets, featuring target alignment meters and reduction waterfalls.</w:t>
      </w:r>
    </w:p>
    <w:p>
      <w:r>
        <w:rPr>
          <w:b/>
        </w:rPr>
        <w:t xml:space="preserve">Input Parameters: </w:t>
      </w:r>
      <w:r>
        <w:t>Vehicle ID, annual travel distance, and standard fuel type (Diesel, Petrol, CNG).</w:t>
      </w:r>
    </w:p>
    <w:p>
      <w:r>
        <w:rPr>
          <w:b/>
        </w:rPr>
        <w:t xml:space="preserve">Output Presentation: </w:t>
      </w:r>
      <w:r>
        <w:t>Comparative emissions output: ICE Annual CO2 (5,360 kg) vs EV Scenario CO2 (1,000 kg), yielding net savings (4,360 kg CO2).</w:t>
      </w:r>
    </w:p>
    <w:p>
      <w:pPr>
        <w:pStyle w:val="Heading2"/>
      </w:pPr>
      <w:r>
        <w:t>E. AI Fleet Advisor</w:t>
      </w:r>
    </w:p>
    <w:p>
      <w:r>
        <w:t>Provides a conversational landing portal with capablity summaries and pre-configured questions, pinning a native chat input box at the bottom.</w:t>
      </w:r>
    </w:p>
    <w:p>
      <w:r>
        <w:rPr>
          <w:b/>
        </w:rPr>
        <w:t xml:space="preserve">Input Parameters: </w:t>
      </w:r>
      <w:r>
        <w:t>User text queries (typed directly or selected from preset topics like 'Which vehicles should I electrify first?').</w:t>
      </w:r>
    </w:p>
    <w:p>
      <w:r>
        <w:rPr>
          <w:b/>
        </w:rPr>
        <w:t xml:space="preserve">Output Presentation: </w:t>
      </w:r>
      <w:r>
        <w:t>A markdown conversation response containing verified analysis findings and cited database source footnotes.</w:t>
      </w:r>
    </w:p>
    <w:p>
      <w:r>
        <w:br/>
      </w:r>
    </w:p>
    <w:p>
      <w:r>
        <w:t>This concludes the VoltIQ systems specification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