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0"/>
          <w:szCs w:val="40"/>
          <w:rFonts w:ascii="Calibri" w:cs="Calibri" w:eastAsia="Calibri" w:hAnsi="Calibri"/>
        </w:rPr>
        <w:t xml:space="preserve">Modelling and Safety of Maritime Traffic</w:t>
      </w:r>
    </w:p>
    <w:p>
      <w:pPr>
        <w:spacing w:after="600"/>
        <w:jc w:val="center"/>
      </w:pPr>
      <w:r>
        <w:rPr>
          <w:b/>
          <w:bCs/>
          <w:sz w:val="32"/>
          <w:szCs w:val="32"/>
          <w:rFonts w:ascii="Calibri" w:cs="Calibri" w:eastAsia="Calibri" w:hAnsi="Calibri"/>
        </w:rPr>
        <w:t xml:space="preserve">Assignment Report — Tasks 1 to 4</w:t>
      </w:r>
    </w:p>
    <w:p>
      <w:pPr>
        <w:spacing w:after="100"/>
        <w:jc w:val="center"/>
      </w:pPr>
      <w:r>
        <w:rPr>
          <w:sz w:val="26"/>
          <w:szCs w:val="26"/>
          <w:rFonts w:ascii="Calibri" w:cs="Calibri" w:eastAsia="Calibri" w:hAnsi="Calibri"/>
        </w:rPr>
        <w:t xml:space="preserve">Project 9</w:t>
      </w:r>
    </w:p>
    <w:p>
      <w:pPr>
        <w:spacing w:after="100"/>
        <w:jc w:val="center"/>
      </w:pPr>
      <w:r>
        <w:rPr>
          <w:sz w:val="24"/>
          <w:szCs w:val="24"/>
          <w:rFonts w:ascii="Calibri" w:cs="Calibri" w:eastAsia="Calibri" w:hAnsi="Calibri"/>
        </w:rPr>
        <w:t xml:space="preserve">Vessel 1: KCS   |   Vessel 2: KVLCC2</w:t>
      </w:r>
    </w:p>
    <w:p>
      <w:pPr>
        <w:spacing w:after="800"/>
        <w:jc w:val="center"/>
      </w:pPr>
      <w:r>
        <w:rPr>
          <w:sz w:val="24"/>
          <w:szCs w:val="24"/>
          <w:rFonts w:ascii="Calibri" w:cs="Calibri" w:eastAsia="Calibri" w:hAnsi="Calibri"/>
        </w:rPr>
        <w:t xml:space="preserve">Assigned encounter: Head-on   |   Scenarios: COLREG-COLREG, Blind-Blind</w:t>
      </w:r>
    </w:p>
    <w:p>
      <w:pPr>
        <w:jc w:val="center"/>
      </w:pPr>
      <w:r>
        <w:rPr>
          <w:i/>
          <w:iCs/>
          <w:sz w:val="22"/>
          <w:szCs w:val="22"/>
          <w:rFonts w:ascii="Calibri" w:cs="Calibri" w:eastAsia="Calibri" w:hAnsi="Calibri"/>
        </w:rPr>
        <w:t xml:space="preserve">MSc in Naval Architecture and Ocean Engineering, 2026-2027</w:t>
      </w:r>
    </w:p>
    <w:p>
      <w:r>
        <w:br w:type="page"/>
      </w:r>
    </w:p>
    <w:p>
      <w:pPr>
        <w:pStyle w:val="Heading1"/>
        <w:spacing w:before="300" w:after="150"/>
      </w:pPr>
      <w:r>
        <w:t xml:space="preserve">1. Introduction and Scope</w:t>
      </w:r>
    </w:p>
    <w:p>
      <w:pPr>
        <w:spacing w:after="160"/>
        <w:jc w:val="both"/>
      </w:pPr>
      <w:r>
        <w:rPr>
          <w:b w:val="false"/>
          <w:bCs w:val="false"/>
          <w:i w:val="false"/>
          <w:iCs w:val="false"/>
          <w:sz w:val="22"/>
          <w:szCs w:val="22"/>
          <w:rFonts w:ascii="Calibri" w:cs="Calibri" w:eastAsia="Calibri" w:hAnsi="Calibri"/>
        </w:rPr>
        <w:t xml:space="preserve">This report documents Tasks 1 to 4 of the Modelling and Safety of Maritime Traffic (MSMD) assignment, for Project 9. Per the project data table (Section 2.1 of the assignment description), the vessels assigned are Vessel 1 = KCS and Vessel 2 = KVLCC2, the assigned encounter type is head-on, and the two scenarios assessed are COLREG-COLREG and Blind-Blind.</w:t>
      </w:r>
    </w:p>
    <w:p>
      <w:pPr>
        <w:spacing w:after="160"/>
        <w:jc w:val="both"/>
      </w:pPr>
      <w:r>
        <w:rPr>
          <w:b w:val="false"/>
          <w:bCs w:val="false"/>
          <w:i w:val="false"/>
          <w:iCs w:val="false"/>
          <w:sz w:val="22"/>
          <w:szCs w:val="22"/>
          <w:rFonts w:ascii="Calibri" w:cs="Calibri" w:eastAsia="Calibri" w:hAnsi="Calibri"/>
        </w:rPr>
        <w:t xml:space="preserve">All simulations use the first-order Nomoto manoeuvring model exclusively (MMG was not implemented; solo submissions are understood to permit a single manoeuvring model — confirm this in writing with course staff before final submission). All figures, tables and numeric results in this report are generated directly from the accompanying Python scripts' output files (outputs/*.json), not transcribed by hand, so re-running the pipeline with different inputs will automatically update this document when regenerated.</w:t>
      </w:r>
    </w:p>
    <w:p>
      <w:r>
        <w:br w:type="page"/>
      </w:r>
    </w:p>
    <w:p>
      <w:pPr>
        <w:pStyle w:val="Heading1"/>
        <w:spacing w:before="300" w:after="150"/>
      </w:pPr>
      <w:r>
        <w:t xml:space="preserve">2. Task 1 — Turning Manoeuvre Simulation (KCS)</w:t>
      </w:r>
    </w:p>
    <w:p>
      <w:pPr>
        <w:pStyle w:val="Heading2"/>
        <w:spacing w:before="240" w:after="120"/>
      </w:pPr>
      <w:r>
        <w:t xml:space="preserve">2.1 Methodology</w:t>
      </w:r>
    </w:p>
    <w:p>
      <w:pPr>
        <w:spacing w:after="160"/>
        <w:jc w:val="both"/>
      </w:pPr>
      <w:r>
        <w:rPr>
          <w:b w:val="false"/>
          <w:bCs w:val="false"/>
          <w:i w:val="false"/>
          <w:iCs w:val="false"/>
          <w:sz w:val="22"/>
          <w:szCs w:val="22"/>
          <w:rFonts w:ascii="Calibri" w:cs="Calibri" w:eastAsia="Calibri" w:hAnsi="Calibri"/>
        </w:rPr>
        <w:t xml:space="preserve">The turning manoeuvre of Vessel 1 (KCS) was simulated using the first-order Nomoto equation, in the formulation used by Lotovskyi &amp; Teixeira (2023):</w:t>
      </w:r>
    </w:p>
    <w:p>
      <w:pPr>
        <w:spacing w:before="80" w:after="160"/>
        <w:jc w:val="center"/>
      </w:pPr>
      <w:r>
        <w:rPr>
          <w:i/>
          <w:iCs/>
          <w:sz w:val="24"/>
          <w:szCs w:val="24"/>
          <w:rFonts w:ascii="Cambria Math" w:cs="Cambria Math" w:eastAsia="Cambria Math" w:hAnsi="Cambria Math"/>
        </w:rPr>
        <w:t xml:space="preserve">T · ṙ + r = K · δ</w:t>
      </w:r>
    </w:p>
    <w:p>
      <w:pPr>
        <w:spacing w:after="160"/>
        <w:jc w:val="both"/>
      </w:pPr>
      <w:r>
        <w:rPr>
          <w:b w:val="false"/>
          <w:bCs w:val="false"/>
          <w:i w:val="false"/>
          <w:iCs w:val="false"/>
          <w:sz w:val="22"/>
          <w:szCs w:val="22"/>
          <w:rFonts w:ascii="Calibri" w:cs="Calibri" w:eastAsia="Calibri" w:hAnsi="Calibri"/>
        </w:rPr>
        <w:t xml:space="preserve">The rudder ramps from 0° to its target at the fixed execution rate of 2.33°/s (assignment Section 2.2), then holds. The turning circle runs to 720° total heading change. Position uses course-over-ground (COG = ψ − β):</w:t>
      </w:r>
    </w:p>
    <w:p>
      <w:pPr>
        <w:spacing w:before="80" w:after="160"/>
        <w:jc w:val="center"/>
      </w:pPr>
      <w:r>
        <w:rPr>
          <w:i/>
          <w:iCs/>
          <w:sz w:val="24"/>
          <w:szCs w:val="24"/>
          <w:rFonts w:ascii="Cambria Math" w:cs="Cambria Math" w:eastAsia="Cambria Math" w:hAnsi="Cambria Math"/>
        </w:rPr>
        <w:t xml:space="preserve">x ← x + V·Δt·sin(COG),      y ← y + V·Δt·cos(COG)</w:t>
      </w:r>
    </w:p>
    <w:p>
      <w:pPr>
        <w:spacing w:after="160"/>
        <w:jc w:val="both"/>
      </w:pPr>
      <w:r>
        <w:rPr>
          <w:b w:val="false"/>
          <w:bCs w:val="false"/>
          <w:i w:val="false"/>
          <w:iCs w:val="false"/>
          <w:sz w:val="22"/>
          <w:szCs w:val="22"/>
          <w:rFonts w:ascii="Calibri" w:cs="Calibri" w:eastAsia="Calibri" w:hAnsi="Calibri"/>
        </w:rPr>
        <w:t xml:space="preserve">K, drift angle and speed reduction follow Lotovskyi &amp; Teixeira (2023) Eqs. 8-16:</w:t>
      </w:r>
    </w:p>
    <w:p>
      <w:pPr>
        <w:spacing w:before="80" w:after="160"/>
        <w:jc w:val="center"/>
      </w:pPr>
      <w:r>
        <w:rPr>
          <w:i/>
          <w:iCs/>
          <w:sz w:val="24"/>
          <w:szCs w:val="24"/>
          <w:rFonts w:ascii="Cambria Math" w:cs="Cambria Math" w:eastAsia="Cambria Math" w:hAnsi="Cambria Math"/>
        </w:rPr>
        <w:t xml:space="preserve">K = V_STD(35°) / (δ_R · R),   R = 2·Lpp   (SNAME, 1989)</w:t>
      </w:r>
    </w:p>
    <w:p>
      <w:pPr>
        <w:pStyle w:val="Heading3"/>
        <w:spacing w:before="200" w:after="100"/>
      </w:pPr>
      <w:r>
        <w:t xml:space="preserve">2.1.1 Correcting the Nomoto time constant T</w:t>
      </w:r>
    </w:p>
    <w:p>
      <w:pPr>
        <w:spacing w:after="160"/>
        <w:jc w:val="both"/>
      </w:pPr>
      <w:r>
        <w:rPr>
          <w:b w:val="false"/>
          <w:bCs w:val="false"/>
          <w:i w:val="false"/>
          <w:iCs w:val="false"/>
          <w:sz w:val="22"/>
          <w:szCs w:val="22"/>
          <w:rFonts w:ascii="Calibri" w:cs="Calibri" w:eastAsia="Calibri" w:hAnsi="Calibri"/>
        </w:rPr>
        <w:t xml:space="preserve">Earlier drafts of this work used a shared placeholder T = 100 s for both vessels (the most-likely value of Lotovskyi &amp; Teixeira (2023)'s own Tri(70,100,130) s, drawn for their 330 m case-study ship). The paper attributes this distribution to Silveira et al. (2016) ("Probabilistic modelling of evasive manoeuvring actions to avoid collisions", MARTECH 2016 conference proceedings) — a paywalled conference chapter not available in this project's reference set.</w:t>
      </w:r>
    </w:p>
    <w:p>
      <w:pPr>
        <w:spacing w:after="160"/>
        <w:jc w:val="both"/>
      </w:pPr>
      <w:r>
        <w:rPr>
          <w:b w:val="false"/>
          <w:bCs w:val="false"/>
          <w:i w:val="false"/>
          <w:iCs w:val="false"/>
          <w:sz w:val="22"/>
          <w:szCs w:val="22"/>
          <w:rFonts w:ascii="Calibri" w:cs="Calibri" w:eastAsia="Calibri" w:hAnsi="Calibri"/>
        </w:rPr>
        <w:t xml:space="preserve">Instead, T is derived here from the standard ship-manoeuvring non-dimensionalisation T' = T·V/L, which is approximately constant across similar ship types. Using the ONE real data point available — the reference paper's own worked example (Lpp=330 m, V0=15 kn, T=100 s) — gives T' = 2.3384. Applying this to each vessel's own length and speed gives a distinct, physically grounded T for each ship instead of one shared number: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500"/>
      </w:tblGrid>
      <w:tr>
        <w:trPr>
          <w:tblHeader/>
        </w:trPr>
        <w:tc>
          <w:tcPr>
            <w:tcW w:type="dxa" w:w="3000"/>
            <w:shd w:fill="DDEBF7" w:val="clear"/>
            <w:vAlign w:val="center"/>
          </w:tcPr>
          <w:p>
            <w:pPr>
              <w:jc w:val="left"/>
            </w:pPr>
            <w:r>
              <w:rPr>
                <w:b/>
                <w:bCs/>
                <w:sz w:val="20"/>
                <w:szCs w:val="20"/>
                <w:rFonts w:ascii="Calibri" w:cs="Calibri" w:eastAsia="Calibri" w:hAnsi="Calibri"/>
              </w:rPr>
              <w:t xml:space="preserve">Vessel</w:t>
            </w:r>
          </w:p>
        </w:tc>
        <w:tc>
          <w:tcPr>
            <w:tcW w:type="dxa" w:w="2000"/>
            <w:shd w:fill="DDEBF7" w:val="clear"/>
            <w:vAlign w:val="center"/>
          </w:tcPr>
          <w:p>
            <w:pPr>
              <w:jc w:val="left"/>
            </w:pPr>
            <w:r>
              <w:rPr>
                <w:b/>
                <w:bCs/>
                <w:sz w:val="20"/>
                <w:szCs w:val="20"/>
                <w:rFonts w:ascii="Calibri" w:cs="Calibri" w:eastAsia="Calibri" w:hAnsi="Calibri"/>
              </w:rPr>
              <w:t xml:space="preserve">Lpp (m)</w:t>
            </w:r>
          </w:p>
        </w:tc>
        <w:tc>
          <w:tcPr>
            <w:tcW w:type="dxa" w:w="2000"/>
            <w:shd w:fill="DDEBF7" w:val="clear"/>
            <w:vAlign w:val="center"/>
          </w:tcPr>
          <w:p>
            <w:pPr>
              <w:jc w:val="left"/>
            </w:pPr>
            <w:r>
              <w:rPr>
                <w:b/>
                <w:bCs/>
                <w:sz w:val="20"/>
                <w:szCs w:val="20"/>
                <w:rFonts w:ascii="Calibri" w:cs="Calibri" w:eastAsia="Calibri" w:hAnsi="Calibri"/>
              </w:rPr>
              <w:t xml:space="preserve">V0 (kn)</w:t>
            </w:r>
          </w:p>
        </w:tc>
        <w:tc>
          <w:tcPr>
            <w:tcW w:type="dxa" w:w="2500"/>
            <w:shd w:fill="DDEBF7" w:val="clear"/>
            <w:vAlign w:val="center"/>
          </w:tcPr>
          <w:p>
            <w:pPr>
              <w:jc w:val="left"/>
            </w:pPr>
            <w:r>
              <w:rPr>
                <w:b/>
                <w:bCs/>
                <w:sz w:val="20"/>
                <w:szCs w:val="20"/>
                <w:rFonts w:ascii="Calibri" w:cs="Calibri" w:eastAsia="Calibri" w:hAnsi="Calibri"/>
              </w:rPr>
              <w:t xml:space="preserve">T (s), corrected</w:t>
            </w:r>
          </w:p>
        </w:tc>
      </w:tr>
      <w:tr>
        <w:tc>
          <w:tcPr>
            <w:tcW w:type="dxa" w:w="3000"/>
            <w:vAlign w:val="center"/>
          </w:tcPr>
          <w:p>
            <w:pPr>
              <w:jc w:val="left"/>
            </w:pPr>
            <w:r>
              <w:rPr>
                <w:b w:val="false"/>
                <w:bCs w:val="false"/>
                <w:sz w:val="20"/>
                <w:szCs w:val="20"/>
                <w:rFonts w:ascii="Calibri" w:cs="Calibri" w:eastAsia="Calibri" w:hAnsi="Calibri"/>
              </w:rPr>
              <w:t xml:space="preserve">KCS</w:t>
            </w:r>
          </w:p>
        </w:tc>
        <w:tc>
          <w:tcPr>
            <w:tcW w:type="dxa" w:w="2000"/>
            <w:vAlign w:val="center"/>
          </w:tcPr>
          <w:p>
            <w:pPr>
              <w:jc w:val="left"/>
            </w:pPr>
            <w:r>
              <w:rPr>
                <w:b w:val="false"/>
                <w:bCs w:val="false"/>
                <w:sz w:val="20"/>
                <w:szCs w:val="20"/>
                <w:rFonts w:ascii="Calibri" w:cs="Calibri" w:eastAsia="Calibri" w:hAnsi="Calibri"/>
              </w:rPr>
              <w:t xml:space="preserve">230</w:t>
            </w:r>
          </w:p>
        </w:tc>
        <w:tc>
          <w:tcPr>
            <w:tcW w:type="dxa" w:w="2000"/>
            <w:vAlign w:val="center"/>
          </w:tcPr>
          <w:p>
            <w:pPr>
              <w:jc w:val="left"/>
            </w:pPr>
            <w:r>
              <w:rPr>
                <w:b w:val="false"/>
                <w:bCs w:val="false"/>
                <w:sz w:val="20"/>
                <w:szCs w:val="20"/>
                <w:rFonts w:ascii="Calibri" w:cs="Calibri" w:eastAsia="Calibri" w:hAnsi="Calibri"/>
              </w:rPr>
              <w:t xml:space="preserve">24.0</w:t>
            </w:r>
          </w:p>
        </w:tc>
        <w:tc>
          <w:tcPr>
            <w:tcW w:type="dxa" w:w="2500"/>
            <w:vAlign w:val="center"/>
          </w:tcPr>
          <w:p>
            <w:pPr>
              <w:jc w:val="left"/>
            </w:pPr>
            <w:r>
              <w:rPr>
                <w:b w:val="false"/>
                <w:bCs w:val="false"/>
                <w:sz w:val="20"/>
                <w:szCs w:val="20"/>
                <w:rFonts w:ascii="Calibri" w:cs="Calibri" w:eastAsia="Calibri" w:hAnsi="Calibri"/>
              </w:rPr>
              <w:t xml:space="preserve">43.6</w:t>
            </w:r>
          </w:p>
        </w:tc>
      </w:tr>
      <w:tr>
        <w:tc>
          <w:tcPr>
            <w:tcW w:type="dxa" w:w="3000"/>
            <w:vAlign w:val="center"/>
          </w:tcPr>
          <w:p>
            <w:pPr>
              <w:jc w:val="left"/>
            </w:pPr>
            <w:r>
              <w:rPr>
                <w:b w:val="false"/>
                <w:bCs w:val="false"/>
                <w:sz w:val="20"/>
                <w:szCs w:val="20"/>
                <w:rFonts w:ascii="Calibri" w:cs="Calibri" w:eastAsia="Calibri" w:hAnsi="Calibri"/>
              </w:rPr>
              <w:t xml:space="preserve">KVLCC2</w:t>
            </w:r>
          </w:p>
        </w:tc>
        <w:tc>
          <w:tcPr>
            <w:tcW w:type="dxa" w:w="2000"/>
            <w:vAlign w:val="center"/>
          </w:tcPr>
          <w:p>
            <w:pPr>
              <w:jc w:val="left"/>
            </w:pPr>
            <w:r>
              <w:rPr>
                <w:b w:val="false"/>
                <w:bCs w:val="false"/>
                <w:sz w:val="20"/>
                <w:szCs w:val="20"/>
                <w:rFonts w:ascii="Calibri" w:cs="Calibri" w:eastAsia="Calibri" w:hAnsi="Calibri"/>
              </w:rPr>
              <w:t xml:space="preserve">320</w:t>
            </w:r>
          </w:p>
        </w:tc>
        <w:tc>
          <w:tcPr>
            <w:tcW w:type="dxa" w:w="2000"/>
            <w:vAlign w:val="center"/>
          </w:tcPr>
          <w:p>
            <w:pPr>
              <w:jc w:val="left"/>
            </w:pPr>
            <w:r>
              <w:rPr>
                <w:b w:val="false"/>
                <w:bCs w:val="false"/>
                <w:sz w:val="20"/>
                <w:szCs w:val="20"/>
                <w:rFonts w:ascii="Calibri" w:cs="Calibri" w:eastAsia="Calibri" w:hAnsi="Calibri"/>
              </w:rPr>
              <w:t xml:space="preserve">15.5</w:t>
            </w:r>
          </w:p>
        </w:tc>
        <w:tc>
          <w:tcPr>
            <w:tcW w:type="dxa" w:w="2500"/>
            <w:vAlign w:val="center"/>
          </w:tcPr>
          <w:p>
            <w:pPr>
              <w:jc w:val="left"/>
            </w:pPr>
            <w:r>
              <w:rPr>
                <w:b w:val="false"/>
                <w:bCs w:val="false"/>
                <w:sz w:val="20"/>
                <w:szCs w:val="20"/>
                <w:rFonts w:ascii="Calibri" w:cs="Calibri" w:eastAsia="Calibri" w:hAnsi="Calibri"/>
              </w:rPr>
              <w:t xml:space="preserve">93.8</w:t>
            </w:r>
          </w:p>
        </w:tc>
      </w:tr>
    </w:tbl>
    <w:p>
      <w:pPr>
        <w:spacing w:after="160"/>
        <w:jc w:val="both"/>
      </w:pPr>
      <w:r>
        <w:rPr>
          <w:b w:val="false"/>
          <w:bCs w:val="false"/>
          <w:i/>
          <w:iCs/>
          <w:sz w:val="22"/>
          <w:szCs w:val="22"/>
          <w:rFonts w:ascii="Calibri" w:cs="Calibri" w:eastAsia="Calibri" w:hAnsi="Calibri"/>
        </w:rPr>
        <w:t xml:space="preserve">This is a standard, defensible naval-architecture scaling approach given the primary source is unavailable; it should be replaced with the real Silveira et al. (2016) table if it becomes available.</w:t>
      </w:r>
    </w:p>
    <w:p>
      <w:pPr>
        <w:pStyle w:val="Heading3"/>
        <w:spacing w:before="200" w:after="100"/>
      </w:pPr>
      <w:r>
        <w:t xml:space="preserve">2.1.2 Other values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DDEBF7" w:val="clear"/>
            <w:vAlign w:val="center"/>
          </w:tcPr>
          <w:p>
            <w:pPr>
              <w:jc w:val="left"/>
            </w:pPr>
            <w:r>
              <w:rPr>
                <w:b/>
                <w:bCs/>
                <w:sz w:val="20"/>
                <w:szCs w:val="20"/>
                <w:rFonts w:ascii="Calibri" w:cs="Calibri" w:eastAsia="Calibri" w:hAnsi="Calibri"/>
              </w:rPr>
              <w:t xml:space="preserve">Parameter</w:t>
            </w:r>
          </w:p>
        </w:tc>
        <w:tc>
          <w:tcPr>
            <w:tcW w:type="dxa" w:w="3200"/>
            <w:shd w:fill="DDEBF7" w:val="clear"/>
            <w:vAlign w:val="center"/>
          </w:tcPr>
          <w:p>
            <w:pPr>
              <w:jc w:val="left"/>
            </w:pPr>
            <w:r>
              <w:rPr>
                <w:b/>
                <w:bCs/>
                <w:sz w:val="20"/>
                <w:szCs w:val="20"/>
                <w:rFonts w:ascii="Calibri" w:cs="Calibri" w:eastAsia="Calibri" w:hAnsi="Calibri"/>
              </w:rPr>
              <w:t xml:space="preserve">Value</w:t>
            </w:r>
          </w:p>
        </w:tc>
        <w:tc>
          <w:tcPr>
            <w:tcW w:type="dxa" w:w="3100"/>
            <w:shd w:fill="DDEBF7" w:val="clear"/>
            <w:vAlign w:val="center"/>
          </w:tcPr>
          <w:p>
            <w:pPr>
              <w:jc w:val="left"/>
            </w:pPr>
            <w:r>
              <w:rPr>
                <w:b/>
                <w:bCs/>
                <w:sz w:val="20"/>
                <w:szCs w:val="20"/>
                <w:rFonts w:ascii="Calibri" w:cs="Calibri" w:eastAsia="Calibri" w:hAnsi="Calibri"/>
              </w:rPr>
              <w:t xml:space="preserve">Source</w:t>
            </w:r>
          </w:p>
        </w:tc>
      </w:tr>
      <w:tr>
        <w:tc>
          <w:tcPr>
            <w:tcW w:type="dxa" w:w="3200"/>
            <w:vAlign w:val="center"/>
          </w:tcPr>
          <w:p>
            <w:pPr>
              <w:jc w:val="left"/>
            </w:pPr>
            <w:r>
              <w:rPr>
                <w:b w:val="false"/>
                <w:bCs w:val="false"/>
                <w:sz w:val="20"/>
                <w:szCs w:val="20"/>
                <w:rFonts w:ascii="Calibri" w:cs="Calibri" w:eastAsia="Calibri" w:hAnsi="Calibri"/>
              </w:rPr>
              <w:t xml:space="preserve">Lpp, B, V0</w:t>
            </w:r>
          </w:p>
        </w:tc>
        <w:tc>
          <w:tcPr>
            <w:tcW w:type="dxa" w:w="3200"/>
            <w:vAlign w:val="center"/>
          </w:tcPr>
          <w:p>
            <w:pPr>
              <w:jc w:val="left"/>
            </w:pPr>
            <w:r>
              <w:rPr>
                <w:b w:val="false"/>
                <w:bCs w:val="false"/>
                <w:sz w:val="20"/>
                <w:szCs w:val="20"/>
                <w:rFonts w:ascii="Calibri" w:cs="Calibri" w:eastAsia="Calibri" w:hAnsi="Calibri"/>
              </w:rPr>
              <w:t xml:space="preserve">230 m, 32.2 m, 24.0 kn</w:t>
            </w:r>
          </w:p>
        </w:tc>
        <w:tc>
          <w:tcPr>
            <w:tcW w:type="dxa" w:w="3100"/>
            <w:vAlign w:val="center"/>
          </w:tcPr>
          <w:p>
            <w:pPr>
              <w:jc w:val="left"/>
            </w:pPr>
            <w:r>
              <w:rPr>
                <w:b w:val="false"/>
                <w:bCs w:val="false"/>
                <w:sz w:val="20"/>
                <w:szCs w:val="20"/>
                <w:rFonts w:ascii="Calibri" w:cs="Calibri" w:eastAsia="Calibri" w:hAnsi="Calibri"/>
              </w:rPr>
              <w:t xml:space="preserve">Assignment Table 3 (KCS)</w:t>
            </w:r>
          </w:p>
        </w:tc>
      </w:tr>
      <w:tr>
        <w:tc>
          <w:tcPr>
            <w:tcW w:type="dxa" w:w="3200"/>
            <w:vAlign w:val="center"/>
          </w:tcPr>
          <w:p>
            <w:pPr>
              <w:jc w:val="left"/>
            </w:pPr>
            <w:r>
              <w:rPr>
                <w:b w:val="false"/>
                <w:bCs w:val="false"/>
                <w:sz w:val="20"/>
                <w:szCs w:val="20"/>
                <w:rFonts w:ascii="Calibri" w:cs="Calibri" w:eastAsia="Calibri" w:hAnsi="Calibri"/>
              </w:rPr>
              <w:t xml:space="preserve">Rudder max, rate</w:t>
            </w:r>
          </w:p>
        </w:tc>
        <w:tc>
          <w:tcPr>
            <w:tcW w:type="dxa" w:w="3200"/>
            <w:vAlign w:val="center"/>
          </w:tcPr>
          <w:p>
            <w:pPr>
              <w:jc w:val="left"/>
            </w:pPr>
            <w:r>
              <w:rPr>
                <w:b w:val="false"/>
                <w:bCs w:val="false"/>
                <w:sz w:val="20"/>
                <w:szCs w:val="20"/>
                <w:rFonts w:ascii="Calibri" w:cs="Calibri" w:eastAsia="Calibri" w:hAnsi="Calibri"/>
              </w:rPr>
              <w:t xml:space="preserve">35°, 2.33°/s</w:t>
            </w:r>
          </w:p>
        </w:tc>
        <w:tc>
          <w:tcPr>
            <w:tcW w:type="dxa" w:w="3100"/>
            <w:vAlign w:val="center"/>
          </w:tcPr>
          <w:p>
            <w:pPr>
              <w:jc w:val="left"/>
            </w:pPr>
            <w:r>
              <w:rPr>
                <w:b w:val="false"/>
                <w:bCs w:val="false"/>
                <w:sz w:val="20"/>
                <w:szCs w:val="20"/>
                <w:rFonts w:ascii="Calibri" w:cs="Calibri" w:eastAsia="Calibri" w:hAnsi="Calibri"/>
              </w:rPr>
              <w:t xml:space="preserve">Assignment Section 2.2</w:t>
            </w:r>
          </w:p>
        </w:tc>
      </w:tr>
      <w:tr>
        <w:tc>
          <w:tcPr>
            <w:tcW w:type="dxa" w:w="3200"/>
            <w:vAlign w:val="center"/>
          </w:tcPr>
          <w:p>
            <w:pPr>
              <w:jc w:val="left"/>
            </w:pPr>
            <w:r>
              <w:rPr>
                <w:b w:val="false"/>
                <w:bCs w:val="false"/>
                <w:sz w:val="20"/>
                <w:szCs w:val="20"/>
                <w:rFonts w:ascii="Calibri" w:cs="Calibri" w:eastAsia="Calibri" w:hAnsi="Calibri"/>
              </w:rPr>
              <w:t xml:space="preserve">Turn direction</w:t>
            </w:r>
          </w:p>
        </w:tc>
        <w:tc>
          <w:tcPr>
            <w:tcW w:type="dxa" w:w="3200"/>
            <w:vAlign w:val="center"/>
          </w:tcPr>
          <w:p>
            <w:pPr>
              <w:jc w:val="left"/>
            </w:pPr>
            <w:r>
              <w:rPr>
                <w:b w:val="false"/>
                <w:bCs w:val="false"/>
                <w:sz w:val="20"/>
                <w:szCs w:val="20"/>
                <w:rFonts w:ascii="Calibri" w:cs="Calibri" w:eastAsia="Calibri" w:hAnsi="Calibri"/>
              </w:rPr>
              <w:t xml:space="preserve">Port</w:t>
            </w:r>
          </w:p>
        </w:tc>
        <w:tc>
          <w:tcPr>
            <w:tcW w:type="dxa" w:w="3100"/>
            <w:vAlign w:val="center"/>
          </w:tcPr>
          <w:p>
            <w:pPr>
              <w:jc w:val="left"/>
            </w:pPr>
            <w:r>
              <w:rPr>
                <w:b w:val="false"/>
                <w:bCs w:val="false"/>
                <w:sz w:val="20"/>
                <w:szCs w:val="20"/>
                <w:rFonts w:ascii="Calibri" w:cs="Calibri" w:eastAsia="Calibri" w:hAnsi="Calibri"/>
              </w:rPr>
              <w:t xml:space="preserve">Assignment Section 2.2</w:t>
            </w:r>
          </w:p>
        </w:tc>
      </w:tr>
      <w:tr>
        <w:tc>
          <w:tcPr>
            <w:tcW w:type="dxa" w:w="3200"/>
            <w:vAlign w:val="center"/>
          </w:tcPr>
          <w:p>
            <w:pPr>
              <w:jc w:val="left"/>
            </w:pPr>
            <w:r>
              <w:rPr>
                <w:b w:val="false"/>
                <w:bCs w:val="false"/>
                <w:sz w:val="20"/>
                <w:szCs w:val="20"/>
                <w:rFonts w:ascii="Calibri" w:cs="Calibri" w:eastAsia="Calibri" w:hAnsi="Calibri"/>
              </w:rPr>
              <w:t xml:space="preserve">R (steady radius)</w:t>
            </w:r>
          </w:p>
        </w:tc>
        <w:tc>
          <w:tcPr>
            <w:tcW w:type="dxa" w:w="3200"/>
            <w:vAlign w:val="center"/>
          </w:tcPr>
          <w:p>
            <w:pPr>
              <w:jc w:val="left"/>
            </w:pPr>
            <w:r>
              <w:rPr>
                <w:b w:val="false"/>
                <w:bCs w:val="false"/>
                <w:sz w:val="20"/>
                <w:szCs w:val="20"/>
                <w:rFonts w:ascii="Calibri" w:cs="Calibri" w:eastAsia="Calibri" w:hAnsi="Calibri"/>
              </w:rPr>
              <w:t xml:space="preserve">2·Lpp = 460 m</w:t>
            </w:r>
          </w:p>
        </w:tc>
        <w:tc>
          <w:tcPr>
            <w:tcW w:type="dxa" w:w="3100"/>
            <w:vAlign w:val="center"/>
          </w:tcPr>
          <w:p>
            <w:pPr>
              <w:jc w:val="left"/>
            </w:pPr>
            <w:r>
              <w:rPr>
                <w:b w:val="false"/>
                <w:bCs w:val="false"/>
                <w:sz w:val="20"/>
                <w:szCs w:val="20"/>
                <w:rFonts w:ascii="Calibri" w:cs="Calibri" w:eastAsia="Calibri" w:hAnsi="Calibri"/>
              </w:rPr>
              <w:t xml:space="preserve">SNAME (1989)</w:t>
            </w:r>
          </w:p>
        </w:tc>
      </w:tr>
      <w:tr>
        <w:tc>
          <w:tcPr>
            <w:tcW w:type="dxa" w:w="3200"/>
            <w:vAlign w:val="center"/>
          </w:tcPr>
          <w:p>
            <w:pPr>
              <w:jc w:val="left"/>
            </w:pPr>
            <w:r>
              <w:rPr>
                <w:b w:val="false"/>
                <w:bCs w:val="false"/>
                <w:sz w:val="20"/>
                <w:szCs w:val="20"/>
                <w:rFonts w:ascii="Calibri" w:cs="Calibri" w:eastAsia="Calibri" w:hAnsi="Calibri"/>
              </w:rPr>
              <w:t xml:space="preserve">V_ST/V0</w:t>
            </w:r>
          </w:p>
        </w:tc>
        <w:tc>
          <w:tcPr>
            <w:tcW w:type="dxa" w:w="3200"/>
            <w:vAlign w:val="center"/>
          </w:tcPr>
          <w:p>
            <w:pPr>
              <w:jc w:val="left"/>
            </w:pPr>
            <w:r>
              <w:rPr>
                <w:b w:val="false"/>
                <w:bCs w:val="false"/>
                <w:sz w:val="20"/>
                <w:szCs w:val="20"/>
                <w:rFonts w:ascii="Calibri" w:cs="Calibri" w:eastAsia="Calibri" w:hAnsi="Calibri"/>
              </w:rPr>
              <w:t xml:space="preserve">0.65 (midpoint of U(0.6,0.7))</w:t>
            </w:r>
          </w:p>
        </w:tc>
        <w:tc>
          <w:tcPr>
            <w:tcW w:type="dxa" w:w="3100"/>
            <w:vAlign w:val="center"/>
          </w:tcPr>
          <w:p>
            <w:pPr>
              <w:jc w:val="left"/>
            </w:pPr>
            <w:r>
              <w:rPr>
                <w:b w:val="false"/>
                <w:bCs w:val="false"/>
                <w:sz w:val="20"/>
                <w:szCs w:val="20"/>
                <w:rFonts w:ascii="Calibri" w:cs="Calibri" w:eastAsia="Calibri" w:hAnsi="Calibri"/>
              </w:rPr>
              <w:t xml:space="preserve">Lotovskyi &amp; Teixeira (2023) Eq. 9</w:t>
            </w:r>
          </w:p>
        </w:tc>
      </w:tr>
      <w:tr>
        <w:tc>
          <w:tcPr>
            <w:tcW w:type="dxa" w:w="3200"/>
            <w:vAlign w:val="center"/>
          </w:tcPr>
          <w:p>
            <w:pPr>
              <w:jc w:val="left"/>
            </w:pPr>
            <w:r>
              <w:rPr>
                <w:b w:val="false"/>
                <w:bCs w:val="false"/>
                <w:sz w:val="20"/>
                <w:szCs w:val="20"/>
                <w:rFonts w:ascii="Calibri" w:cs="Calibri" w:eastAsia="Calibri" w:hAnsi="Calibri"/>
              </w:rPr>
              <w:t xml:space="preserve">β_ST</w:t>
            </w:r>
          </w:p>
        </w:tc>
        <w:tc>
          <w:tcPr>
            <w:tcW w:type="dxa" w:w="3200"/>
            <w:vAlign w:val="center"/>
          </w:tcPr>
          <w:p>
            <w:pPr>
              <w:jc w:val="left"/>
            </w:pPr>
            <w:r>
              <w:rPr>
                <w:b w:val="false"/>
                <w:bCs w:val="false"/>
                <w:sz w:val="20"/>
                <w:szCs w:val="20"/>
                <w:rFonts w:ascii="Calibri" w:cs="Calibri" w:eastAsia="Calibri" w:hAnsi="Calibri"/>
              </w:rPr>
              <w:t xml:space="preserve">10.85°</w:t>
            </w:r>
          </w:p>
        </w:tc>
        <w:tc>
          <w:tcPr>
            <w:tcW w:type="dxa" w:w="3100"/>
            <w:vAlign w:val="center"/>
          </w:tcPr>
          <w:p>
            <w:pPr>
              <w:jc w:val="left"/>
            </w:pPr>
            <w:r>
              <w:rPr>
                <w:b w:val="false"/>
                <w:bCs w:val="false"/>
                <w:sz w:val="20"/>
                <w:szCs w:val="20"/>
                <w:rFonts w:ascii="Calibri" w:cs="Calibri" w:eastAsia="Calibri" w:hAnsi="Calibri"/>
              </w:rPr>
              <w:t xml:space="preserve">Lotovskyi &amp; Teixeira (2023), eq. following Eq. 9</w:t>
            </w:r>
          </w:p>
        </w:tc>
      </w:tr>
    </w:tbl>
    <w:p>
      <w:pPr>
        <w:pStyle w:val="Heading2"/>
        <w:spacing w:before="240" w:after="120"/>
      </w:pPr>
      <w:r>
        <w:t xml:space="preserve">2.2 Results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500"/>
        <w:gridCol w:w="4000"/>
      </w:tblGrid>
      <w:tr>
        <w:trPr>
          <w:tblHeader/>
        </w:trPr>
        <w:tc>
          <w:tcPr>
            <w:tcW w:type="dxa" w:w="4500"/>
            <w:shd w:fill="DDEBF7" w:val="clear"/>
            <w:vAlign w:val="center"/>
          </w:tcPr>
          <w:p>
            <w:pPr>
              <w:jc w:val="left"/>
            </w:pPr>
            <w:r>
              <w:rPr>
                <w:b/>
                <w:bCs/>
                <w:sz w:val="20"/>
                <w:szCs w:val="20"/>
                <w:rFonts w:ascii="Calibri" w:cs="Calibri" w:eastAsia="Calibri" w:hAnsi="Calibri"/>
              </w:rPr>
              <w:t xml:space="preserve">Parameter</w:t>
            </w:r>
          </w:p>
        </w:tc>
        <w:tc>
          <w:tcPr>
            <w:tcW w:type="dxa" w:w="4000"/>
            <w:shd w:fill="DDEBF7" w:val="clear"/>
            <w:vAlign w:val="center"/>
          </w:tcPr>
          <w:p>
            <w:pPr>
              <w:jc w:val="left"/>
            </w:pPr>
            <w:r>
              <w:rPr>
                <w:b/>
                <w:bCs/>
                <w:sz w:val="20"/>
                <w:szCs w:val="20"/>
                <w:rFonts w:ascii="Calibri" w:cs="Calibri" w:eastAsia="Calibri" w:hAnsi="Calibri"/>
              </w:rPr>
              <w:t xml:space="preserve">Value</w:t>
            </w:r>
          </w:p>
        </w:tc>
      </w:tr>
      <w:tr>
        <w:tc>
          <w:tcPr>
            <w:tcW w:type="dxa" w:w="4500"/>
            <w:vAlign w:val="center"/>
          </w:tcPr>
          <w:p>
            <w:pPr>
              <w:jc w:val="left"/>
            </w:pPr>
            <w:r>
              <w:rPr>
                <w:b w:val="false"/>
                <w:bCs w:val="false"/>
                <w:sz w:val="20"/>
                <w:szCs w:val="20"/>
                <w:rFonts w:ascii="Calibri" w:cs="Calibri" w:eastAsia="Calibri" w:hAnsi="Calibri"/>
              </w:rPr>
              <w:t xml:space="preserve">Time to 90° heading change</w:t>
            </w:r>
          </w:p>
        </w:tc>
        <w:tc>
          <w:tcPr>
            <w:tcW w:type="dxa" w:w="4000"/>
            <w:vAlign w:val="center"/>
          </w:tcPr>
          <w:p>
            <w:pPr>
              <w:jc w:val="left"/>
            </w:pPr>
            <w:r>
              <w:rPr>
                <w:b w:val="false"/>
                <w:bCs w:val="false"/>
                <w:sz w:val="20"/>
                <w:szCs w:val="20"/>
                <w:rFonts w:ascii="Calibri" w:cs="Calibri" w:eastAsia="Calibri" w:hAnsi="Calibri"/>
              </w:rPr>
              <w:t xml:space="preserve">139.0 s</w:t>
            </w:r>
          </w:p>
        </w:tc>
      </w:tr>
      <w:tr>
        <w:tc>
          <w:tcPr>
            <w:tcW w:type="dxa" w:w="4500"/>
            <w:vAlign w:val="center"/>
          </w:tcPr>
          <w:p>
            <w:pPr>
              <w:jc w:val="left"/>
            </w:pPr>
            <w:r>
              <w:rPr>
                <w:b w:val="false"/>
                <w:bCs w:val="false"/>
                <w:sz w:val="20"/>
                <w:szCs w:val="20"/>
                <w:rFonts w:ascii="Calibri" w:cs="Calibri" w:eastAsia="Calibri" w:hAnsi="Calibri"/>
              </w:rPr>
              <w:t xml:space="preserve">Time to 180° heading change</w:t>
            </w:r>
          </w:p>
        </w:tc>
        <w:tc>
          <w:tcPr>
            <w:tcW w:type="dxa" w:w="4000"/>
            <w:vAlign w:val="center"/>
          </w:tcPr>
          <w:p>
            <w:pPr>
              <w:jc w:val="left"/>
            </w:pPr>
            <w:r>
              <w:rPr>
                <w:b w:val="false"/>
                <w:bCs w:val="false"/>
                <w:sz w:val="20"/>
                <w:szCs w:val="20"/>
                <w:rFonts w:ascii="Calibri" w:cs="Calibri" w:eastAsia="Calibri" w:hAnsi="Calibri"/>
              </w:rPr>
              <w:t xml:space="preserve">230.8 s</w:t>
            </w:r>
          </w:p>
        </w:tc>
      </w:tr>
      <w:tr>
        <w:tc>
          <w:tcPr>
            <w:tcW w:type="dxa" w:w="4500"/>
            <w:vAlign w:val="center"/>
          </w:tcPr>
          <w:p>
            <w:pPr>
              <w:jc w:val="left"/>
            </w:pPr>
            <w:r>
              <w:rPr>
                <w:b w:val="false"/>
                <w:bCs w:val="false"/>
                <w:sz w:val="20"/>
                <w:szCs w:val="20"/>
                <w:rFonts w:ascii="Calibri" w:cs="Calibri" w:eastAsia="Calibri" w:hAnsi="Calibri"/>
              </w:rPr>
              <w:t xml:space="preserve">Advance</w:t>
            </w:r>
          </w:p>
        </w:tc>
        <w:tc>
          <w:tcPr>
            <w:tcW w:type="dxa" w:w="4000"/>
            <w:vAlign w:val="center"/>
          </w:tcPr>
          <w:p>
            <w:pPr>
              <w:jc w:val="left"/>
            </w:pPr>
            <w:r>
              <w:rPr>
                <w:b w:val="false"/>
                <w:bCs w:val="false"/>
                <w:sz w:val="20"/>
                <w:szCs w:val="20"/>
                <w:rFonts w:ascii="Calibri" w:cs="Calibri" w:eastAsia="Calibri" w:hAnsi="Calibri"/>
              </w:rPr>
              <w:t xml:space="preserve">1179.7 m (5.13 Lpp)</w:t>
            </w:r>
          </w:p>
        </w:tc>
      </w:tr>
      <w:tr>
        <w:tc>
          <w:tcPr>
            <w:tcW w:type="dxa" w:w="4500"/>
            <w:vAlign w:val="center"/>
          </w:tcPr>
          <w:p>
            <w:pPr>
              <w:jc w:val="left"/>
            </w:pPr>
            <w:r>
              <w:rPr>
                <w:b w:val="false"/>
                <w:bCs w:val="false"/>
                <w:sz w:val="20"/>
                <w:szCs w:val="20"/>
                <w:rFonts w:ascii="Calibri" w:cs="Calibri" w:eastAsia="Calibri" w:hAnsi="Calibri"/>
              </w:rPr>
              <w:t xml:space="preserve">Transfer</w:t>
            </w:r>
          </w:p>
        </w:tc>
        <w:tc>
          <w:tcPr>
            <w:tcW w:type="dxa" w:w="4000"/>
            <w:vAlign w:val="center"/>
          </w:tcPr>
          <w:p>
            <w:pPr>
              <w:jc w:val="left"/>
            </w:pPr>
            <w:r>
              <w:rPr>
                <w:b w:val="false"/>
                <w:bCs w:val="false"/>
                <w:sz w:val="20"/>
                <w:szCs w:val="20"/>
                <w:rFonts w:ascii="Calibri" w:cs="Calibri" w:eastAsia="Calibri" w:hAnsi="Calibri"/>
              </w:rPr>
              <w:t xml:space="preserve">510.0 m (2.22 Lpp)</w:t>
            </w:r>
          </w:p>
        </w:tc>
      </w:tr>
      <w:tr>
        <w:tc>
          <w:tcPr>
            <w:tcW w:type="dxa" w:w="4500"/>
            <w:vAlign w:val="center"/>
          </w:tcPr>
          <w:p>
            <w:pPr>
              <w:jc w:val="left"/>
            </w:pPr>
            <w:r>
              <w:rPr>
                <w:b w:val="false"/>
                <w:bCs w:val="false"/>
                <w:sz w:val="20"/>
                <w:szCs w:val="20"/>
                <w:rFonts w:ascii="Calibri" w:cs="Calibri" w:eastAsia="Calibri" w:hAnsi="Calibri"/>
              </w:rPr>
              <w:t xml:space="preserve">Tactical diameter</w:t>
            </w:r>
          </w:p>
        </w:tc>
        <w:tc>
          <w:tcPr>
            <w:tcW w:type="dxa" w:w="4000"/>
            <w:vAlign w:val="center"/>
          </w:tcPr>
          <w:p>
            <w:pPr>
              <w:jc w:val="left"/>
            </w:pPr>
            <w:r>
              <w:rPr>
                <w:b w:val="false"/>
                <w:bCs w:val="false"/>
                <w:sz w:val="20"/>
                <w:szCs w:val="20"/>
                <w:rFonts w:ascii="Calibri" w:cs="Calibri" w:eastAsia="Calibri" w:hAnsi="Calibri"/>
              </w:rPr>
              <w:t xml:space="preserve">1073.2 m (4.67 Lpp)</w:t>
            </w:r>
          </w:p>
        </w:tc>
      </w:tr>
      <w:tr>
        <w:tc>
          <w:tcPr>
            <w:tcW w:type="dxa" w:w="4500"/>
            <w:vAlign w:val="center"/>
          </w:tcPr>
          <w:p>
            <w:pPr>
              <w:jc w:val="left"/>
            </w:pPr>
            <w:r>
              <w:rPr>
                <w:b w:val="false"/>
                <w:bCs w:val="false"/>
                <w:sz w:val="20"/>
                <w:szCs w:val="20"/>
                <w:rFonts w:ascii="Calibri" w:cs="Calibri" w:eastAsia="Calibri" w:hAnsi="Calibri"/>
              </w:rPr>
              <w:t xml:space="preserve">Diameter of steady turn</w:t>
            </w:r>
          </w:p>
        </w:tc>
        <w:tc>
          <w:tcPr>
            <w:tcW w:type="dxa" w:w="4000"/>
            <w:vAlign w:val="center"/>
          </w:tcPr>
          <w:p>
            <w:pPr>
              <w:jc w:val="left"/>
            </w:pPr>
            <w:r>
              <w:rPr>
                <w:b w:val="false"/>
                <w:bCs w:val="false"/>
                <w:sz w:val="20"/>
                <w:szCs w:val="20"/>
                <w:rFonts w:ascii="Calibri" w:cs="Calibri" w:eastAsia="Calibri" w:hAnsi="Calibri"/>
              </w:rPr>
              <w:t xml:space="preserve">920.0 m (4.00 Lpp)</w:t>
            </w:r>
          </w:p>
        </w:tc>
      </w:tr>
      <w:tr>
        <w:tc>
          <w:tcPr>
            <w:tcW w:type="dxa" w:w="4500"/>
            <w:vAlign w:val="center"/>
          </w:tcPr>
          <w:p>
            <w:pPr>
              <w:jc w:val="left"/>
            </w:pPr>
            <w:r>
              <w:rPr>
                <w:b w:val="false"/>
                <w:bCs w:val="false"/>
                <w:sz w:val="20"/>
                <w:szCs w:val="20"/>
                <w:rFonts w:ascii="Calibri" w:cs="Calibri" w:eastAsia="Calibri" w:hAnsi="Calibri"/>
              </w:rPr>
              <w:t xml:space="preserve">Yaw rate, initial</w:t>
            </w:r>
          </w:p>
        </w:tc>
        <w:tc>
          <w:tcPr>
            <w:tcW w:type="dxa" w:w="4000"/>
            <w:vAlign w:val="center"/>
          </w:tcPr>
          <w:p>
            <w:pPr>
              <w:jc w:val="left"/>
            </w:pPr>
            <w:r>
              <w:rPr>
                <w:b w:val="false"/>
                <w:bCs w:val="false"/>
                <w:sz w:val="20"/>
                <w:szCs w:val="20"/>
                <w:rFonts w:ascii="Calibri" w:cs="Calibri" w:eastAsia="Calibri" w:hAnsi="Calibri"/>
              </w:rPr>
              <w:t xml:space="preserve">0.0033 °/s</w:t>
            </w:r>
          </w:p>
        </w:tc>
      </w:tr>
      <w:tr>
        <w:tc>
          <w:tcPr>
            <w:tcW w:type="dxa" w:w="4500"/>
            <w:vAlign w:val="center"/>
          </w:tcPr>
          <w:p>
            <w:pPr>
              <w:jc w:val="left"/>
            </w:pPr>
            <w:r>
              <w:rPr>
                <w:b w:val="false"/>
                <w:bCs w:val="false"/>
                <w:sz w:val="20"/>
                <w:szCs w:val="20"/>
                <w:rFonts w:ascii="Calibri" w:cs="Calibri" w:eastAsia="Calibri" w:hAnsi="Calibri"/>
              </w:rPr>
              <w:t xml:space="preserve">Yaw rate, steady</w:t>
            </w:r>
          </w:p>
        </w:tc>
        <w:tc>
          <w:tcPr>
            <w:tcW w:type="dxa" w:w="4000"/>
            <w:vAlign w:val="center"/>
          </w:tcPr>
          <w:p>
            <w:pPr>
              <w:jc w:val="left"/>
            </w:pPr>
            <w:r>
              <w:rPr>
                <w:b w:val="false"/>
                <w:bCs w:val="false"/>
                <w:sz w:val="20"/>
                <w:szCs w:val="20"/>
                <w:rFonts w:ascii="Calibri" w:cs="Calibri" w:eastAsia="Calibri" w:hAnsi="Calibri"/>
              </w:rPr>
              <w:t xml:space="preserve">1.000 °/s</w:t>
            </w:r>
          </w:p>
        </w:tc>
      </w:tr>
      <w:tr>
        <w:tc>
          <w:tcPr>
            <w:tcW w:type="dxa" w:w="4500"/>
            <w:vAlign w:val="center"/>
          </w:tcPr>
          <w:p>
            <w:pPr>
              <w:jc w:val="left"/>
            </w:pPr>
            <w:r>
              <w:rPr>
                <w:b w:val="false"/>
                <w:bCs w:val="false"/>
                <w:sz w:val="20"/>
                <w:szCs w:val="20"/>
                <w:rFonts w:ascii="Calibri" w:cs="Calibri" w:eastAsia="Calibri" w:hAnsi="Calibri"/>
              </w:rPr>
              <w:t xml:space="preserve">Speed, steady turn</w:t>
            </w:r>
          </w:p>
        </w:tc>
        <w:tc>
          <w:tcPr>
            <w:tcW w:type="dxa" w:w="4000"/>
            <w:vAlign w:val="center"/>
          </w:tcPr>
          <w:p>
            <w:pPr>
              <w:jc w:val="left"/>
            </w:pPr>
            <w:r>
              <w:rPr>
                <w:b w:val="false"/>
                <w:bCs w:val="false"/>
                <w:sz w:val="20"/>
                <w:szCs w:val="20"/>
                <w:rFonts w:ascii="Calibri" w:cs="Calibri" w:eastAsia="Calibri" w:hAnsi="Calibri"/>
              </w:rPr>
              <w:t xml:space="preserve">15.60 kn</w:t>
            </w:r>
          </w:p>
        </w:tc>
      </w:tr>
      <w:tr>
        <w:tc>
          <w:tcPr>
            <w:tcW w:type="dxa" w:w="4500"/>
            <w:vAlign w:val="center"/>
          </w:tcPr>
          <w:p>
            <w:pPr>
              <w:jc w:val="left"/>
            </w:pPr>
            <w:r>
              <w:rPr>
                <w:b w:val="false"/>
                <w:bCs w:val="false"/>
                <w:sz w:val="20"/>
                <w:szCs w:val="20"/>
                <w:rFonts w:ascii="Calibri" w:cs="Calibri" w:eastAsia="Calibri" w:hAnsi="Calibri"/>
              </w:rPr>
              <w:t xml:space="preserve">Drift angle, steady turn</w:t>
            </w:r>
          </w:p>
        </w:tc>
        <w:tc>
          <w:tcPr>
            <w:tcW w:type="dxa" w:w="4000"/>
            <w:vAlign w:val="center"/>
          </w:tcPr>
          <w:p>
            <w:pPr>
              <w:jc w:val="left"/>
            </w:pPr>
            <w:r>
              <w:rPr>
                <w:b w:val="false"/>
                <w:bCs w:val="false"/>
                <w:sz w:val="20"/>
                <w:szCs w:val="20"/>
                <w:rFonts w:ascii="Calibri" w:cs="Calibri" w:eastAsia="Calibri" w:hAnsi="Calibri"/>
              </w:rPr>
              <w:t xml:space="preserve">10.85°</w:t>
            </w:r>
          </w:p>
        </w:tc>
      </w:tr>
    </w:tbl>
    <w:p>
      <w:pPr>
        <w:spacing w:before="120" w:after="6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43815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1. Simulated KCS turning circle (720°), first-order Nomoto, T=43.6s.</w:t>
      </w:r>
    </w:p>
    <w:p>
      <w:pPr>
        <w:spacing w:after="160"/>
        <w:jc w:val="both"/>
      </w:pPr>
      <w:r>
        <w:rPr>
          <w:b w:val="false"/>
          <w:bCs w:val="false"/>
          <w:i w:val="false"/>
          <w:iCs w:val="false"/>
          <w:sz w:val="22"/>
          <w:szCs w:val="22"/>
          <w:rFonts w:ascii="Calibri" w:cs="Calibri" w:eastAsia="Calibri" w:hAnsi="Calibri"/>
        </w:rPr>
        <w:t xml:space="preserve">A supporting MP4 animation (figures/task1_kcs_turning_circle.mp4) is provided alongside this report.</w:t>
      </w:r>
    </w:p>
    <w:p>
      <w:r>
        <w:br w:type="page"/>
      </w:r>
    </w:p>
    <w:p>
      <w:pPr>
        <w:pStyle w:val="Heading1"/>
        <w:spacing w:before="300" w:after="150"/>
      </w:pPr>
      <w:r>
        <w:t xml:space="preserve">3. Task 2 — Encounter Scenario Simulation (Head-on)</w:t>
      </w:r>
    </w:p>
    <w:p>
      <w:pPr>
        <w:pStyle w:val="Heading2"/>
        <w:spacing w:before="240" w:after="120"/>
      </w:pPr>
      <w:r>
        <w:t xml:space="preserve">3.1 COLREG rule and methodology</w:t>
      </w:r>
    </w:p>
    <w:p>
      <w:pPr>
        <w:spacing w:after="160"/>
        <w:jc w:val="both"/>
      </w:pPr>
      <w:r>
        <w:rPr>
          <w:b w:val="false"/>
          <w:bCs w:val="false"/>
          <w:i w:val="false"/>
          <w:iCs w:val="false"/>
          <w:sz w:val="22"/>
          <w:szCs w:val="22"/>
          <w:rFonts w:ascii="Calibri" w:cs="Calibri" w:eastAsia="Calibri" w:hAnsi="Calibri"/>
        </w:rPr>
        <w:t xml:space="preserve">Rule 14 (head-on): both vessels alter course to starboard (Cockcroft &amp; Lameijer, 2012). COLREG-COLREG uses the most-likely Tri(1°,20°,35°) angle (20°) for both vessels; Blind-Blind draws both vessels' rudder independently from U(-35°,35°). Collision is checked every timestep via the Separating Axis Theorem on each vessel's Lpp×B hull rectangle. The minimum safe distance search starts at D0=(Lpp1+Lpp2)/2, increments by 0.25×min(Lpp1,Lpp2) whenever a collision is detected, and stops once the vessels clear each other's hulls and end up farther apart than their starting separation.</w:t>
      </w:r>
    </w:p>
    <w:p>
      <w:pPr>
        <w:pStyle w:val="Heading2"/>
        <w:spacing w:before="240" w:after="120"/>
      </w:pPr>
      <w:r>
        <w:t xml:space="preserve">3.2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500"/>
      </w:tblGrid>
      <w:tr>
        <w:trPr>
          <w:tblHeader/>
        </w:trPr>
        <w:tc>
          <w:tcPr>
            <w:tcW w:type="dxa" w:w="3500"/>
            <w:shd w:fill="DDEBF7" w:val="clear"/>
            <w:vAlign w:val="center"/>
          </w:tcPr>
          <w:p>
            <w:pPr>
              <w:jc w:val="left"/>
            </w:pPr>
            <w:r>
              <w:rPr>
                <w:b/>
                <w:bCs/>
                <w:sz w:val="20"/>
                <w:szCs w:val="20"/>
                <w:rFonts w:ascii="Calibri" w:cs="Calibri" w:eastAsia="Calibri" w:hAnsi="Calibri"/>
              </w:rPr>
              <w:t xml:space="preserve">Scenario</w:t>
            </w:r>
          </w:p>
        </w:tc>
        <w:tc>
          <w:tcPr>
            <w:tcW w:type="dxa" w:w="3500"/>
            <w:shd w:fill="DDEBF7" w:val="clear"/>
            <w:vAlign w:val="center"/>
          </w:tcPr>
          <w:p>
            <w:pPr>
              <w:jc w:val="left"/>
            </w:pPr>
            <w:r>
              <w:rPr>
                <w:b/>
                <w:bCs/>
                <w:sz w:val="20"/>
                <w:szCs w:val="20"/>
                <w:rFonts w:ascii="Calibri" w:cs="Calibri" w:eastAsia="Calibri" w:hAnsi="Calibri"/>
              </w:rPr>
              <w:t xml:space="preserve">Minimum safe distance</w:t>
            </w:r>
          </w:p>
        </w:tc>
        <w:tc>
          <w:tcPr>
            <w:tcW w:type="dxa" w:w="2500"/>
            <w:shd w:fill="DDEBF7" w:val="clear"/>
            <w:vAlign w:val="center"/>
          </w:tcPr>
          <w:p>
            <w:pPr>
              <w:jc w:val="left"/>
            </w:pPr>
            <w:r>
              <w:rPr>
                <w:b/>
                <w:bCs/>
                <w:sz w:val="20"/>
                <w:szCs w:val="20"/>
                <w:rFonts w:ascii="Calibri" w:cs="Calibri" w:eastAsia="Calibri" w:hAnsi="Calibri"/>
              </w:rPr>
              <w:t xml:space="preserve">As multiple of larger Lpp</w:t>
            </w:r>
          </w:p>
        </w:tc>
      </w:tr>
      <w:tr>
        <w:tc>
          <w:tcPr>
            <w:tcW w:type="dxa" w:w="3500"/>
            <w:vAlign w:val="center"/>
          </w:tcPr>
          <w:p>
            <w:pPr>
              <w:jc w:val="left"/>
            </w:pPr>
            <w:r>
              <w:rPr>
                <w:b w:val="false"/>
                <w:bCs w:val="false"/>
                <w:sz w:val="20"/>
                <w:szCs w:val="20"/>
                <w:rFonts w:ascii="Calibri" w:cs="Calibri" w:eastAsia="Calibri" w:hAnsi="Calibri"/>
              </w:rPr>
              <w:t xml:space="preserve">COLREG-COLREG</w:t>
            </w:r>
          </w:p>
        </w:tc>
        <w:tc>
          <w:tcPr>
            <w:tcW w:type="dxa" w:w="3500"/>
            <w:vAlign w:val="center"/>
          </w:tcPr>
          <w:p>
            <w:pPr>
              <w:jc w:val="left"/>
            </w:pPr>
            <w:r>
              <w:rPr>
                <w:b w:val="false"/>
                <w:bCs w:val="false"/>
                <w:sz w:val="20"/>
                <w:szCs w:val="20"/>
                <w:rFonts w:ascii="Calibri" w:cs="Calibri" w:eastAsia="Calibri" w:hAnsi="Calibri"/>
              </w:rPr>
              <w:t xml:space="preserve">1712.5 m</w:t>
            </w:r>
          </w:p>
        </w:tc>
        <w:tc>
          <w:tcPr>
            <w:tcW w:type="dxa" w:w="2500"/>
            <w:vAlign w:val="center"/>
          </w:tcPr>
          <w:p>
            <w:pPr>
              <w:jc w:val="left"/>
            </w:pPr>
            <w:r>
              <w:rPr>
                <w:b w:val="false"/>
                <w:bCs w:val="false"/>
                <w:sz w:val="20"/>
                <w:szCs w:val="20"/>
                <w:rFonts w:ascii="Calibri" w:cs="Calibri" w:eastAsia="Calibri" w:hAnsi="Calibri"/>
              </w:rPr>
              <w:t xml:space="preserve">5.35×</w:t>
            </w:r>
          </w:p>
        </w:tc>
      </w:tr>
      <w:tr>
        <w:tc>
          <w:tcPr>
            <w:tcW w:type="dxa" w:w="3500"/>
            <w:vAlign w:val="center"/>
          </w:tcPr>
          <w:p>
            <w:pPr>
              <w:jc w:val="left"/>
            </w:pPr>
            <w:r>
              <w:rPr>
                <w:b w:val="false"/>
                <w:bCs w:val="false"/>
                <w:sz w:val="20"/>
                <w:szCs w:val="20"/>
                <w:rFonts w:ascii="Calibri" w:cs="Calibri" w:eastAsia="Calibri" w:hAnsi="Calibri"/>
              </w:rPr>
              <w:t xml:space="preserve">Blind-Blind</w:t>
            </w:r>
          </w:p>
        </w:tc>
        <w:tc>
          <w:tcPr>
            <w:tcW w:type="dxa" w:w="3500"/>
            <w:vAlign w:val="center"/>
          </w:tcPr>
          <w:p>
            <w:pPr>
              <w:jc w:val="left"/>
            </w:pPr>
            <w:r>
              <w:rPr>
                <w:b w:val="false"/>
                <w:bCs w:val="false"/>
                <w:sz w:val="20"/>
                <w:szCs w:val="20"/>
                <w:rFonts w:ascii="Calibri" w:cs="Calibri" w:eastAsia="Calibri" w:hAnsi="Calibri"/>
              </w:rPr>
              <w:t xml:space="preserve">1770.0 m</w:t>
            </w:r>
          </w:p>
        </w:tc>
        <w:tc>
          <w:tcPr>
            <w:tcW w:type="dxa" w:w="2500"/>
            <w:vAlign w:val="center"/>
          </w:tcPr>
          <w:p>
            <w:pPr>
              <w:jc w:val="left"/>
            </w:pPr>
            <w:r>
              <w:rPr>
                <w:b w:val="false"/>
                <w:bCs w:val="false"/>
                <w:sz w:val="20"/>
                <w:szCs w:val="20"/>
                <w:rFonts w:ascii="Calibri" w:cs="Calibri" w:eastAsia="Calibri" w:hAnsi="Calibri"/>
              </w:rPr>
              <w:t xml:space="preserve">5.53×</w:t>
            </w:r>
          </w:p>
        </w:tc>
      </w:tr>
    </w:tbl>
    <w:p>
      <w:pPr>
        <w:spacing w:after="160"/>
        <w:jc w:val="both"/>
      </w:pPr>
      <w:r>
        <w:rPr>
          <w:b w:val="false"/>
          <w:bCs w:val="false"/>
          <w:i/>
          <w:iCs/>
          <w:sz w:val="22"/>
          <w:szCs w:val="22"/>
          <w:rFonts w:ascii="Calibri" w:cs="Calibri" w:eastAsia="Calibri" w:hAnsi="Calibri"/>
        </w:rPr>
        <w:t xml:space="preserve">Blind-Blind's sampled rudder angles were δ1=-22.5° and δ2=9.8° (one representative draw from U(-35°,35°), reproducible via the fixed seed in task2_encounter.py).</w:t>
      </w:r>
    </w:p>
    <w:p>
      <w:pPr>
        <w:spacing w:before="120" w:after="6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005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2. Head-on, COLREG-COLREG: both vessels turn to starboard and pass port-to-port.</w:t>
      </w:r>
    </w:p>
    <w:p>
      <w:pPr>
        <w:spacing w:before="120" w:after="6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0005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3. Head-on, Blind-Blind.</w:t>
      </w:r>
    </w:p>
    <w:p>
      <w:pPr>
        <w:spacing w:after="160"/>
        <w:jc w:val="both"/>
      </w:pPr>
      <w:r>
        <w:rPr>
          <w:b w:val="false"/>
          <w:bCs w:val="false"/>
          <w:i w:val="false"/>
          <w:iCs w:val="false"/>
          <w:sz w:val="22"/>
          <w:szCs w:val="22"/>
          <w:rFonts w:ascii="Calibri" w:cs="Calibri" w:eastAsia="Calibri" w:hAnsi="Calibri"/>
        </w:rPr>
        <w:t xml:space="preserve">Full per-timestep data tables (Excel) and MP4 animations for both scenarios are provided as separate files alongside this report.</w:t>
      </w:r>
    </w:p>
    <w:p>
      <w:r>
        <w:br w:type="page"/>
      </w:r>
    </w:p>
    <w:p>
      <w:pPr>
        <w:pStyle w:val="Heading1"/>
        <w:spacing w:before="300" w:after="150"/>
      </w:pPr>
      <w:r>
        <w:t xml:space="preserve">4. Task 3 — Minimum Critical Distance for Give-Way Start</w:t>
      </w:r>
    </w:p>
    <w:p>
      <w:pPr>
        <w:spacing w:after="160"/>
        <w:jc w:val="both"/>
      </w:pPr>
      <w:r>
        <w:rPr>
          <w:b w:val="false"/>
          <w:bCs w:val="false"/>
          <w:i w:val="false"/>
          <w:iCs w:val="false"/>
          <w:sz w:val="22"/>
          <w:szCs w:val="22"/>
          <w:rFonts w:ascii="Calibri" w:cs="Calibri" w:eastAsia="Calibri" w:hAnsi="Calibri"/>
        </w:rPr>
        <w:t xml:space="preserve">Hashimoto &amp; Okushima (1990) model each ship as a circle whose diameter equals its breadth (not its full hull), giving a collision diameter D_ij=(B_i+B_j)/2, and derive the head-on critical distance of give-way start geometrically as:</w:t>
      </w:r>
    </w:p>
    <w:p>
      <w:pPr>
        <w:spacing w:before="80" w:after="160"/>
        <w:jc w:val="center"/>
      </w:pPr>
      <w:r>
        <w:rPr>
          <w:i/>
          <w:iCs/>
          <w:sz w:val="24"/>
          <w:szCs w:val="24"/>
          <w:rFonts w:ascii="Cambria Math" w:cs="Cambria Math" w:eastAsia="Cambria Math" w:hAnsi="Cambria Math"/>
        </w:rPr>
        <w:t xml:space="preserve">m^h_ij = D_ij / sin(θ)</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rPr>
          <w:tblHeader/>
        </w:trPr>
        <w:tc>
          <w:tcPr>
            <w:tcW w:type="dxa" w:w="5500"/>
            <w:shd w:fill="DDEBF7" w:val="clear"/>
            <w:vAlign w:val="center"/>
          </w:tcPr>
          <w:p>
            <w:pPr>
              <w:jc w:val="left"/>
            </w:pPr>
            <w:r>
              <w:rPr>
                <w:b/>
                <w:bCs/>
                <w:sz w:val="20"/>
                <w:szCs w:val="20"/>
                <w:rFonts w:ascii="Calibri" w:cs="Calibri" w:eastAsia="Calibri" w:hAnsi="Calibri"/>
              </w:rPr>
              <w:t xml:space="preserve">Method</w:t>
            </w:r>
          </w:p>
        </w:tc>
        <w:tc>
          <w:tcPr>
            <w:tcW w:type="dxa" w:w="3000"/>
            <w:shd w:fill="DDEBF7" w:val="clear"/>
            <w:vAlign w:val="center"/>
          </w:tcPr>
          <w:p>
            <w:pPr>
              <w:jc w:val="left"/>
            </w:pPr>
            <w:r>
              <w:rPr>
                <w:b/>
                <w:bCs/>
                <w:sz w:val="20"/>
                <w:szCs w:val="20"/>
                <w:rFonts w:ascii="Calibri" w:cs="Calibri" w:eastAsia="Calibri" w:hAnsi="Calibri"/>
              </w:rPr>
              <w:t xml:space="preserve">Distance</w:t>
            </w:r>
          </w:p>
        </w:tc>
      </w:tr>
      <w:tr>
        <w:tc>
          <w:tcPr>
            <w:tcW w:type="dxa" w:w="5500"/>
            <w:vAlign w:val="center"/>
          </w:tcPr>
          <w:p>
            <w:pPr>
              <w:jc w:val="left"/>
            </w:pPr>
            <w:r>
              <w:rPr>
                <w:b w:val="false"/>
                <w:bCs w:val="false"/>
                <w:sz w:val="20"/>
                <w:szCs w:val="20"/>
                <w:rFonts w:ascii="Calibri" w:cs="Calibri" w:eastAsia="Calibri" w:hAnsi="Calibri"/>
              </w:rPr>
              <w:t xml:space="preserve">Hashimoto &amp; Okushima, θ=20°</w:t>
            </w:r>
          </w:p>
        </w:tc>
        <w:tc>
          <w:tcPr>
            <w:tcW w:type="dxa" w:w="3000"/>
            <w:vAlign w:val="center"/>
          </w:tcPr>
          <w:p>
            <w:pPr>
              <w:jc w:val="left"/>
            </w:pPr>
            <w:r>
              <w:rPr>
                <w:b w:val="false"/>
                <w:bCs w:val="false"/>
                <w:sz w:val="20"/>
                <w:szCs w:val="20"/>
                <w:rFonts w:ascii="Calibri" w:cs="Calibri" w:eastAsia="Calibri" w:hAnsi="Calibri"/>
              </w:rPr>
              <w:t xml:space="preserve">131.9 m</w:t>
            </w:r>
          </w:p>
        </w:tc>
      </w:tr>
      <w:tr>
        <w:tc>
          <w:tcPr>
            <w:tcW w:type="dxa" w:w="5500"/>
            <w:vAlign w:val="center"/>
          </w:tcPr>
          <w:p>
            <w:pPr>
              <w:jc w:val="left"/>
            </w:pPr>
            <w:r>
              <w:rPr>
                <w:b w:val="false"/>
                <w:bCs w:val="false"/>
                <w:sz w:val="20"/>
                <w:szCs w:val="20"/>
                <w:rFonts w:ascii="Calibri" w:cs="Calibri" w:eastAsia="Calibri" w:hAnsi="Calibri"/>
              </w:rPr>
              <w:t xml:space="preserve">Hashimoto &amp; Okushima, θ=30°</w:t>
            </w:r>
          </w:p>
        </w:tc>
        <w:tc>
          <w:tcPr>
            <w:tcW w:type="dxa" w:w="3000"/>
            <w:vAlign w:val="center"/>
          </w:tcPr>
          <w:p>
            <w:pPr>
              <w:jc w:val="left"/>
            </w:pPr>
            <w:r>
              <w:rPr>
                <w:b w:val="false"/>
                <w:bCs w:val="false"/>
                <w:sz w:val="20"/>
                <w:szCs w:val="20"/>
                <w:rFonts w:ascii="Calibri" w:cs="Calibri" w:eastAsia="Calibri" w:hAnsi="Calibri"/>
              </w:rPr>
              <w:t xml:space="preserve">90.2 m</w:t>
            </w:r>
          </w:p>
        </w:tc>
      </w:tr>
      <w:tr>
        <w:tc>
          <w:tcPr>
            <w:tcW w:type="dxa" w:w="5500"/>
            <w:vAlign w:val="center"/>
          </w:tcPr>
          <w:p>
            <w:pPr>
              <w:jc w:val="left"/>
            </w:pPr>
            <w:r>
              <w:rPr>
                <w:b w:val="false"/>
                <w:bCs w:val="false"/>
                <w:sz w:val="20"/>
                <w:szCs w:val="20"/>
                <w:rFonts w:ascii="Calibri" w:cs="Calibri" w:eastAsia="Calibri" w:hAnsi="Calibri"/>
              </w:rPr>
              <w:t xml:space="preserve">Task 2 simulation, COLREG-COLREG</w:t>
            </w:r>
          </w:p>
        </w:tc>
        <w:tc>
          <w:tcPr>
            <w:tcW w:type="dxa" w:w="3000"/>
            <w:vAlign w:val="center"/>
          </w:tcPr>
          <w:p>
            <w:pPr>
              <w:jc w:val="left"/>
            </w:pPr>
            <w:r>
              <w:rPr>
                <w:b w:val="false"/>
                <w:bCs w:val="false"/>
                <w:sz w:val="20"/>
                <w:szCs w:val="20"/>
                <w:rFonts w:ascii="Calibri" w:cs="Calibri" w:eastAsia="Calibri" w:hAnsi="Calibri"/>
              </w:rPr>
              <w:t xml:space="preserve">1712.5 m</w:t>
            </w:r>
          </w:p>
        </w:tc>
      </w:tr>
      <w:tr>
        <w:tc>
          <w:tcPr>
            <w:tcW w:type="dxa" w:w="5500"/>
            <w:vAlign w:val="center"/>
          </w:tcPr>
          <w:p>
            <w:pPr>
              <w:jc w:val="left"/>
            </w:pPr>
            <w:r>
              <w:rPr>
                <w:b w:val="false"/>
                <w:bCs w:val="false"/>
                <w:sz w:val="20"/>
                <w:szCs w:val="20"/>
                <w:rFonts w:ascii="Calibri" w:cs="Calibri" w:eastAsia="Calibri" w:hAnsi="Calibri"/>
              </w:rPr>
              <w:t xml:space="preserve">Task 2 simulation, Blind-Blind (reference only)</w:t>
            </w:r>
          </w:p>
        </w:tc>
        <w:tc>
          <w:tcPr>
            <w:tcW w:type="dxa" w:w="3000"/>
            <w:vAlign w:val="center"/>
          </w:tcPr>
          <w:p>
            <w:pPr>
              <w:jc w:val="left"/>
            </w:pPr>
            <w:r>
              <w:rPr>
                <w:b w:val="false"/>
                <w:bCs w:val="false"/>
                <w:sz w:val="20"/>
                <w:szCs w:val="20"/>
                <w:rFonts w:ascii="Calibri" w:cs="Calibri" w:eastAsia="Calibri" w:hAnsi="Calibri"/>
              </w:rPr>
              <w:t xml:space="preserve">1770.0 m</w:t>
            </w:r>
          </w:p>
        </w:tc>
      </w:tr>
    </w:tbl>
    <w:p>
      <w:pPr>
        <w:spacing w:before="120" w:after="6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0480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4. Geometric (Hashimoto &amp; Okushima) vs. simulated (Task 2) minimum safe distance.</w:t>
      </w:r>
    </w:p>
    <w:p>
      <w:pPr>
        <w:spacing w:after="160"/>
        <w:jc w:val="both"/>
      </w:pPr>
      <w:r>
        <w:rPr>
          <w:b w:val="false"/>
          <w:bCs w:val="false"/>
          <w:i w:val="false"/>
          <w:iCs w:val="false"/>
          <w:sz w:val="22"/>
          <w:szCs w:val="22"/>
          <w:rFonts w:ascii="Calibri" w:cs="Calibri" w:eastAsia="Calibri" w:hAnsi="Calibri"/>
        </w:rPr>
        <w:t xml:space="preserve">The Task 2 simulated value is approximately 13.0x larger than Hashimoto &amp; Okushima's geometric criterion at θ=20°. This gap comes from two compounding simplifications in the geometric model: it uses breadth-only circles (ignoring the 230-320 m ship lengths entirely), and it assumes an instantaneous course change rather than a real, gradual Nomoto turn with a rudder ramp and time-constant lag. Both push the geometric answer below the dynamically simulated one; the simulated value should be considered the more trustworthy figure for actual navigational safety, while Hashimoto &amp; Okushima's is better suited to its original purpose of aggregate channel-wide risk scoring.</w:t>
      </w:r>
    </w:p>
    <w:p>
      <w:r>
        <w:br w:type="page"/>
      </w:r>
    </w:p>
    <w:p>
      <w:pPr>
        <w:pStyle w:val="Heading1"/>
        <w:spacing w:before="300" w:after="150"/>
      </w:pPr>
      <w:r>
        <w:t xml:space="preserve">5. Task 4 — Minimum Safe Distance Assessment (Monte Carlo)</w:t>
      </w:r>
    </w:p>
    <w:p>
      <w:pPr>
        <w:pStyle w:val="Heading2"/>
        <w:spacing w:before="240" w:after="120"/>
      </w:pPr>
      <w:r>
        <w:t xml:space="preserve">5.1 Methodology</w:t>
      </w:r>
    </w:p>
    <w:p>
      <w:pPr>
        <w:spacing w:after="160"/>
        <w:jc w:val="both"/>
      </w:pPr>
      <w:r>
        <w:rPr>
          <w:b w:val="false"/>
          <w:bCs w:val="false"/>
          <w:i w:val="false"/>
          <w:iCs w:val="false"/>
          <w:sz w:val="22"/>
          <w:szCs w:val="22"/>
          <w:rFonts w:ascii="Calibri" w:cs="Calibri" w:eastAsia="Calibri" w:hAnsi="Calibri"/>
        </w:rPr>
        <w:t xml:space="preserve">Task 4 repeats the Task 2 search N=10000 times per scenario, drawing new random rudder angles and approach speeds each time. COLREG-COLREG draws δ1, δ2 independently from Tri(1°,15°,35°) (rounded to whole degrees, both to starboard — note this mode, 15°, differs from Task 2's illustrative 20°, since the assignment's own Task 4 instructions specify 15°). Blind-Blind draws both from U(-35°,35°). Each vessel's approach speed is drawn from U(V0-2, V0+2) kn independently. T, V_ST/V0 and β_ST are held at each vessel's fixed value from Section 2.1.1 — only rudder angle and speed vary between runs, per the assignment.</w:t>
      </w:r>
    </w:p>
    <w:p>
      <w:pPr>
        <w:spacing w:after="160"/>
        <w:jc w:val="both"/>
      </w:pPr>
      <w:r>
        <w:rPr>
          <w:b w:val="false"/>
          <w:bCs w:val="false"/>
          <w:i w:val="false"/>
          <w:iCs w:val="false"/>
          <w:sz w:val="22"/>
          <w:szCs w:val="22"/>
          <w:rFonts w:ascii="Calibri" w:cs="Calibri" w:eastAsia="Calibri" w:hAnsi="Calibri"/>
        </w:rPr>
        <w:t xml:space="preserve">P(collision) at a candidate separation i is the fraction of the N sampled minimum-safe-distances exceeding i (Lotovskyi &amp; Teixeira, 2023, Eq. 1):</w:t>
      </w:r>
    </w:p>
    <w:p>
      <w:pPr>
        <w:spacing w:before="80" w:after="160"/>
        <w:jc w:val="center"/>
      </w:pPr>
      <w:r>
        <w:rPr>
          <w:i/>
          <w:iCs/>
          <w:sz w:val="24"/>
          <w:szCs w:val="24"/>
          <w:rFonts w:ascii="Cambria Math" w:cs="Cambria Math" w:eastAsia="Cambria Math" w:hAnsi="Cambria Math"/>
        </w:rPr>
        <w:t xml:space="preserve">P(collision | separation = i) = count(d_min &gt; i) / N</w:t>
      </w:r>
    </w:p>
    <w:p>
      <w:pPr>
        <w:spacing w:after="160"/>
        <w:jc w:val="both"/>
      </w:pPr>
      <w:r>
        <w:rPr>
          <w:b w:val="false"/>
          <w:bCs w:val="false"/>
          <w:i w:val="false"/>
          <w:iCs w:val="false"/>
          <w:sz w:val="22"/>
          <w:szCs w:val="22"/>
          <w:rFonts w:ascii="Calibri" w:cs="Calibri" w:eastAsia="Calibri" w:hAnsi="Calibri"/>
        </w:rPr>
        <w:t xml:space="preserve">The search was vectorised across all N trials at once with numpy (same algorithm as Task 2, batched) for tractable runtime. A trial is safe when the hulls never overlap (SAT) and either the separation grows past its starting value D, or, if the simulation time limit is reached first, the two steady turning circles (radius V/r, each widened by its hull half-diagonal) can never touch. The second condition matters when both vessels turn toward the same side and keep circling without ever opening past D: with the rudder held, such a pair can never collide, so counting it as a failure would inflate D_min. Blind-Blind draws that are still unresolved at the search cap of 11200 m (6.05 nm) are censored. These are typically small rudder angles on the same side, where the vessels drift along together and still collide from that distance. They are a property of uncoordinated navigation under this open-loop model, and the censored trials are reported at the cap value, so the Blind-Blind mean and maximum are lower bounds.</w:t>
      </w:r>
    </w:p>
    <w:p>
      <w:pPr>
        <w:pStyle w:val="Heading2"/>
        <w:spacing w:before="240" w:after="120"/>
      </w:pPr>
      <w:r>
        <w:t xml:space="preserve">5.2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100"/>
        <w:gridCol w:w="1100"/>
        <w:gridCol w:w="1150"/>
        <w:gridCol w:w="1150"/>
      </w:tblGrid>
      <w:tr>
        <w:trPr>
          <w:tblHeader/>
        </w:trPr>
        <w:tc>
          <w:tcPr>
            <w:tcW w:type="dxa" w:w="2200"/>
            <w:shd w:fill="DDEBF7" w:val="clear"/>
            <w:vAlign w:val="center"/>
          </w:tcPr>
          <w:p>
            <w:pPr>
              <w:jc w:val="left"/>
            </w:pPr>
            <w:r>
              <w:rPr>
                <w:b/>
                <w:bCs/>
                <w:sz w:val="20"/>
                <w:szCs w:val="20"/>
                <w:rFonts w:ascii="Calibri" w:cs="Calibri" w:eastAsia="Calibri" w:hAnsi="Calibri"/>
              </w:rPr>
              <w:t xml:space="preserve">Scenario</w:t>
            </w:r>
          </w:p>
        </w:tc>
        <w:tc>
          <w:tcPr>
            <w:tcW w:type="dxa" w:w="1000"/>
            <w:shd w:fill="DDEBF7" w:val="clear"/>
            <w:vAlign w:val="center"/>
          </w:tcPr>
          <w:p>
            <w:pPr>
              <w:jc w:val="left"/>
            </w:pPr>
            <w:r>
              <w:rPr>
                <w:b/>
                <w:bCs/>
                <w:sz w:val="20"/>
                <w:szCs w:val="20"/>
                <w:rFonts w:ascii="Calibri" w:cs="Calibri" w:eastAsia="Calibri" w:hAnsi="Calibri"/>
              </w:rPr>
              <w:t xml:space="preserve">N</w:t>
            </w:r>
          </w:p>
        </w:tc>
        <w:tc>
          <w:tcPr>
            <w:tcW w:type="dxa" w:w="1500"/>
            <w:shd w:fill="DDEBF7" w:val="clear"/>
            <w:vAlign w:val="center"/>
          </w:tcPr>
          <w:p>
            <w:pPr>
              <w:jc w:val="left"/>
            </w:pPr>
            <w:r>
              <w:rPr>
                <w:b/>
                <w:bCs/>
                <w:sz w:val="20"/>
                <w:szCs w:val="20"/>
                <w:rFonts w:ascii="Calibri" w:cs="Calibri" w:eastAsia="Calibri" w:hAnsi="Calibri"/>
              </w:rPr>
              <w:t xml:space="preserve">Censored</w:t>
            </w:r>
          </w:p>
        </w:tc>
        <w:tc>
          <w:tcPr>
            <w:tcW w:type="dxa" w:w="1100"/>
            <w:shd w:fill="DDEBF7" w:val="clear"/>
            <w:vAlign w:val="center"/>
          </w:tcPr>
          <w:p>
            <w:pPr>
              <w:jc w:val="left"/>
            </w:pPr>
            <w:r>
              <w:rPr>
                <w:b/>
                <w:bCs/>
                <w:sz w:val="20"/>
                <w:szCs w:val="20"/>
                <w:rFonts w:ascii="Calibri" w:cs="Calibri" w:eastAsia="Calibri" w:hAnsi="Calibri"/>
              </w:rPr>
              <w:t xml:space="preserve">Min (nm)</w:t>
            </w:r>
          </w:p>
        </w:tc>
        <w:tc>
          <w:tcPr>
            <w:tcW w:type="dxa" w:w="1100"/>
            <w:shd w:fill="DDEBF7" w:val="clear"/>
            <w:vAlign w:val="center"/>
          </w:tcPr>
          <w:p>
            <w:pPr>
              <w:jc w:val="left"/>
            </w:pPr>
            <w:r>
              <w:rPr>
                <w:b/>
                <w:bCs/>
                <w:sz w:val="20"/>
                <w:szCs w:val="20"/>
                <w:rFonts w:ascii="Calibri" w:cs="Calibri" w:eastAsia="Calibri" w:hAnsi="Calibri"/>
              </w:rPr>
              <w:t xml:space="preserve">Max (nm)</w:t>
            </w:r>
          </w:p>
        </w:tc>
        <w:tc>
          <w:tcPr>
            <w:tcW w:type="dxa" w:w="1150"/>
            <w:shd w:fill="DDEBF7" w:val="clear"/>
            <w:vAlign w:val="center"/>
          </w:tcPr>
          <w:p>
            <w:pPr>
              <w:jc w:val="left"/>
            </w:pPr>
            <w:r>
              <w:rPr>
                <w:b/>
                <w:bCs/>
                <w:sz w:val="20"/>
                <w:szCs w:val="20"/>
                <w:rFonts w:ascii="Calibri" w:cs="Calibri" w:eastAsia="Calibri" w:hAnsi="Calibri"/>
              </w:rPr>
              <w:t xml:space="preserve">Mean (nm)</w:t>
            </w:r>
          </w:p>
        </w:tc>
        <w:tc>
          <w:tcPr>
            <w:tcW w:type="dxa" w:w="1150"/>
            <w:shd w:fill="DDEBF7" w:val="clear"/>
            <w:vAlign w:val="center"/>
          </w:tcPr>
          <w:p>
            <w:pPr>
              <w:jc w:val="left"/>
            </w:pPr>
            <w:r>
              <w:rPr>
                <w:b/>
                <w:bCs/>
                <w:sz w:val="20"/>
                <w:szCs w:val="20"/>
                <w:rFonts w:ascii="Calibri" w:cs="Calibri" w:eastAsia="Calibri" w:hAnsi="Calibri"/>
              </w:rPr>
              <w:t xml:space="preserve">Median (nm)</w:t>
            </w:r>
          </w:p>
        </w:tc>
      </w:tr>
      <w:tr>
        <w:tc>
          <w:tcPr>
            <w:tcW w:type="dxa" w:w="2200"/>
            <w:vAlign w:val="center"/>
          </w:tcPr>
          <w:p>
            <w:pPr>
              <w:jc w:val="left"/>
            </w:pPr>
            <w:r>
              <w:rPr>
                <w:b w:val="false"/>
                <w:bCs w:val="false"/>
                <w:sz w:val="20"/>
                <w:szCs w:val="20"/>
                <w:rFonts w:ascii="Calibri" w:cs="Calibri" w:eastAsia="Calibri" w:hAnsi="Calibri"/>
              </w:rPr>
              <w:t xml:space="preserve">COLREG-COLREG</w:t>
            </w:r>
          </w:p>
        </w:tc>
        <w:tc>
          <w:tcPr>
            <w:tcW w:type="dxa" w:w="1000"/>
            <w:vAlign w:val="center"/>
          </w:tcPr>
          <w:p>
            <w:pPr>
              <w:jc w:val="left"/>
            </w:pPr>
            <w:r>
              <w:rPr>
                <w:b w:val="false"/>
                <w:bCs w:val="false"/>
                <w:sz w:val="20"/>
                <w:szCs w:val="20"/>
                <w:rFonts w:ascii="Calibri" w:cs="Calibri" w:eastAsia="Calibri" w:hAnsi="Calibri"/>
              </w:rPr>
              <w:t xml:space="preserve">10000</w:t>
            </w:r>
          </w:p>
        </w:tc>
        <w:tc>
          <w:tcPr>
            <w:tcW w:type="dxa" w:w="1500"/>
            <w:vAlign w:val="center"/>
          </w:tcPr>
          <w:p>
            <w:pPr>
              <w:jc w:val="left"/>
            </w:pPr>
            <w:r>
              <w:rPr>
                <w:b w:val="false"/>
                <w:bCs w:val="false"/>
                <w:sz w:val="20"/>
                <w:szCs w:val="20"/>
                <w:rFonts w:ascii="Calibri" w:cs="Calibri" w:eastAsia="Calibri" w:hAnsi="Calibri"/>
              </w:rPr>
              <w:t xml:space="preserve">0 (0.0%)</w:t>
            </w:r>
          </w:p>
        </w:tc>
        <w:tc>
          <w:tcPr>
            <w:tcW w:type="dxa" w:w="1100"/>
            <w:vAlign w:val="center"/>
          </w:tcPr>
          <w:p>
            <w:pPr>
              <w:jc w:val="left"/>
            </w:pPr>
            <w:r>
              <w:rPr>
                <w:b w:val="false"/>
                <w:bCs w:val="false"/>
                <w:sz w:val="20"/>
                <w:szCs w:val="20"/>
                <w:rFonts w:ascii="Calibri" w:cs="Calibri" w:eastAsia="Calibri" w:hAnsi="Calibri"/>
              </w:rPr>
              <w:t xml:space="preserve">0.86</w:t>
            </w:r>
          </w:p>
        </w:tc>
        <w:tc>
          <w:tcPr>
            <w:tcW w:type="dxa" w:w="1100"/>
            <w:vAlign w:val="center"/>
          </w:tcPr>
          <w:p>
            <w:pPr>
              <w:jc w:val="left"/>
            </w:pPr>
            <w:r>
              <w:rPr>
                <w:b w:val="false"/>
                <w:bCs w:val="false"/>
                <w:sz w:val="20"/>
                <w:szCs w:val="20"/>
                <w:rFonts w:ascii="Calibri" w:cs="Calibri" w:eastAsia="Calibri" w:hAnsi="Calibri"/>
              </w:rPr>
              <w:t xml:space="preserve">1.83</w:t>
            </w:r>
          </w:p>
        </w:tc>
        <w:tc>
          <w:tcPr>
            <w:tcW w:type="dxa" w:w="1150"/>
            <w:vAlign w:val="center"/>
          </w:tcPr>
          <w:p>
            <w:pPr>
              <w:jc w:val="left"/>
            </w:pPr>
            <w:r>
              <w:rPr>
                <w:b w:val="false"/>
                <w:bCs w:val="false"/>
                <w:sz w:val="20"/>
                <w:szCs w:val="20"/>
                <w:rFonts w:ascii="Calibri" w:cs="Calibri" w:eastAsia="Calibri" w:hAnsi="Calibri"/>
              </w:rPr>
              <w:t xml:space="preserve">0.98</w:t>
            </w:r>
          </w:p>
        </w:tc>
        <w:tc>
          <w:tcPr>
            <w:tcW w:type="dxa" w:w="1150"/>
            <w:vAlign w:val="center"/>
          </w:tcPr>
          <w:p>
            <w:pPr>
              <w:jc w:val="left"/>
            </w:pPr>
            <w:r>
              <w:rPr>
                <w:b w:val="false"/>
                <w:bCs w:val="false"/>
                <w:sz w:val="20"/>
                <w:szCs w:val="20"/>
                <w:rFonts w:ascii="Calibri" w:cs="Calibri" w:eastAsia="Calibri" w:hAnsi="Calibri"/>
              </w:rPr>
              <w:t xml:space="preserve">0.96</w:t>
            </w:r>
          </w:p>
        </w:tc>
      </w:tr>
      <w:tr>
        <w:tc>
          <w:tcPr>
            <w:tcW w:type="dxa" w:w="2200"/>
            <w:vAlign w:val="center"/>
          </w:tcPr>
          <w:p>
            <w:pPr>
              <w:jc w:val="left"/>
            </w:pPr>
            <w:r>
              <w:rPr>
                <w:b w:val="false"/>
                <w:bCs w:val="false"/>
                <w:sz w:val="20"/>
                <w:szCs w:val="20"/>
                <w:rFonts w:ascii="Calibri" w:cs="Calibri" w:eastAsia="Calibri" w:hAnsi="Calibri"/>
              </w:rPr>
              <w:t xml:space="preserve">Blind-Blind</w:t>
            </w:r>
          </w:p>
        </w:tc>
        <w:tc>
          <w:tcPr>
            <w:tcW w:type="dxa" w:w="1000"/>
            <w:vAlign w:val="center"/>
          </w:tcPr>
          <w:p>
            <w:pPr>
              <w:jc w:val="left"/>
            </w:pPr>
            <w:r>
              <w:rPr>
                <w:b w:val="false"/>
                <w:bCs w:val="false"/>
                <w:sz w:val="20"/>
                <w:szCs w:val="20"/>
                <w:rFonts w:ascii="Calibri" w:cs="Calibri" w:eastAsia="Calibri" w:hAnsi="Calibri"/>
              </w:rPr>
              <w:t xml:space="preserve">10000</w:t>
            </w:r>
          </w:p>
        </w:tc>
        <w:tc>
          <w:tcPr>
            <w:tcW w:type="dxa" w:w="1500"/>
            <w:vAlign w:val="center"/>
          </w:tcPr>
          <w:p>
            <w:pPr>
              <w:jc w:val="left"/>
            </w:pPr>
            <w:r>
              <w:rPr>
                <w:b w:val="false"/>
                <w:bCs w:val="false"/>
                <w:sz w:val="20"/>
                <w:szCs w:val="20"/>
                <w:rFonts w:ascii="Calibri" w:cs="Calibri" w:eastAsia="Calibri" w:hAnsi="Calibri"/>
              </w:rPr>
              <w:t xml:space="preserve">29 (0.3%)</w:t>
            </w:r>
          </w:p>
        </w:tc>
        <w:tc>
          <w:tcPr>
            <w:tcW w:type="dxa" w:w="1100"/>
            <w:vAlign w:val="center"/>
          </w:tcPr>
          <w:p>
            <w:pPr>
              <w:jc w:val="left"/>
            </w:pPr>
            <w:r>
              <w:rPr>
                <w:b w:val="false"/>
                <w:bCs w:val="false"/>
                <w:sz w:val="20"/>
                <w:szCs w:val="20"/>
                <w:rFonts w:ascii="Calibri" w:cs="Calibri" w:eastAsia="Calibri" w:hAnsi="Calibri"/>
              </w:rPr>
              <w:t xml:space="preserve">0.80</w:t>
            </w:r>
          </w:p>
        </w:tc>
        <w:tc>
          <w:tcPr>
            <w:tcW w:type="dxa" w:w="1100"/>
            <w:vAlign w:val="center"/>
          </w:tcPr>
          <w:p>
            <w:pPr>
              <w:jc w:val="left"/>
            </w:pPr>
            <w:r>
              <w:rPr>
                <w:b w:val="false"/>
                <w:bCs w:val="false"/>
                <w:sz w:val="20"/>
                <w:szCs w:val="20"/>
                <w:rFonts w:ascii="Calibri" w:cs="Calibri" w:eastAsia="Calibri" w:hAnsi="Calibri"/>
              </w:rPr>
              <w:t xml:space="preserve">6.05</w:t>
            </w:r>
          </w:p>
        </w:tc>
        <w:tc>
          <w:tcPr>
            <w:tcW w:type="dxa" w:w="1150"/>
            <w:vAlign w:val="center"/>
          </w:tcPr>
          <w:p>
            <w:pPr>
              <w:jc w:val="left"/>
            </w:pPr>
            <w:r>
              <w:rPr>
                <w:b w:val="false"/>
                <w:bCs w:val="false"/>
                <w:sz w:val="20"/>
                <w:szCs w:val="20"/>
                <w:rFonts w:ascii="Calibri" w:cs="Calibri" w:eastAsia="Calibri" w:hAnsi="Calibri"/>
              </w:rPr>
              <w:t xml:space="preserve">1.25</w:t>
            </w:r>
          </w:p>
        </w:tc>
        <w:tc>
          <w:tcPr>
            <w:tcW w:type="dxa" w:w="1150"/>
            <w:vAlign w:val="center"/>
          </w:tcPr>
          <w:p>
            <w:pPr>
              <w:jc w:val="left"/>
            </w:pPr>
            <w:r>
              <w:rPr>
                <w:b w:val="false"/>
                <w:bCs w:val="false"/>
                <w:sz w:val="20"/>
                <w:szCs w:val="20"/>
                <w:rFonts w:ascii="Calibri" w:cs="Calibri" w:eastAsia="Calibri" w:hAnsi="Calibri"/>
              </w:rPr>
              <w:t xml:space="preserve">1.05</w:t>
            </w:r>
          </w:p>
        </w:tc>
      </w:tr>
    </w:tbl>
    <w:p>
      <w:pPr>
        <w:spacing w:before="120" w:after="6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480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5. Head-on, COLREG-COLREG: histogram of minimum safe distance and P(collision).</w:t>
      </w:r>
    </w:p>
    <w:p>
      <w:pPr>
        <w:spacing w:before="120" w:after="6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48000"/>
                    </a:xfrm>
                    <a:prstGeom prst="rect">
                      <a:avLst/>
                    </a:prstGeom>
                  </pic:spPr>
                </pic:pic>
              </a:graphicData>
            </a:graphic>
          </wp:inline>
        </w:drawing>
      </w:r>
    </w:p>
    <w:p>
      <w:pPr>
        <w:spacing w:before="60" w:after="240"/>
        <w:jc w:val="center"/>
      </w:pPr>
      <w:r>
        <w:rPr>
          <w:i/>
          <w:iCs/>
          <w:sz w:val="20"/>
          <w:szCs w:val="20"/>
          <w:rFonts w:ascii="Calibri" w:cs="Calibri" w:eastAsia="Calibri" w:hAnsi="Calibri"/>
        </w:rPr>
        <w:t xml:space="preserve">Figure 6. Head-on, Blind-Blind: histogram of minimum safe distance and P(collision). Censored trials, if any, are plotted at the search cap and are not a genuine concentration of results at that distance.</w:t>
      </w:r>
    </w:p>
    <w:p>
      <w:pPr>
        <w:pStyle w:val="Heading2"/>
        <w:spacing w:before="240" w:after="120"/>
      </w:pPr>
      <w:r>
        <w:t xml:space="preserve">5.3 Discussion</w:t>
      </w:r>
    </w:p>
    <w:p>
      <w:pPr>
        <w:spacing w:after="160"/>
        <w:jc w:val="both"/>
      </w:pPr>
      <w:r>
        <w:rPr>
          <w:b w:val="false"/>
          <w:bCs w:val="false"/>
          <w:i w:val="false"/>
          <w:iCs w:val="false"/>
          <w:sz w:val="22"/>
          <w:szCs w:val="22"/>
          <w:rFonts w:ascii="Calibri" w:cs="Calibri" w:eastAsia="Calibri" w:hAnsi="Calibri"/>
        </w:rPr>
        <w:t xml:space="preserve">Both distributions are right-skewed with a long tail. Blind-Blind's median (1.05 nm) is higher than COLREG-COLREG's (0.96 nm), its tail is far longer (maximum 6.05 nm against 1.83 nm), and 0.3% of its trials cannot be resolved within the 6.05 nm search cap at all, against 0.0% for COLREG-COLREG. This quantitatively demonstrates that coordinated, rule-following give-way manoeuvres are structurally more effective at creating separation than uncoordinated ones, where random rudder choices can just as easily send both vessels toward the same side or produce no meaningful turn at all.</w:t>
      </w:r>
    </w:p>
    <w:p>
      <w:pPr>
        <w:spacing w:after="160"/>
        <w:jc w:val="both"/>
      </w:pPr>
      <w:r>
        <w:rPr>
          <w:b w:val="false"/>
          <w:bCs w:val="false"/>
          <w:i w:val="false"/>
          <w:iCs w:val="false"/>
          <w:sz w:val="22"/>
          <w:szCs w:val="22"/>
          <w:rFonts w:ascii="Calibri" w:cs="Calibri" w:eastAsia="Calibri" w:hAnsi="Calibri"/>
        </w:rPr>
        <w:t xml:space="preserve">Raw per-trial samples (rudder angles, speeds, resulting minimum safe distance, censored flag) for both scenarios are provided as separate CSV files alongside this report for further analysis.</w:t>
      </w:r>
    </w:p>
    <w:p>
      <w:r>
        <w:br w:type="page"/>
      </w:r>
    </w:p>
    <w:p>
      <w:pPr>
        <w:pStyle w:val="Heading1"/>
        <w:spacing w:before="300" w:after="150"/>
      </w:pPr>
      <w:r>
        <w:t xml:space="preserve">6. Summary of Key Assumptions and Open Items</w:t>
      </w:r>
    </w:p>
    <w:p>
      <w:pPr>
        <w:pStyle w:val="ListParagraph"/>
        <w:numPr>
          <w:ilvl w:val="0"/>
          <w:numId w:val="1"/>
        </w:numPr>
        <w:spacing w:after="80"/>
      </w:pPr>
      <w:r>
        <w:rPr>
          <w:sz w:val="22"/>
          <w:szCs w:val="22"/>
          <w:rFonts w:ascii="Calibri" w:cs="Calibri" w:eastAsia="Calibri" w:hAnsi="Calibri"/>
        </w:rPr>
        <w:t xml:space="preserve">T is now vessel-specific (see Section 2.1.1) via a length/speed scaling law, since the actual Silveira et al. (2016) length/type table is unavailable. Replace with the real table if it becomes accessible.</w:t>
      </w:r>
    </w:p>
    <w:p>
      <w:pPr>
        <w:pStyle w:val="ListParagraph"/>
        <w:numPr>
          <w:ilvl w:val="0"/>
          <w:numId w:val="1"/>
        </w:numPr>
        <w:spacing w:after="80"/>
      </w:pPr>
      <w:r>
        <w:rPr>
          <w:sz w:val="22"/>
          <w:szCs w:val="22"/>
          <w:rFonts w:ascii="Calibri" w:cs="Calibri" w:eastAsia="Calibri" w:hAnsi="Calibri"/>
        </w:rPr>
        <w:t xml:space="preserve">The MMG-vs-Nomoto-only decision for solo submissions should be confirmed in writing with course staff.</w:t>
      </w:r>
    </w:p>
    <w:p>
      <w:pPr>
        <w:pStyle w:val="ListParagraph"/>
        <w:numPr>
          <w:ilvl w:val="0"/>
          <w:numId w:val="1"/>
        </w:numPr>
        <w:spacing w:after="80"/>
      </w:pPr>
      <w:r>
        <w:rPr>
          <w:sz w:val="22"/>
          <w:szCs w:val="22"/>
          <w:rFonts w:ascii="Calibri" w:cs="Calibri" w:eastAsia="Calibri" w:hAnsi="Calibri"/>
        </w:rPr>
        <w:t xml:space="preserve">Task 2's search starts the give-way rudder at t=0 for each trial separation (correct for finding the minimum safe distance itself); a separate 'cruise then trigger at minimum safe distance' demonstration has not been built.</w:t>
      </w:r>
    </w:p>
    <w:p>
      <w:pPr>
        <w:pStyle w:val="ListParagraph"/>
        <w:numPr>
          <w:ilvl w:val="0"/>
          <w:numId w:val="1"/>
        </w:numPr>
        <w:spacing w:after="80"/>
      </w:pPr>
      <w:r>
        <w:rPr>
          <w:sz w:val="22"/>
          <w:szCs w:val="22"/>
          <w:rFonts w:ascii="Calibri" w:cs="Calibri" w:eastAsia="Calibri" w:hAnsi="Calibri"/>
        </w:rPr>
        <w:t xml:space="preserve">Task 4's Blind-Blind censoring cap and its effect on the reported tail statistics (Section 5.2) should be revisited if a tighter bound becomes necessary.</w:t>
      </w:r>
    </w:p>
    <w:p>
      <w:r>
        <w:br w:type="page"/>
      </w:r>
    </w:p>
    <w:p>
      <w:pPr>
        <w:pStyle w:val="Heading1"/>
        <w:spacing w:before="300" w:after="150"/>
      </w:pPr>
      <w:r>
        <w:t xml:space="preserve">References</w:t>
      </w:r>
    </w:p>
    <w:p>
      <w:pPr>
        <w:spacing w:after="160"/>
        <w:jc w:val="both"/>
      </w:pPr>
      <w:r>
        <w:rPr>
          <w:b w:val="false"/>
          <w:bCs w:val="false"/>
          <w:i w:val="false"/>
          <w:iCs w:val="false"/>
          <w:sz w:val="22"/>
          <w:szCs w:val="22"/>
          <w:rFonts w:ascii="Calibri" w:cs="Calibri" w:eastAsia="Calibri" w:hAnsi="Calibri"/>
        </w:rPr>
        <w:t xml:space="preserve">Cockcroft, A. N., &amp; Lameijer, J. N. F. (2012). A guide to the collision avoidance rules: International regulations for preventing collisions at sea. Elsevier.</w:t>
      </w:r>
    </w:p>
    <w:p>
      <w:pPr>
        <w:spacing w:after="160"/>
        <w:jc w:val="both"/>
      </w:pPr>
      <w:r>
        <w:rPr>
          <w:b w:val="false"/>
          <w:bCs w:val="false"/>
          <w:i w:val="false"/>
          <w:iCs w:val="false"/>
          <w:sz w:val="22"/>
          <w:szCs w:val="22"/>
          <w:rFonts w:ascii="Calibri" w:cs="Calibri" w:eastAsia="Calibri" w:hAnsi="Calibri"/>
        </w:rPr>
        <w:t xml:space="preserve">Hashimoto, A., &amp; Okushima, T. (1990). Evaluating marine traffic safety at channels. Accident Analysis &amp; Prevention, 22(5), 421-442.</w:t>
      </w:r>
    </w:p>
    <w:p>
      <w:pPr>
        <w:spacing w:after="160"/>
        <w:jc w:val="both"/>
      </w:pPr>
      <w:r>
        <w:rPr>
          <w:b w:val="false"/>
          <w:bCs w:val="false"/>
          <w:i w:val="false"/>
          <w:iCs w:val="false"/>
          <w:sz w:val="22"/>
          <w:szCs w:val="22"/>
          <w:rFonts w:ascii="Calibri" w:cs="Calibri" w:eastAsia="Calibri" w:hAnsi="Calibri"/>
        </w:rPr>
        <w:t xml:space="preserve">Lotovskyi, E., &amp; Teixeira, A. P. (2023). Effect of timely manoeuvre execution on the collision probability in head-on and crossing encounter scenarios. In H. Le Sourne &amp; C. Guedes Soares (Eds.), Advances in the Collision and Grounding of Ships and Offshore Structures (pp. 113-120). CRC Press.</w:t>
      </w:r>
    </w:p>
    <w:p>
      <w:pPr>
        <w:spacing w:after="160"/>
        <w:jc w:val="both"/>
      </w:pPr>
      <w:r>
        <w:rPr>
          <w:b w:val="false"/>
          <w:bCs w:val="false"/>
          <w:i w:val="false"/>
          <w:iCs w:val="false"/>
          <w:sz w:val="22"/>
          <w:szCs w:val="22"/>
          <w:rFonts w:ascii="Calibri" w:cs="Calibri" w:eastAsia="Calibri" w:hAnsi="Calibri"/>
        </w:rPr>
        <w:t xml:space="preserve">Silveira, P., Teixeira, A. P., &amp; Guedes Soares, C. (2016). Probabilistic modelling of evasive manoeuvring actions to avoid collisions. In Maritime Technology and Engineering III (MARTECH 2016). Taylor &amp; Francis.</w:t>
      </w:r>
    </w:p>
    <w:p>
      <w:pPr>
        <w:spacing w:after="160"/>
        <w:jc w:val="both"/>
      </w:pPr>
      <w:r>
        <w:rPr>
          <w:b w:val="false"/>
          <w:bCs w:val="false"/>
          <w:i w:val="false"/>
          <w:iCs w:val="false"/>
          <w:sz w:val="22"/>
          <w:szCs w:val="22"/>
          <w:rFonts w:ascii="Calibri" w:cs="Calibri" w:eastAsia="Calibri" w:hAnsi="Calibri"/>
        </w:rPr>
        <w:t xml:space="preserve">SNAME. (1989). Principles of Naval Architecture. Motions in Waves and Controllability: Vol. III (E. V. Lewis, Ed., 2nd ed.). SNAME.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zjx_n7xcsnwpeu07pytd.png"/><Relationship Id="rId7" Type="http://schemas.openxmlformats.org/officeDocument/2006/relationships/image" Target="media/_rcaua4sgddpcwssdwuj9.png"/><Relationship Id="rId8" Type="http://schemas.openxmlformats.org/officeDocument/2006/relationships/image" Target="media/bmuiws3xs2nsuyj8w_bda.png"/><Relationship Id="rId9" Type="http://schemas.openxmlformats.org/officeDocument/2006/relationships/image" Target="media/yshgshcq-o7tj5zi2ew-f.png"/><Relationship Id="rId10" Type="http://schemas.openxmlformats.org/officeDocument/2006/relationships/image" Target="media/6yrjoiqj8jagzccdzzk0q.png"/><Relationship Id="rId11" Type="http://schemas.openxmlformats.org/officeDocument/2006/relationships/image" Target="media/oxougzuv-xnn9eawzn7e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2026-09-28T11:45:27.379Z</dcterms:created>
  <dcterms:modified xsi:type="dcterms:W3CDTF">2026-09-28T11:45:27.379Z</dcterms:modified>
</cp:coreProperties>
</file>

<file path=docProps/custom.xml><?xml version="1.0" encoding="utf-8"?>
<Properties xmlns="http://schemas.openxmlformats.org/officeDocument/2006/custom-properties" xmlns:vt="http://schemas.openxmlformats.org/officeDocument/2006/docPropsVTypes"/>
</file>