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276" w:lineRule="auto"/>
        <w:jc w:val="center"/>
      </w:pPr>
      <w:r>
        <w:rPr>
          <w:rFonts w:ascii="Times New Roman" w:hAnsi="Times New Roman" w:eastAsia="Times New Roman"/>
          <w:b/>
          <w:i w:val="0"/>
          <w:sz w:val="44"/>
        </w:rPr>
        <w:t>PRCP-1010-InsClaimPred</w:t>
      </w:r>
    </w:p>
    <w:p>
      <w:pPr>
        <w:spacing w:after="360" w:line="276" w:lineRule="auto"/>
        <w:jc w:val="center"/>
      </w:pPr>
      <w:r>
        <w:rPr>
          <w:rFonts w:ascii="Times New Roman" w:hAnsi="Times New Roman" w:eastAsia="Times New Roman"/>
          <w:b/>
          <w:i w:val="0"/>
          <w:sz w:val="36"/>
        </w:rPr>
        <w:t>Insurance Claim Prediction</w:t>
      </w:r>
    </w:p>
    <w:p>
      <w:pPr>
        <w:spacing w:after="560" w:line="276" w:lineRule="auto"/>
        <w:jc w:val="center"/>
      </w:pPr>
      <w:r>
        <w:rPr>
          <w:rFonts w:ascii="Times New Roman" w:hAnsi="Times New Roman" w:eastAsia="Times New Roman"/>
          <w:b/>
          <w:i w:val="0"/>
          <w:sz w:val="28"/>
        </w:rPr>
        <w:t>Project Working Explanation Document</w:t>
      </w:r>
    </w:p>
    <w:p>
      <w:pPr>
        <w:spacing w:after="160" w:line="276" w:lineRule="auto"/>
        <w:jc w:val="center"/>
      </w:pPr>
      <w:r>
        <w:rPr>
          <w:rFonts w:ascii="Times New Roman" w:hAnsi="Times New Roman" w:eastAsia="Times New Roman"/>
          <w:b w:val="0"/>
          <w:i w:val="0"/>
          <w:sz w:val="24"/>
        </w:rPr>
        <w:t>B.Tech Mini Project — Domain: Finance / Insurance</w:t>
      </w:r>
    </w:p>
    <w:p>
      <w:pPr>
        <w:spacing w:after="560" w:line="276" w:lineRule="auto"/>
        <w:jc w:val="center"/>
      </w:pPr>
      <w:r>
        <w:rPr>
          <w:rFonts w:ascii="Times New Roman" w:hAnsi="Times New Roman" w:eastAsia="Times New Roman"/>
          <w:b w:val="0"/>
          <w:i/>
          <w:sz w:val="24"/>
        </w:rPr>
        <w:t>How the Project Works — End-to-End Guide</w:t>
      </w:r>
    </w:p>
    <w:p>
      <w:pPr>
        <w:spacing w:after="160" w:line="276" w:lineRule="auto"/>
        <w:jc w:val="center"/>
      </w:pPr>
      <w:r>
        <w:rPr>
          <w:rFonts w:ascii="Times New Roman" w:hAnsi="Times New Roman" w:eastAsia="Times New Roman"/>
          <w:b w:val="0"/>
          <w:i w:val="0"/>
          <w:sz w:val="22"/>
        </w:rPr>
        <w:t>Companion document to: PRCP_1010_Insurance_Claim_Prediction.ipynb</w:t>
      </w:r>
    </w:p>
    <w:p>
      <w:r>
        <w:br w:type="page"/>
      </w:r>
    </w:p>
    <w:p>
      <w:pPr>
        <w:pStyle w:val="Heading1"/>
      </w:pPr>
      <w:r>
        <w:rPr>
          <w:color w:val="1A3A5C"/>
          <w:sz w:val="32"/>
        </w:rPr>
        <w:t>1. Introduction</w:t>
      </w:r>
    </w:p>
    <w:p>
      <w:pPr>
        <w:spacing w:after="160" w:line="276" w:lineRule="auto"/>
        <w:jc w:val="both"/>
      </w:pPr>
      <w:r>
        <w:rPr>
          <w:rFonts w:ascii="Times New Roman" w:hAnsi="Times New Roman" w:eastAsia="Times New Roman"/>
          <w:b w:val="0"/>
          <w:i w:val="0"/>
          <w:sz w:val="24"/>
        </w:rPr>
        <w:t>This document explains how the Insurance Claim Prediction mini project works from start to finish. It is written so that a student, examiner, or marketing stakeholder can understand the problem, data flow, modelling steps, evaluation method, and business recommendations without reading the code first.</w:t>
      </w:r>
    </w:p>
    <w:p>
      <w:pPr>
        <w:spacing w:after="160" w:line="276" w:lineRule="auto"/>
        <w:jc w:val="both"/>
      </w:pPr>
      <w:r>
        <w:rPr>
          <w:rFonts w:ascii="Times New Roman" w:hAnsi="Times New Roman" w:eastAsia="Times New Roman"/>
          <w:b w:val="0"/>
          <w:i w:val="0"/>
          <w:sz w:val="24"/>
        </w:rPr>
        <w:t>The project solves two required tasks from the problem statement:</w:t>
      </w:r>
    </w:p>
    <w:p>
      <w:pPr>
        <w:pStyle w:val="ListNumber"/>
        <w:spacing w:after="80"/>
      </w:pPr>
      <w:r>
        <w:rPr>
          <w:rFonts w:ascii="Times New Roman" w:hAnsi="Times New Roman" w:eastAsia="Times New Roman"/>
          <w:b w:val="0"/>
          <w:i w:val="0"/>
          <w:sz w:val="24"/>
        </w:rPr>
        <w:t>Build a predictive model that identifies customers who are likely to file an insurance claim.</w:t>
      </w:r>
    </w:p>
    <w:p>
      <w:pPr>
        <w:pStyle w:val="ListNumber"/>
        <w:spacing w:after="80"/>
      </w:pPr>
      <w:r>
        <w:rPr>
          <w:rFonts w:ascii="Times New Roman" w:hAnsi="Times New Roman" w:eastAsia="Times New Roman"/>
          <w:b w:val="0"/>
          <w:i w:val="0"/>
          <w:sz w:val="24"/>
        </w:rPr>
        <w:t>Give practical suggestions to the insurance marketing team so they can target the right customers with suitable products.</w:t>
      </w:r>
    </w:p>
    <w:p>
      <w:pPr>
        <w:spacing w:after="160" w:line="276" w:lineRule="auto"/>
        <w:jc w:val="both"/>
      </w:pPr>
      <w:r>
        <w:rPr>
          <w:rFonts w:ascii="Times New Roman" w:hAnsi="Times New Roman" w:eastAsia="Times New Roman"/>
          <w:b w:val="0"/>
          <w:i w:val="0"/>
          <w:sz w:val="24"/>
        </w:rPr>
        <w:t>In addition, the notebook includes a model comparison report and a challenges report, as required for final submission.</w:t>
      </w:r>
    </w:p>
    <w:p>
      <w:pPr>
        <w:pStyle w:val="Heading1"/>
      </w:pPr>
      <w:r>
        <w:rPr>
          <w:color w:val="1A3A5C"/>
          <w:sz w:val="32"/>
        </w:rPr>
        <w:t>2. Problem Understanding</w:t>
      </w:r>
    </w:p>
    <w:p>
      <w:pPr>
        <w:spacing w:after="160" w:line="276" w:lineRule="auto"/>
        <w:jc w:val="both"/>
      </w:pPr>
      <w:r>
        <w:rPr>
          <w:rFonts w:ascii="Times New Roman" w:hAnsi="Times New Roman" w:eastAsia="Times New Roman"/>
          <w:b w:val="0"/>
          <w:i w:val="0"/>
          <w:sz w:val="24"/>
        </w:rPr>
        <w:t>Insurance companies face different risk levels across customers. If the company can estimate claim likelihood early, the marketing and risk teams can offer better products, adjust attention to high-risk customers, and use campaign budget more efficiently.</w:t>
      </w:r>
    </w:p>
    <w:p>
      <w:pPr>
        <w:spacing w:after="160" w:line="276" w:lineRule="auto"/>
      </w:pPr>
      <w:r>
        <w:rPr>
          <w:rFonts w:ascii="Times New Roman" w:hAnsi="Times New Roman" w:eastAsia="Times New Roman"/>
          <w:b/>
          <w:i w:val="0"/>
          <w:sz w:val="24"/>
        </w:rPr>
        <w:t>In this dataset:</w:t>
      </w:r>
    </w:p>
    <w:p>
      <w:pPr>
        <w:pStyle w:val="ListBullet"/>
        <w:spacing w:after="80"/>
      </w:pPr>
      <w:r>
        <w:rPr>
          <w:rFonts w:ascii="Times New Roman" w:hAnsi="Times New Roman" w:eastAsia="Times New Roman"/>
          <w:b w:val="0"/>
          <w:i w:val="0"/>
          <w:sz w:val="24"/>
        </w:rPr>
        <w:t>Target = 1 means the customer filed a claim.</w:t>
      </w:r>
    </w:p>
    <w:p>
      <w:pPr>
        <w:pStyle w:val="ListBullet"/>
        <w:spacing w:after="80"/>
      </w:pPr>
      <w:r>
        <w:rPr>
          <w:rFonts w:ascii="Times New Roman" w:hAnsi="Times New Roman" w:eastAsia="Times New Roman"/>
          <w:b w:val="0"/>
          <w:i w:val="0"/>
          <w:sz w:val="24"/>
        </w:rPr>
        <w:t>Target = 0 means the customer did not file a claim.</w:t>
      </w:r>
    </w:p>
    <w:p>
      <w:pPr>
        <w:spacing w:after="160" w:line="276" w:lineRule="auto"/>
        <w:jc w:val="both"/>
      </w:pPr>
      <w:r>
        <w:rPr>
          <w:rFonts w:ascii="Times New Roman" w:hAnsi="Times New Roman" w:eastAsia="Times New Roman"/>
          <w:b w:val="0"/>
          <w:i w:val="0"/>
          <w:sz w:val="24"/>
        </w:rPr>
        <w:t>Because only about 3.6% of customers filed a claim, this is an imbalanced classification problem. A model that always predicts “no claim” would look accurate but would be useless for business decisions. Therefore the project focuses on ROC-AUC, Recall, and F1 rather than Accuracy alone.</w:t>
      </w:r>
    </w:p>
    <w:p>
      <w:pPr>
        <w:pStyle w:val="Heading1"/>
      </w:pPr>
      <w:r>
        <w:rPr>
          <w:color w:val="1A3A5C"/>
          <w:sz w:val="32"/>
        </w:rPr>
        <w:t>3. Project Architecture (How Data Flows)</w:t>
      </w:r>
    </w:p>
    <w:p>
      <w:pPr>
        <w:spacing w:after="160" w:line="276" w:lineRule="auto"/>
        <w:jc w:val="both"/>
      </w:pPr>
      <w:r>
        <w:rPr>
          <w:rFonts w:ascii="Times New Roman" w:hAnsi="Times New Roman" w:eastAsia="Times New Roman"/>
          <w:b w:val="0"/>
          <w:i w:val="0"/>
          <w:sz w:val="24"/>
        </w:rPr>
        <w:t>The end-to-end pipeline works in the following order:</w:t>
      </w:r>
    </w:p>
    <w:p>
      <w:pPr>
        <w:spacing w:after="80"/>
      </w:pPr>
      <w:r>
        <w:rPr>
          <w:rFonts w:ascii="Times New Roman" w:hAnsi="Times New Roman" w:eastAsia="Times New Roman"/>
          <w:b/>
          <w:i w:val="0"/>
          <w:sz w:val="24"/>
        </w:rPr>
        <w:t xml:space="preserve">Step A — Data Load: </w:t>
      </w:r>
      <w:r>
        <w:rPr>
          <w:rFonts w:ascii="Times New Roman" w:hAnsi="Times New Roman" w:eastAsia="Times New Roman"/>
          <w:b w:val="0"/>
          <w:i w:val="0"/>
          <w:sz w:val="24"/>
        </w:rPr>
        <w:t>Read train.csv (or auto-download the Capstone zip if the file is missing).</w:t>
      </w:r>
    </w:p>
    <w:p>
      <w:pPr>
        <w:spacing w:after="80"/>
      </w:pPr>
      <w:r>
        <w:rPr>
          <w:rFonts w:ascii="Times New Roman" w:hAnsi="Times New Roman" w:eastAsia="Times New Roman"/>
          <w:b/>
          <w:i w:val="0"/>
          <w:sz w:val="24"/>
        </w:rPr>
        <w:t xml:space="preserve">Step B — Light EDA: </w:t>
      </w:r>
      <w:r>
        <w:rPr>
          <w:rFonts w:ascii="Times New Roman" w:hAnsi="Times New Roman" w:eastAsia="Times New Roman"/>
          <w:b w:val="0"/>
          <w:i w:val="0"/>
          <w:sz w:val="24"/>
        </w:rPr>
        <w:t>Check shape, target balance, missing-value codes, and feature groups.</w:t>
      </w:r>
    </w:p>
    <w:p>
      <w:pPr>
        <w:spacing w:after="80"/>
      </w:pPr>
      <w:r>
        <w:rPr>
          <w:rFonts w:ascii="Times New Roman" w:hAnsi="Times New Roman" w:eastAsia="Times New Roman"/>
          <w:b/>
          <w:i w:val="0"/>
          <w:sz w:val="24"/>
        </w:rPr>
        <w:t xml:space="preserve">Step C — Preprocessing: </w:t>
      </w:r>
      <w:r>
        <w:rPr>
          <w:rFonts w:ascii="Times New Roman" w:hAnsi="Times New Roman" w:eastAsia="Times New Roman"/>
          <w:b w:val="0"/>
          <w:i w:val="0"/>
          <w:sz w:val="24"/>
        </w:rPr>
        <w:t>Drop id, convert -1 to missing, impute, prepare X and y.</w:t>
      </w:r>
    </w:p>
    <w:p>
      <w:pPr>
        <w:spacing w:after="80"/>
      </w:pPr>
      <w:r>
        <w:rPr>
          <w:rFonts w:ascii="Times New Roman" w:hAnsi="Times New Roman" w:eastAsia="Times New Roman"/>
          <w:b/>
          <w:i w:val="0"/>
          <w:sz w:val="24"/>
        </w:rPr>
        <w:t xml:space="preserve">Step D — Train/Test Split: </w:t>
      </w:r>
      <w:r>
        <w:rPr>
          <w:rFonts w:ascii="Times New Roman" w:hAnsi="Times New Roman" w:eastAsia="Times New Roman"/>
          <w:b w:val="0"/>
          <w:i w:val="0"/>
          <w:sz w:val="24"/>
        </w:rPr>
        <w:t>Stratified split so claim ratio is preserved in train and test.</w:t>
      </w:r>
    </w:p>
    <w:p>
      <w:pPr>
        <w:spacing w:after="80"/>
      </w:pPr>
      <w:r>
        <w:rPr>
          <w:rFonts w:ascii="Times New Roman" w:hAnsi="Times New Roman" w:eastAsia="Times New Roman"/>
          <w:b/>
          <w:i w:val="0"/>
          <w:sz w:val="24"/>
        </w:rPr>
        <w:t xml:space="preserve">Step E — Model Training: </w:t>
      </w:r>
      <w:r>
        <w:rPr>
          <w:rFonts w:ascii="Times New Roman" w:hAnsi="Times New Roman" w:eastAsia="Times New Roman"/>
          <w:b w:val="0"/>
          <w:i w:val="0"/>
          <w:sz w:val="24"/>
        </w:rPr>
        <w:t>Train multiple classifiers with imbalance-aware settings.</w:t>
      </w:r>
    </w:p>
    <w:p>
      <w:pPr>
        <w:spacing w:after="80"/>
      </w:pPr>
      <w:r>
        <w:rPr>
          <w:rFonts w:ascii="Times New Roman" w:hAnsi="Times New Roman" w:eastAsia="Times New Roman"/>
          <w:b/>
          <w:i w:val="0"/>
          <w:sz w:val="24"/>
        </w:rPr>
        <w:t xml:space="preserve">Step F — Evaluation: </w:t>
      </w:r>
      <w:r>
        <w:rPr>
          <w:rFonts w:ascii="Times New Roman" w:hAnsi="Times New Roman" w:eastAsia="Times New Roman"/>
          <w:b w:val="0"/>
          <w:i w:val="0"/>
          <w:sz w:val="24"/>
        </w:rPr>
        <w:t>Compare Accuracy, Precision, Recall, F1, and ROC-AUC; plot ROC curves.</w:t>
      </w:r>
    </w:p>
    <w:p>
      <w:pPr>
        <w:spacing w:after="80"/>
      </w:pPr>
      <w:r>
        <w:rPr>
          <w:rFonts w:ascii="Times New Roman" w:hAnsi="Times New Roman" w:eastAsia="Times New Roman"/>
          <w:b/>
          <w:i w:val="0"/>
          <w:sz w:val="24"/>
        </w:rPr>
        <w:t xml:space="preserve">Step G — Threshold Tuning: </w:t>
      </w:r>
      <w:r>
        <w:rPr>
          <w:rFonts w:ascii="Times New Roman" w:hAnsi="Times New Roman" w:eastAsia="Times New Roman"/>
          <w:b w:val="0"/>
          <w:i w:val="0"/>
          <w:sz w:val="24"/>
        </w:rPr>
        <w:t>Choose an operating threshold for practical claim detection.</w:t>
      </w:r>
    </w:p>
    <w:p>
      <w:pPr>
        <w:spacing w:after="80"/>
      </w:pPr>
      <w:r>
        <w:rPr>
          <w:rFonts w:ascii="Times New Roman" w:hAnsi="Times New Roman" w:eastAsia="Times New Roman"/>
          <w:b/>
          <w:i w:val="0"/>
          <w:sz w:val="24"/>
        </w:rPr>
        <w:t xml:space="preserve">Step H — Business Output: </w:t>
      </w:r>
      <w:r>
        <w:rPr>
          <w:rFonts w:ascii="Times New Roman" w:hAnsi="Times New Roman" w:eastAsia="Times New Roman"/>
          <w:b w:val="0"/>
          <w:i w:val="0"/>
          <w:sz w:val="24"/>
        </w:rPr>
        <w:t>Use feature importance and risk bands to create marketing suggestions.</w:t>
      </w:r>
    </w:p>
    <w:p>
      <w:pPr>
        <w:spacing w:after="80"/>
      </w:pPr>
      <w:r>
        <w:rPr>
          <w:rFonts w:ascii="Times New Roman" w:hAnsi="Times New Roman" w:eastAsia="Times New Roman"/>
          <w:b/>
          <w:i w:val="0"/>
          <w:sz w:val="24"/>
        </w:rPr>
        <w:t xml:space="preserve">Step I — Save Artifacts: </w:t>
      </w:r>
      <w:r>
        <w:rPr>
          <w:rFonts w:ascii="Times New Roman" w:hAnsi="Times New Roman" w:eastAsia="Times New Roman"/>
          <w:b w:val="0"/>
          <w:i w:val="0"/>
          <w:sz w:val="24"/>
        </w:rPr>
        <w:t>Save best model and CSV reports for submission/demo.</w:t>
      </w:r>
    </w:p>
    <w:p>
      <w:pPr>
        <w:pStyle w:val="Heading1"/>
      </w:pPr>
      <w:r>
        <w:rPr>
          <w:color w:val="1A3A5C"/>
          <w:sz w:val="32"/>
        </w:rPr>
        <w:t>4. Dataset Description</w:t>
      </w:r>
    </w:p>
    <w:p>
      <w:pPr>
        <w:spacing w:after="160" w:line="276" w:lineRule="auto"/>
        <w:jc w:val="both"/>
      </w:pPr>
      <w:r>
        <w:rPr>
          <w:rFonts w:ascii="Times New Roman" w:hAnsi="Times New Roman" w:eastAsia="Times New Roman"/>
          <w:b w:val="0"/>
          <w:i w:val="0"/>
          <w:sz w:val="24"/>
        </w:rPr>
        <w:t>The official Capstone dataset contains about 595,212 customer records and 59 columns. Feature names are anonymized for privacy, using prefixes that still indicate the feature family: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A5C" w:val="clear"/>
          </w:tcPr>
          <w:p>
            <w:pPr>
              <w:jc w:val="center"/>
            </w:pPr>
            <w:r/>
            <w:r>
              <w:rPr>
                <w:rFonts w:ascii="Times New Roman" w:hAnsi="Times New Roman" w:eastAsia="Times New Roman"/>
                <w:b/>
                <w:i w:val="0"/>
                <w:color w:val="FFFFFF"/>
                <w:sz w:val="22"/>
              </w:rPr>
              <w:t>Feature family</w:t>
            </w:r>
          </w:p>
        </w:tc>
        <w:tc>
          <w:tcPr>
            <w:tcW w:type="dxa" w:w="3120"/>
            <w:shd w:fill="1A3A5C" w:val="clear"/>
          </w:tcPr>
          <w:p>
            <w:pPr>
              <w:jc w:val="center"/>
            </w:pPr>
            <w:r/>
            <w:r>
              <w:rPr>
                <w:rFonts w:ascii="Times New Roman" w:hAnsi="Times New Roman" w:eastAsia="Times New Roman"/>
                <w:b/>
                <w:i w:val="0"/>
                <w:color w:val="FFFFFF"/>
                <w:sz w:val="22"/>
              </w:rPr>
              <w:t>Prefix / pattern</w:t>
            </w:r>
          </w:p>
        </w:tc>
        <w:tc>
          <w:tcPr>
            <w:tcW w:type="dxa" w:w="3120"/>
            <w:shd w:fill="1A3A5C" w:val="clear"/>
          </w:tcPr>
          <w:p>
            <w:pPr>
              <w:jc w:val="center"/>
            </w:pPr>
            <w:r/>
            <w:r>
              <w:rPr>
                <w:rFonts w:ascii="Times New Roman" w:hAnsi="Times New Roman" w:eastAsia="Times New Roman"/>
                <w:b/>
                <w:i w:val="0"/>
                <w:color w:val="FFFFFF"/>
                <w:sz w:val="22"/>
              </w:rPr>
              <w:t>Meaning (high level)</w:t>
            </w:r>
          </w:p>
        </w:tc>
      </w:tr>
      <w:tr>
        <w:tc>
          <w:tcPr>
            <w:tcW w:type="dxa" w:w="3120"/>
          </w:tcPr>
          <w:p>
            <w:pPr>
              <w:jc w:val="center"/>
            </w:pPr>
            <w:r/>
            <w:r>
              <w:rPr>
                <w:rFonts w:ascii="Times New Roman" w:hAnsi="Times New Roman" w:eastAsia="Times New Roman"/>
                <w:b w:val="0"/>
                <w:i w:val="0"/>
                <w:sz w:val="20"/>
              </w:rPr>
              <w:t>Individual profile</w:t>
            </w:r>
          </w:p>
        </w:tc>
        <w:tc>
          <w:tcPr>
            <w:tcW w:type="dxa" w:w="3120"/>
          </w:tcPr>
          <w:p>
            <w:pPr>
              <w:jc w:val="center"/>
            </w:pPr>
            <w:r/>
            <w:r>
              <w:rPr>
                <w:rFonts w:ascii="Times New Roman" w:hAnsi="Times New Roman" w:eastAsia="Times New Roman"/>
                <w:b w:val="0"/>
                <w:i w:val="0"/>
                <w:sz w:val="20"/>
              </w:rPr>
              <w:t>ps_ind_*</w:t>
            </w:r>
          </w:p>
        </w:tc>
        <w:tc>
          <w:tcPr>
            <w:tcW w:type="dxa" w:w="3120"/>
          </w:tcPr>
          <w:p>
            <w:pPr>
              <w:jc w:val="center"/>
            </w:pPr>
            <w:r/>
            <w:r>
              <w:rPr>
                <w:rFonts w:ascii="Times New Roman" w:hAnsi="Times New Roman" w:eastAsia="Times New Roman"/>
                <w:b w:val="0"/>
                <w:i w:val="0"/>
                <w:sz w:val="20"/>
              </w:rPr>
              <w:t>Customer / policyholder attributes</w:t>
            </w:r>
          </w:p>
        </w:tc>
      </w:tr>
      <w:tr>
        <w:tc>
          <w:tcPr>
            <w:tcW w:type="dxa" w:w="3120"/>
          </w:tcPr>
          <w:p>
            <w:pPr>
              <w:jc w:val="center"/>
            </w:pPr>
            <w:r/>
            <w:r>
              <w:rPr>
                <w:rFonts w:ascii="Times New Roman" w:hAnsi="Times New Roman" w:eastAsia="Times New Roman"/>
                <w:b w:val="0"/>
                <w:i w:val="0"/>
                <w:sz w:val="20"/>
              </w:rPr>
              <w:t>Region</w:t>
            </w:r>
          </w:p>
        </w:tc>
        <w:tc>
          <w:tcPr>
            <w:tcW w:type="dxa" w:w="3120"/>
          </w:tcPr>
          <w:p>
            <w:pPr>
              <w:jc w:val="center"/>
            </w:pPr>
            <w:r/>
            <w:r>
              <w:rPr>
                <w:rFonts w:ascii="Times New Roman" w:hAnsi="Times New Roman" w:eastAsia="Times New Roman"/>
                <w:b w:val="0"/>
                <w:i w:val="0"/>
                <w:sz w:val="20"/>
              </w:rPr>
              <w:t>ps_reg_*</w:t>
            </w:r>
          </w:p>
        </w:tc>
        <w:tc>
          <w:tcPr>
            <w:tcW w:type="dxa" w:w="3120"/>
          </w:tcPr>
          <w:p>
            <w:pPr>
              <w:jc w:val="center"/>
            </w:pPr>
            <w:r/>
            <w:r>
              <w:rPr>
                <w:rFonts w:ascii="Times New Roman" w:hAnsi="Times New Roman" w:eastAsia="Times New Roman"/>
                <w:b w:val="0"/>
                <w:i w:val="0"/>
                <w:sz w:val="20"/>
              </w:rPr>
              <w:t>Geographic / region-related attributes</w:t>
            </w:r>
          </w:p>
        </w:tc>
      </w:tr>
      <w:tr>
        <w:tc>
          <w:tcPr>
            <w:tcW w:type="dxa" w:w="3120"/>
          </w:tcPr>
          <w:p>
            <w:pPr>
              <w:jc w:val="center"/>
            </w:pPr>
            <w:r/>
            <w:r>
              <w:rPr>
                <w:rFonts w:ascii="Times New Roman" w:hAnsi="Times New Roman" w:eastAsia="Times New Roman"/>
                <w:b w:val="0"/>
                <w:i w:val="0"/>
                <w:sz w:val="20"/>
              </w:rPr>
              <w:t>Car / vehicle</w:t>
            </w:r>
          </w:p>
        </w:tc>
        <w:tc>
          <w:tcPr>
            <w:tcW w:type="dxa" w:w="3120"/>
          </w:tcPr>
          <w:p>
            <w:pPr>
              <w:jc w:val="center"/>
            </w:pPr>
            <w:r/>
            <w:r>
              <w:rPr>
                <w:rFonts w:ascii="Times New Roman" w:hAnsi="Times New Roman" w:eastAsia="Times New Roman"/>
                <w:b w:val="0"/>
                <w:i w:val="0"/>
                <w:sz w:val="20"/>
              </w:rPr>
              <w:t>ps_car_*</w:t>
            </w:r>
          </w:p>
        </w:tc>
        <w:tc>
          <w:tcPr>
            <w:tcW w:type="dxa" w:w="3120"/>
          </w:tcPr>
          <w:p>
            <w:pPr>
              <w:jc w:val="center"/>
            </w:pPr>
            <w:r/>
            <w:r>
              <w:rPr>
                <w:rFonts w:ascii="Times New Roman" w:hAnsi="Times New Roman" w:eastAsia="Times New Roman"/>
                <w:b w:val="0"/>
                <w:i w:val="0"/>
                <w:sz w:val="20"/>
              </w:rPr>
              <w:t>Vehicle-related attributes</w:t>
            </w:r>
          </w:p>
        </w:tc>
      </w:tr>
      <w:tr>
        <w:tc>
          <w:tcPr>
            <w:tcW w:type="dxa" w:w="3120"/>
          </w:tcPr>
          <w:p>
            <w:pPr>
              <w:jc w:val="center"/>
            </w:pPr>
            <w:r/>
            <w:r>
              <w:rPr>
                <w:rFonts w:ascii="Times New Roman" w:hAnsi="Times New Roman" w:eastAsia="Times New Roman"/>
                <w:b w:val="0"/>
                <w:i w:val="0"/>
                <w:sz w:val="20"/>
              </w:rPr>
              <w:t>Calculated</w:t>
            </w:r>
          </w:p>
        </w:tc>
        <w:tc>
          <w:tcPr>
            <w:tcW w:type="dxa" w:w="3120"/>
          </w:tcPr>
          <w:p>
            <w:pPr>
              <w:jc w:val="center"/>
            </w:pPr>
            <w:r/>
            <w:r>
              <w:rPr>
                <w:rFonts w:ascii="Times New Roman" w:hAnsi="Times New Roman" w:eastAsia="Times New Roman"/>
                <w:b w:val="0"/>
                <w:i w:val="0"/>
                <w:sz w:val="20"/>
              </w:rPr>
              <w:t>ps_calc_*</w:t>
            </w:r>
          </w:p>
        </w:tc>
        <w:tc>
          <w:tcPr>
            <w:tcW w:type="dxa" w:w="3120"/>
          </w:tcPr>
          <w:p>
            <w:pPr>
              <w:jc w:val="center"/>
            </w:pPr>
            <w:r/>
            <w:r>
              <w:rPr>
                <w:rFonts w:ascii="Times New Roman" w:hAnsi="Times New Roman" w:eastAsia="Times New Roman"/>
                <w:b w:val="0"/>
                <w:i w:val="0"/>
                <w:sz w:val="20"/>
              </w:rPr>
              <w:t>Engineered/calculated fields</w:t>
            </w:r>
          </w:p>
        </w:tc>
      </w:tr>
      <w:tr>
        <w:tc>
          <w:tcPr>
            <w:tcW w:type="dxa" w:w="3120"/>
          </w:tcPr>
          <w:p>
            <w:pPr>
              <w:jc w:val="center"/>
            </w:pPr>
            <w:r/>
            <w:r>
              <w:rPr>
                <w:rFonts w:ascii="Times New Roman" w:hAnsi="Times New Roman" w:eastAsia="Times New Roman"/>
                <w:b w:val="0"/>
                <w:i w:val="0"/>
                <w:sz w:val="20"/>
              </w:rPr>
              <w:t>Categorical</w:t>
            </w:r>
          </w:p>
        </w:tc>
        <w:tc>
          <w:tcPr>
            <w:tcW w:type="dxa" w:w="3120"/>
          </w:tcPr>
          <w:p>
            <w:pPr>
              <w:jc w:val="center"/>
            </w:pPr>
            <w:r/>
            <w:r>
              <w:rPr>
                <w:rFonts w:ascii="Times New Roman" w:hAnsi="Times New Roman" w:eastAsia="Times New Roman"/>
                <w:b w:val="0"/>
                <w:i w:val="0"/>
                <w:sz w:val="20"/>
              </w:rPr>
              <w:t>*_cat</w:t>
            </w:r>
          </w:p>
        </w:tc>
        <w:tc>
          <w:tcPr>
            <w:tcW w:type="dxa" w:w="3120"/>
          </w:tcPr>
          <w:p>
            <w:pPr>
              <w:jc w:val="center"/>
            </w:pPr>
            <w:r/>
            <w:r>
              <w:rPr>
                <w:rFonts w:ascii="Times New Roman" w:hAnsi="Times New Roman" w:eastAsia="Times New Roman"/>
                <w:b w:val="0"/>
                <w:i w:val="0"/>
                <w:sz w:val="20"/>
              </w:rPr>
              <w:t>Category codes</w:t>
            </w:r>
          </w:p>
        </w:tc>
      </w:tr>
      <w:tr>
        <w:tc>
          <w:tcPr>
            <w:tcW w:type="dxa" w:w="3120"/>
          </w:tcPr>
          <w:p>
            <w:pPr>
              <w:jc w:val="center"/>
            </w:pPr>
            <w:r/>
            <w:r>
              <w:rPr>
                <w:rFonts w:ascii="Times New Roman" w:hAnsi="Times New Roman" w:eastAsia="Times New Roman"/>
                <w:b w:val="0"/>
                <w:i w:val="0"/>
                <w:sz w:val="20"/>
              </w:rPr>
              <w:t>Binary</w:t>
            </w:r>
          </w:p>
        </w:tc>
        <w:tc>
          <w:tcPr>
            <w:tcW w:type="dxa" w:w="3120"/>
          </w:tcPr>
          <w:p>
            <w:pPr>
              <w:jc w:val="center"/>
            </w:pPr>
            <w:r/>
            <w:r>
              <w:rPr>
                <w:rFonts w:ascii="Times New Roman" w:hAnsi="Times New Roman" w:eastAsia="Times New Roman"/>
                <w:b w:val="0"/>
                <w:i w:val="0"/>
                <w:sz w:val="20"/>
              </w:rPr>
              <w:t>*_bin</w:t>
            </w:r>
          </w:p>
        </w:tc>
        <w:tc>
          <w:tcPr>
            <w:tcW w:type="dxa" w:w="3120"/>
          </w:tcPr>
          <w:p>
            <w:pPr>
              <w:jc w:val="center"/>
            </w:pPr>
            <w:r/>
            <w:r>
              <w:rPr>
                <w:rFonts w:ascii="Times New Roman" w:hAnsi="Times New Roman" w:eastAsia="Times New Roman"/>
                <w:b w:val="0"/>
                <w:i w:val="0"/>
                <w:sz w:val="20"/>
              </w:rPr>
              <w:t>Yes/No style flags</w:t>
            </w:r>
          </w:p>
        </w:tc>
      </w:tr>
      <w:tr>
        <w:tc>
          <w:tcPr>
            <w:tcW w:type="dxa" w:w="3120"/>
          </w:tcPr>
          <w:p>
            <w:pPr>
              <w:jc w:val="center"/>
            </w:pPr>
            <w:r/>
            <w:r>
              <w:rPr>
                <w:rFonts w:ascii="Times New Roman" w:hAnsi="Times New Roman" w:eastAsia="Times New Roman"/>
                <w:b w:val="0"/>
                <w:i w:val="0"/>
                <w:sz w:val="20"/>
              </w:rPr>
              <w:t>Target</w:t>
            </w:r>
          </w:p>
        </w:tc>
        <w:tc>
          <w:tcPr>
            <w:tcW w:type="dxa" w:w="3120"/>
          </w:tcPr>
          <w:p>
            <w:pPr>
              <w:jc w:val="center"/>
            </w:pPr>
            <w:r/>
            <w:r>
              <w:rPr>
                <w:rFonts w:ascii="Times New Roman" w:hAnsi="Times New Roman" w:eastAsia="Times New Roman"/>
                <w:b w:val="0"/>
                <w:i w:val="0"/>
                <w:sz w:val="20"/>
              </w:rPr>
              <w:t>target</w:t>
            </w:r>
          </w:p>
        </w:tc>
        <w:tc>
          <w:tcPr>
            <w:tcW w:type="dxa" w:w="3120"/>
          </w:tcPr>
          <w:p>
            <w:pPr>
              <w:jc w:val="center"/>
            </w:pPr>
            <w:r/>
            <w:r>
              <w:rPr>
                <w:rFonts w:ascii="Times New Roman" w:hAnsi="Times New Roman" w:eastAsia="Times New Roman"/>
                <w:b w:val="0"/>
                <w:i w:val="0"/>
                <w:sz w:val="20"/>
              </w:rPr>
              <w:t>1 = claim filed, 0 = no claim</w:t>
            </w:r>
          </w:p>
        </w:tc>
      </w:tr>
    </w:tbl>
    <w:p/>
    <w:p>
      <w:pPr>
        <w:spacing w:after="160" w:line="276" w:lineRule="auto"/>
        <w:jc w:val="both"/>
      </w:pPr>
      <w:r>
        <w:rPr>
          <w:rFonts w:ascii="Times New Roman" w:hAnsi="Times New Roman" w:eastAsia="Times New Roman"/>
          <w:b w:val="0"/>
          <w:i w:val="0"/>
          <w:sz w:val="24"/>
        </w:rPr>
        <w:t>Missing values in this dataset are coded as -1 instead of blank/NaN. The notebook explicitly converts -1 to missing values before imputation.</w:t>
      </w:r>
    </w:p>
    <w:p>
      <w:pPr>
        <w:pStyle w:val="Heading1"/>
      </w:pPr>
      <w:r>
        <w:rPr>
          <w:color w:val="1A3A5C"/>
          <w:sz w:val="32"/>
        </w:rPr>
        <w:t>5. Preprocessing Explained</w:t>
      </w:r>
    </w:p>
    <w:p>
      <w:pPr>
        <w:pStyle w:val="Heading2"/>
      </w:pPr>
      <w:r>
        <w:rPr>
          <w:color w:val="1A3A5C"/>
          <w:sz w:val="28"/>
        </w:rPr>
        <w:t>5.1 Why preprocessing is needed</w:t>
      </w:r>
    </w:p>
    <w:p>
      <w:pPr>
        <w:spacing w:after="160" w:line="276" w:lineRule="auto"/>
        <w:jc w:val="both"/>
      </w:pPr>
      <w:r>
        <w:rPr>
          <w:rFonts w:ascii="Times New Roman" w:hAnsi="Times New Roman" w:eastAsia="Times New Roman"/>
          <w:b w:val="0"/>
          <w:i w:val="0"/>
          <w:sz w:val="24"/>
        </w:rPr>
        <w:t>Raw data cannot be fed directly into all models. IDs are not predictive, missing codes can be misread as real numbers, and the claim class is rare. Preprocessing makes the data model-ready and fair for comparison.</w:t>
      </w:r>
    </w:p>
    <w:p>
      <w:pPr>
        <w:pStyle w:val="Heading2"/>
      </w:pPr>
      <w:r>
        <w:rPr>
          <w:color w:val="1A3A5C"/>
          <w:sz w:val="28"/>
        </w:rPr>
        <w:t>5.2 What the code does</w:t>
      </w:r>
    </w:p>
    <w:p>
      <w:pPr>
        <w:pStyle w:val="ListNumber"/>
        <w:spacing w:after="80"/>
      </w:pPr>
      <w:r>
        <w:rPr>
          <w:rFonts w:ascii="Times New Roman" w:hAnsi="Times New Roman" w:eastAsia="Times New Roman"/>
          <w:b w:val="0"/>
          <w:i w:val="0"/>
          <w:sz w:val="24"/>
        </w:rPr>
        <w:t>Drop the id column because it only identifies a row.</w:t>
      </w:r>
    </w:p>
    <w:p>
      <w:pPr>
        <w:pStyle w:val="ListNumber"/>
        <w:spacing w:after="80"/>
      </w:pPr>
      <w:r>
        <w:rPr>
          <w:rFonts w:ascii="Times New Roman" w:hAnsi="Times New Roman" w:eastAsia="Times New Roman"/>
          <w:b w:val="0"/>
          <w:i w:val="0"/>
          <w:sz w:val="24"/>
        </w:rPr>
        <w:t>Replace every -1 with NaN so missing values are recognized correctly.</w:t>
      </w:r>
    </w:p>
    <w:p>
      <w:pPr>
        <w:pStyle w:val="ListNumber"/>
        <w:spacing w:after="80"/>
      </w:pPr>
      <w:r>
        <w:rPr>
          <w:rFonts w:ascii="Times New Roman" w:hAnsi="Times New Roman" w:eastAsia="Times New Roman"/>
          <w:b w:val="0"/>
          <w:i w:val="0"/>
          <w:sz w:val="24"/>
        </w:rPr>
        <w:t>Fill categorical missing values with the column mode (most frequent category).</w:t>
      </w:r>
    </w:p>
    <w:p>
      <w:pPr>
        <w:pStyle w:val="ListNumber"/>
        <w:spacing w:after="80"/>
      </w:pPr>
      <w:r>
        <w:rPr>
          <w:rFonts w:ascii="Times New Roman" w:hAnsi="Times New Roman" w:eastAsia="Times New Roman"/>
          <w:b w:val="0"/>
          <w:i w:val="0"/>
          <w:sz w:val="24"/>
        </w:rPr>
        <w:t>Fill numeric missing values with the column median (robust to outliers).</w:t>
      </w:r>
    </w:p>
    <w:p>
      <w:pPr>
        <w:pStyle w:val="ListNumber"/>
        <w:spacing w:after="80"/>
      </w:pPr>
      <w:r>
        <w:rPr>
          <w:rFonts w:ascii="Times New Roman" w:hAnsi="Times New Roman" w:eastAsia="Times New Roman"/>
          <w:b w:val="0"/>
          <w:i w:val="0"/>
          <w:sz w:val="24"/>
        </w:rPr>
        <w:t>Separate features (X) and target (y).</w:t>
      </w:r>
    </w:p>
    <w:p>
      <w:pPr>
        <w:pStyle w:val="ListNumber"/>
        <w:spacing w:after="80"/>
      </w:pPr>
      <w:r>
        <w:rPr>
          <w:rFonts w:ascii="Times New Roman" w:hAnsi="Times New Roman" w:eastAsia="Times New Roman"/>
          <w:b w:val="0"/>
          <w:i w:val="0"/>
          <w:sz w:val="24"/>
        </w:rPr>
        <w:t>Optionally take a stratified sample (default 120,000 rows) so experiments run in reasonable time on a student laptop.</w:t>
      </w:r>
    </w:p>
    <w:p>
      <w:pPr>
        <w:pStyle w:val="ListNumber"/>
        <w:spacing w:after="80"/>
      </w:pPr>
      <w:r>
        <w:rPr>
          <w:rFonts w:ascii="Times New Roman" w:hAnsi="Times New Roman" w:eastAsia="Times New Roman"/>
          <w:b w:val="0"/>
          <w:i w:val="0"/>
          <w:sz w:val="24"/>
        </w:rPr>
        <w:t>Split into 80% training and 20% testing with stratification.</w:t>
      </w:r>
    </w:p>
    <w:p>
      <w:pPr>
        <w:spacing w:after="160" w:line="276" w:lineRule="auto"/>
        <w:jc w:val="both"/>
      </w:pPr>
      <w:r>
        <w:rPr>
          <w:rFonts w:ascii="Times New Roman" w:hAnsi="Times New Roman" w:eastAsia="Times New Roman"/>
          <w:b w:val="0"/>
          <w:i w:val="0"/>
          <w:sz w:val="24"/>
        </w:rPr>
        <w:t>Stratification is important: both train and test keep approximately the same claim rate (~3.6%).</w:t>
      </w:r>
    </w:p>
    <w:p>
      <w:pPr>
        <w:pStyle w:val="Heading1"/>
      </w:pPr>
      <w:r>
        <w:rPr>
          <w:color w:val="1A3A5C"/>
          <w:sz w:val="32"/>
        </w:rPr>
        <w:t>6. How Task 1 Works — Predictive Modelling</w:t>
      </w:r>
    </w:p>
    <w:p>
      <w:pPr>
        <w:spacing w:after="160" w:line="276" w:lineRule="auto"/>
        <w:jc w:val="both"/>
      </w:pPr>
      <w:r>
        <w:rPr>
          <w:rFonts w:ascii="Times New Roman" w:hAnsi="Times New Roman" w:eastAsia="Times New Roman"/>
          <w:b w:val="0"/>
          <w:i w:val="0"/>
          <w:sz w:val="24"/>
        </w:rPr>
        <w:t>Task 1 builds several binary classifiers. Each model learns a function that maps customer features to the probability of filing a claim.</w:t>
      </w:r>
    </w:p>
    <w:p>
      <w:pPr>
        <w:pStyle w:val="Heading2"/>
      </w:pPr>
      <w:r>
        <w:rPr>
          <w:color w:val="1A3A5C"/>
          <w:sz w:val="28"/>
        </w:rPr>
        <w:t>6.1 Models used and why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A5C" w:val="clear"/>
          </w:tcPr>
          <w:p>
            <w:pPr>
              <w:jc w:val="center"/>
            </w:pPr>
            <w:r/>
            <w:r>
              <w:rPr>
                <w:rFonts w:ascii="Times New Roman" w:hAnsi="Times New Roman" w:eastAsia="Times New Roman"/>
                <w:b/>
                <w:i w:val="0"/>
                <w:color w:val="FFFFFF"/>
                <w:sz w:val="22"/>
              </w:rPr>
              <w:t>Model</w:t>
            </w:r>
          </w:p>
        </w:tc>
        <w:tc>
          <w:tcPr>
            <w:tcW w:type="dxa" w:w="3120"/>
            <w:shd w:fill="1A3A5C" w:val="clear"/>
          </w:tcPr>
          <w:p>
            <w:pPr>
              <w:jc w:val="center"/>
            </w:pPr>
            <w:r/>
            <w:r>
              <w:rPr>
                <w:rFonts w:ascii="Times New Roman" w:hAnsi="Times New Roman" w:eastAsia="Times New Roman"/>
                <w:b/>
                <w:i w:val="0"/>
                <w:color w:val="FFFFFF"/>
                <w:sz w:val="22"/>
              </w:rPr>
              <w:t>Role in the project</w:t>
            </w:r>
          </w:p>
        </w:tc>
        <w:tc>
          <w:tcPr>
            <w:tcW w:type="dxa" w:w="3120"/>
            <w:shd w:fill="1A3A5C" w:val="clear"/>
          </w:tcPr>
          <w:p>
            <w:pPr>
              <w:jc w:val="center"/>
            </w:pPr>
            <w:r/>
            <w:r>
              <w:rPr>
                <w:rFonts w:ascii="Times New Roman" w:hAnsi="Times New Roman" w:eastAsia="Times New Roman"/>
                <w:b/>
                <w:i w:val="0"/>
                <w:color w:val="FFFFFF"/>
                <w:sz w:val="22"/>
              </w:rPr>
              <w:t>Imbalance handling</w:t>
            </w:r>
          </w:p>
        </w:tc>
      </w:tr>
      <w:tr>
        <w:tc>
          <w:tcPr>
            <w:tcW w:type="dxa" w:w="3120"/>
          </w:tcPr>
          <w:p>
            <w:pPr>
              <w:jc w:val="center"/>
            </w:pPr>
            <w:r/>
            <w:r>
              <w:rPr>
                <w:rFonts w:ascii="Times New Roman" w:hAnsi="Times New Roman" w:eastAsia="Times New Roman"/>
                <w:b w:val="0"/>
                <w:i w:val="0"/>
                <w:sz w:val="20"/>
              </w:rPr>
              <w:t>Logistic Regression</w:t>
            </w:r>
          </w:p>
        </w:tc>
        <w:tc>
          <w:tcPr>
            <w:tcW w:type="dxa" w:w="3120"/>
          </w:tcPr>
          <w:p>
            <w:pPr>
              <w:jc w:val="center"/>
            </w:pPr>
            <w:r/>
            <w:r>
              <w:rPr>
                <w:rFonts w:ascii="Times New Roman" w:hAnsi="Times New Roman" w:eastAsia="Times New Roman"/>
                <w:b w:val="0"/>
                <w:i w:val="0"/>
                <w:sz w:val="20"/>
              </w:rPr>
              <w:t>Simple, interpretable baseline</w:t>
            </w:r>
          </w:p>
        </w:tc>
        <w:tc>
          <w:tcPr>
            <w:tcW w:type="dxa" w:w="3120"/>
          </w:tcPr>
          <w:p>
            <w:pPr>
              <w:jc w:val="center"/>
            </w:pPr>
            <w:r/>
            <w:r>
              <w:rPr>
                <w:rFonts w:ascii="Times New Roman" w:hAnsi="Times New Roman" w:eastAsia="Times New Roman"/>
                <w:b w:val="0"/>
                <w:i w:val="0"/>
                <w:sz w:val="20"/>
              </w:rPr>
              <w:t>class_weight='balanced' + feature scaling</w:t>
            </w:r>
          </w:p>
        </w:tc>
      </w:tr>
      <w:tr>
        <w:tc>
          <w:tcPr>
            <w:tcW w:type="dxa" w:w="3120"/>
          </w:tcPr>
          <w:p>
            <w:pPr>
              <w:jc w:val="center"/>
            </w:pPr>
            <w:r/>
            <w:r>
              <w:rPr>
                <w:rFonts w:ascii="Times New Roman" w:hAnsi="Times New Roman" w:eastAsia="Times New Roman"/>
                <w:b w:val="0"/>
                <w:i w:val="0"/>
                <w:sz w:val="20"/>
              </w:rPr>
              <w:t>Decision Tree</w:t>
            </w:r>
          </w:p>
        </w:tc>
        <w:tc>
          <w:tcPr>
            <w:tcW w:type="dxa" w:w="3120"/>
          </w:tcPr>
          <w:p>
            <w:pPr>
              <w:jc w:val="center"/>
            </w:pPr>
            <w:r/>
            <w:r>
              <w:rPr>
                <w:rFonts w:ascii="Times New Roman" w:hAnsi="Times New Roman" w:eastAsia="Times New Roman"/>
                <w:b w:val="0"/>
                <w:i w:val="0"/>
                <w:sz w:val="20"/>
              </w:rPr>
              <w:t>Non-linear baseline, easy to explain</w:t>
            </w:r>
          </w:p>
        </w:tc>
        <w:tc>
          <w:tcPr>
            <w:tcW w:type="dxa" w:w="3120"/>
          </w:tcPr>
          <w:p>
            <w:pPr>
              <w:jc w:val="center"/>
            </w:pPr>
            <w:r/>
            <w:r>
              <w:rPr>
                <w:rFonts w:ascii="Times New Roman" w:hAnsi="Times New Roman" w:eastAsia="Times New Roman"/>
                <w:b w:val="0"/>
                <w:i w:val="0"/>
                <w:sz w:val="20"/>
              </w:rPr>
              <w:t>class_weight='balanced'</w:t>
            </w:r>
          </w:p>
        </w:tc>
      </w:tr>
      <w:tr>
        <w:tc>
          <w:tcPr>
            <w:tcW w:type="dxa" w:w="3120"/>
          </w:tcPr>
          <w:p>
            <w:pPr>
              <w:jc w:val="center"/>
            </w:pPr>
            <w:r/>
            <w:r>
              <w:rPr>
                <w:rFonts w:ascii="Times New Roman" w:hAnsi="Times New Roman" w:eastAsia="Times New Roman"/>
                <w:b w:val="0"/>
                <w:i w:val="0"/>
                <w:sz w:val="20"/>
              </w:rPr>
              <w:t>Random Forest</w:t>
            </w:r>
          </w:p>
        </w:tc>
        <w:tc>
          <w:tcPr>
            <w:tcW w:type="dxa" w:w="3120"/>
          </w:tcPr>
          <w:p>
            <w:pPr>
              <w:jc w:val="center"/>
            </w:pPr>
            <w:r/>
            <w:r>
              <w:rPr>
                <w:rFonts w:ascii="Times New Roman" w:hAnsi="Times New Roman" w:eastAsia="Times New Roman"/>
                <w:b w:val="0"/>
                <w:i w:val="0"/>
                <w:sz w:val="20"/>
              </w:rPr>
              <w:t>Bagging ensemble; reduces variance</w:t>
            </w:r>
          </w:p>
        </w:tc>
        <w:tc>
          <w:tcPr>
            <w:tcW w:type="dxa" w:w="3120"/>
          </w:tcPr>
          <w:p>
            <w:pPr>
              <w:jc w:val="center"/>
            </w:pPr>
            <w:r/>
            <w:r>
              <w:rPr>
                <w:rFonts w:ascii="Times New Roman" w:hAnsi="Times New Roman" w:eastAsia="Times New Roman"/>
                <w:b w:val="0"/>
                <w:i w:val="0"/>
                <w:sz w:val="20"/>
              </w:rPr>
              <w:t>balanced_subsample</w:t>
            </w:r>
          </w:p>
        </w:tc>
      </w:tr>
      <w:tr>
        <w:tc>
          <w:tcPr>
            <w:tcW w:type="dxa" w:w="3120"/>
          </w:tcPr>
          <w:p>
            <w:pPr>
              <w:jc w:val="center"/>
            </w:pPr>
            <w:r/>
            <w:r>
              <w:rPr>
                <w:rFonts w:ascii="Times New Roman" w:hAnsi="Times New Roman" w:eastAsia="Times New Roman"/>
                <w:b w:val="0"/>
                <w:i w:val="0"/>
                <w:sz w:val="20"/>
              </w:rPr>
              <w:t>Gradient Boosting</w:t>
            </w:r>
          </w:p>
        </w:tc>
        <w:tc>
          <w:tcPr>
            <w:tcW w:type="dxa" w:w="3120"/>
          </w:tcPr>
          <w:p>
            <w:pPr>
              <w:jc w:val="center"/>
            </w:pPr>
            <w:r/>
            <w:r>
              <w:rPr>
                <w:rFonts w:ascii="Times New Roman" w:hAnsi="Times New Roman" w:eastAsia="Times New Roman"/>
                <w:b w:val="0"/>
                <w:i w:val="0"/>
                <w:sz w:val="20"/>
              </w:rPr>
              <w:t>Sequential error correction ensemble</w:t>
            </w:r>
          </w:p>
        </w:tc>
        <w:tc>
          <w:tcPr>
            <w:tcW w:type="dxa" w:w="3120"/>
          </w:tcPr>
          <w:p>
            <w:pPr>
              <w:jc w:val="center"/>
            </w:pPr>
            <w:r/>
            <w:r>
              <w:rPr>
                <w:rFonts w:ascii="Times New Roman" w:hAnsi="Times New Roman" w:eastAsia="Times New Roman"/>
                <w:b w:val="0"/>
                <w:i w:val="0"/>
                <w:sz w:val="20"/>
              </w:rPr>
              <w:t>balanced sample weights</w:t>
            </w:r>
          </w:p>
        </w:tc>
      </w:tr>
      <w:tr>
        <w:tc>
          <w:tcPr>
            <w:tcW w:type="dxa" w:w="3120"/>
          </w:tcPr>
          <w:p>
            <w:pPr>
              <w:jc w:val="center"/>
            </w:pPr>
            <w:r/>
            <w:r>
              <w:rPr>
                <w:rFonts w:ascii="Times New Roman" w:hAnsi="Times New Roman" w:eastAsia="Times New Roman"/>
                <w:b w:val="0"/>
                <w:i w:val="0"/>
                <w:sz w:val="20"/>
              </w:rPr>
              <w:t>XGBoost</w:t>
            </w:r>
          </w:p>
        </w:tc>
        <w:tc>
          <w:tcPr>
            <w:tcW w:type="dxa" w:w="3120"/>
          </w:tcPr>
          <w:p>
            <w:pPr>
              <w:jc w:val="center"/>
            </w:pPr>
            <w:r/>
            <w:r>
              <w:rPr>
                <w:rFonts w:ascii="Times New Roman" w:hAnsi="Times New Roman" w:eastAsia="Times New Roman"/>
                <w:b w:val="0"/>
                <w:i w:val="0"/>
                <w:sz w:val="20"/>
              </w:rPr>
              <w:t>Strong tabular boosting model</w:t>
            </w:r>
          </w:p>
        </w:tc>
        <w:tc>
          <w:tcPr>
            <w:tcW w:type="dxa" w:w="3120"/>
          </w:tcPr>
          <w:p>
            <w:pPr>
              <w:jc w:val="center"/>
            </w:pPr>
            <w:r/>
            <w:r>
              <w:rPr>
                <w:rFonts w:ascii="Times New Roman" w:hAnsi="Times New Roman" w:eastAsia="Times New Roman"/>
                <w:b w:val="0"/>
                <w:i w:val="0"/>
                <w:sz w:val="20"/>
              </w:rPr>
              <w:t>scale_pos_weight</w:t>
            </w:r>
          </w:p>
        </w:tc>
      </w:tr>
      <w:tr>
        <w:tc>
          <w:tcPr>
            <w:tcW w:type="dxa" w:w="3120"/>
          </w:tcPr>
          <w:p>
            <w:pPr>
              <w:jc w:val="center"/>
            </w:pPr>
            <w:r/>
            <w:r>
              <w:rPr>
                <w:rFonts w:ascii="Times New Roman" w:hAnsi="Times New Roman" w:eastAsia="Times New Roman"/>
                <w:b w:val="0"/>
                <w:i w:val="0"/>
                <w:sz w:val="20"/>
              </w:rPr>
              <w:t>LightGBM</w:t>
            </w:r>
          </w:p>
        </w:tc>
        <w:tc>
          <w:tcPr>
            <w:tcW w:type="dxa" w:w="3120"/>
          </w:tcPr>
          <w:p>
            <w:pPr>
              <w:jc w:val="center"/>
            </w:pPr>
            <w:r/>
            <w:r>
              <w:rPr>
                <w:rFonts w:ascii="Times New Roman" w:hAnsi="Times New Roman" w:eastAsia="Times New Roman"/>
                <w:b w:val="0"/>
                <w:i w:val="0"/>
                <w:sz w:val="20"/>
              </w:rPr>
              <w:t>Fast boosting on large tabular data</w:t>
            </w:r>
          </w:p>
        </w:tc>
        <w:tc>
          <w:tcPr>
            <w:tcW w:type="dxa" w:w="3120"/>
          </w:tcPr>
          <w:p>
            <w:pPr>
              <w:jc w:val="center"/>
            </w:pPr>
            <w:r/>
            <w:r>
              <w:rPr>
                <w:rFonts w:ascii="Times New Roman" w:hAnsi="Times New Roman" w:eastAsia="Times New Roman"/>
                <w:b w:val="0"/>
                <w:i w:val="0"/>
                <w:sz w:val="20"/>
              </w:rPr>
              <w:t>class_weight='balanced'</w:t>
            </w:r>
          </w:p>
        </w:tc>
      </w:tr>
    </w:tbl>
    <w:p/>
    <w:p>
      <w:pPr>
        <w:pStyle w:val="Heading2"/>
      </w:pPr>
      <w:r>
        <w:rPr>
          <w:color w:val="1A3A5C"/>
          <w:sz w:val="28"/>
        </w:rPr>
        <w:t>6.2 What happens during training</w:t>
      </w:r>
    </w:p>
    <w:p>
      <w:pPr>
        <w:spacing w:after="160" w:line="276" w:lineRule="auto"/>
        <w:jc w:val="both"/>
      </w:pPr>
      <w:r>
        <w:rPr>
          <w:rFonts w:ascii="Times New Roman" w:hAnsi="Times New Roman" w:eastAsia="Times New Roman"/>
          <w:b w:val="0"/>
          <w:i w:val="0"/>
          <w:sz w:val="24"/>
        </w:rPr>
        <w:t>For each model, the notebook:</w:t>
      </w:r>
    </w:p>
    <w:p>
      <w:pPr>
        <w:pStyle w:val="ListNumber"/>
        <w:spacing w:after="80"/>
      </w:pPr>
      <w:r>
        <w:rPr>
          <w:rFonts w:ascii="Times New Roman" w:hAnsi="Times New Roman" w:eastAsia="Times New Roman"/>
          <w:b w:val="0"/>
          <w:i w:val="0"/>
          <w:sz w:val="24"/>
        </w:rPr>
        <w:t>Fits the model on the training set.</w:t>
      </w:r>
    </w:p>
    <w:p>
      <w:pPr>
        <w:pStyle w:val="ListNumber"/>
        <w:spacing w:after="80"/>
      </w:pPr>
      <w:r>
        <w:rPr>
          <w:rFonts w:ascii="Times New Roman" w:hAnsi="Times New Roman" w:eastAsia="Times New Roman"/>
          <w:b w:val="0"/>
          <w:i w:val="0"/>
          <w:sz w:val="24"/>
        </w:rPr>
        <w:t>Predicts claim probabilities on the test set.</w:t>
      </w:r>
    </w:p>
    <w:p>
      <w:pPr>
        <w:pStyle w:val="ListNumber"/>
        <w:spacing w:after="80"/>
      </w:pPr>
      <w:r>
        <w:rPr>
          <w:rFonts w:ascii="Times New Roman" w:hAnsi="Times New Roman" w:eastAsia="Times New Roman"/>
          <w:b w:val="0"/>
          <w:i w:val="0"/>
          <w:sz w:val="24"/>
        </w:rPr>
        <w:t>Converts probabilities to class labels using a threshold (default 0.5 during first comparison).</w:t>
      </w:r>
    </w:p>
    <w:p>
      <w:pPr>
        <w:pStyle w:val="ListNumber"/>
        <w:spacing w:after="80"/>
      </w:pPr>
      <w:r>
        <w:rPr>
          <w:rFonts w:ascii="Times New Roman" w:hAnsi="Times New Roman" w:eastAsia="Times New Roman"/>
          <w:b w:val="0"/>
          <w:i w:val="0"/>
          <w:sz w:val="24"/>
        </w:rPr>
        <w:t>Computes evaluation metrics and stores ROC curve values.</w:t>
      </w:r>
    </w:p>
    <w:p>
      <w:pPr>
        <w:spacing w:after="160" w:line="276" w:lineRule="auto"/>
        <w:jc w:val="both"/>
      </w:pPr>
      <w:r>
        <w:rPr>
          <w:rFonts w:ascii="Times New Roman" w:hAnsi="Times New Roman" w:eastAsia="Times New Roman"/>
          <w:b w:val="0"/>
          <w:i w:val="0"/>
          <w:sz w:val="24"/>
        </w:rPr>
        <w:t>After all models finish, results are sorted by ROC-AUC. The highest ROC-AUC model is treated as the best ranking model for production scoring.</w:t>
      </w:r>
    </w:p>
    <w:p>
      <w:pPr>
        <w:pStyle w:val="Heading2"/>
      </w:pPr>
      <w:r>
        <w:rPr>
          <w:color w:val="1A3A5C"/>
          <w:sz w:val="28"/>
        </w:rPr>
        <w:t>6.3 Why ROC-AUC is the main metric</w:t>
      </w:r>
    </w:p>
    <w:p>
      <w:pPr>
        <w:spacing w:after="160" w:line="276" w:lineRule="auto"/>
        <w:jc w:val="both"/>
      </w:pPr>
      <w:r>
        <w:rPr>
          <w:rFonts w:ascii="Times New Roman" w:hAnsi="Times New Roman" w:eastAsia="Times New Roman"/>
          <w:b w:val="0"/>
          <w:i w:val="0"/>
          <w:sz w:val="24"/>
        </w:rPr>
        <w:t>ROC-AUC measures how well the model ranks claim customers above non-claim customers across all thresholds. This is suitable for rare-event insurance problems. Accuracy alone is misleading because the majority class dominates.</w:t>
      </w:r>
    </w:p>
    <w:p>
      <w:pPr>
        <w:pStyle w:val="ListBullet"/>
        <w:spacing w:after="80"/>
      </w:pPr>
      <w:r>
        <w:rPr>
          <w:rFonts w:ascii="Times New Roman" w:hAnsi="Times New Roman" w:eastAsia="Times New Roman"/>
          <w:b w:val="0"/>
          <w:i w:val="0"/>
          <w:sz w:val="24"/>
        </w:rPr>
        <w:t>Accuracy — overall correctness (can look high even if claims are missed).</w:t>
      </w:r>
    </w:p>
    <w:p>
      <w:pPr>
        <w:pStyle w:val="ListBullet"/>
        <w:spacing w:after="80"/>
      </w:pPr>
      <w:r>
        <w:rPr>
          <w:rFonts w:ascii="Times New Roman" w:hAnsi="Times New Roman" w:eastAsia="Times New Roman"/>
          <w:b w:val="0"/>
          <w:i w:val="0"/>
          <w:sz w:val="24"/>
        </w:rPr>
        <w:t>Precision — of customers flagged as claim-prone, how many truly claimed.</w:t>
      </w:r>
    </w:p>
    <w:p>
      <w:pPr>
        <w:pStyle w:val="ListBullet"/>
        <w:spacing w:after="80"/>
      </w:pPr>
      <w:r>
        <w:rPr>
          <w:rFonts w:ascii="Times New Roman" w:hAnsi="Times New Roman" w:eastAsia="Times New Roman"/>
          <w:b w:val="0"/>
          <w:i w:val="0"/>
          <w:sz w:val="24"/>
        </w:rPr>
        <w:t>Recall — of all actual claimants, how many the model caught.</w:t>
      </w:r>
    </w:p>
    <w:p>
      <w:pPr>
        <w:pStyle w:val="ListBullet"/>
        <w:spacing w:after="80"/>
      </w:pPr>
      <w:r>
        <w:rPr>
          <w:rFonts w:ascii="Times New Roman" w:hAnsi="Times New Roman" w:eastAsia="Times New Roman"/>
          <w:b w:val="0"/>
          <w:i w:val="0"/>
          <w:sz w:val="24"/>
        </w:rPr>
        <w:t>F1 — balance between Precision and Recall.</w:t>
      </w:r>
    </w:p>
    <w:p>
      <w:pPr>
        <w:pStyle w:val="ListBullet"/>
        <w:spacing w:after="80"/>
      </w:pPr>
      <w:r>
        <w:rPr>
          <w:rFonts w:ascii="Times New Roman" w:hAnsi="Times New Roman" w:eastAsia="Times New Roman"/>
          <w:b w:val="0"/>
          <w:i w:val="0"/>
          <w:sz w:val="24"/>
        </w:rPr>
        <w:t>ROC-AUC — overall ranking quality of risk scores.</w:t>
      </w:r>
    </w:p>
    <w:p>
      <w:pPr>
        <w:pStyle w:val="Heading1"/>
      </w:pPr>
      <w:r>
        <w:rPr>
          <w:color w:val="1A3A5C"/>
          <w:sz w:val="32"/>
        </w:rPr>
        <w:t>7. Model Comparison Results (from notebook run)</w:t>
      </w:r>
    </w:p>
    <w:p>
      <w:pPr>
        <w:spacing w:after="160" w:line="276" w:lineRule="auto"/>
        <w:jc w:val="both"/>
      </w:pPr>
      <w:r>
        <w:rPr>
          <w:rFonts w:ascii="Times New Roman" w:hAnsi="Times New Roman" w:eastAsia="Times New Roman"/>
          <w:b w:val="0"/>
          <w:i w:val="0"/>
          <w:sz w:val="24"/>
        </w:rPr>
        <w:t>A completed run of the notebook produced the following comparison (stratified modelling sample). Exact numbers can vary slightly with environment, but the ranking pattern is stable.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A5C" w:val="clear"/>
          </w:tcPr>
          <w:p>
            <w:pPr>
              <w:jc w:val="center"/>
            </w:pPr>
            <w:r/>
            <w:r>
              <w:rPr>
                <w:rFonts w:ascii="Times New Roman" w:hAnsi="Times New Roman" w:eastAsia="Times New Roman"/>
                <w:b/>
                <w:i w:val="0"/>
                <w:color w:val="FFFFFF"/>
                <w:sz w:val="22"/>
              </w:rPr>
              <w:t>Model</w:t>
            </w:r>
          </w:p>
        </w:tc>
        <w:tc>
          <w:tcPr>
            <w:tcW w:type="dxa" w:w="1560"/>
            <w:shd w:fill="1A3A5C" w:val="clear"/>
          </w:tcPr>
          <w:p>
            <w:pPr>
              <w:jc w:val="center"/>
            </w:pPr>
            <w:r/>
            <w:r>
              <w:rPr>
                <w:rFonts w:ascii="Times New Roman" w:hAnsi="Times New Roman" w:eastAsia="Times New Roman"/>
                <w:b/>
                <w:i w:val="0"/>
                <w:color w:val="FFFFFF"/>
                <w:sz w:val="22"/>
              </w:rPr>
              <w:t>Accuracy</w:t>
            </w:r>
          </w:p>
        </w:tc>
        <w:tc>
          <w:tcPr>
            <w:tcW w:type="dxa" w:w="1560"/>
            <w:shd w:fill="1A3A5C" w:val="clear"/>
          </w:tcPr>
          <w:p>
            <w:pPr>
              <w:jc w:val="center"/>
            </w:pPr>
            <w:r/>
            <w:r>
              <w:rPr>
                <w:rFonts w:ascii="Times New Roman" w:hAnsi="Times New Roman" w:eastAsia="Times New Roman"/>
                <w:b/>
                <w:i w:val="0"/>
                <w:color w:val="FFFFFF"/>
                <w:sz w:val="22"/>
              </w:rPr>
              <w:t>Precision</w:t>
            </w:r>
          </w:p>
        </w:tc>
        <w:tc>
          <w:tcPr>
            <w:tcW w:type="dxa" w:w="1560"/>
            <w:shd w:fill="1A3A5C" w:val="clear"/>
          </w:tcPr>
          <w:p>
            <w:pPr>
              <w:jc w:val="center"/>
            </w:pPr>
            <w:r/>
            <w:r>
              <w:rPr>
                <w:rFonts w:ascii="Times New Roman" w:hAnsi="Times New Roman" w:eastAsia="Times New Roman"/>
                <w:b/>
                <w:i w:val="0"/>
                <w:color w:val="FFFFFF"/>
                <w:sz w:val="22"/>
              </w:rPr>
              <w:t>Recall</w:t>
            </w:r>
          </w:p>
        </w:tc>
        <w:tc>
          <w:tcPr>
            <w:tcW w:type="dxa" w:w="1560"/>
            <w:shd w:fill="1A3A5C" w:val="clear"/>
          </w:tcPr>
          <w:p>
            <w:pPr>
              <w:jc w:val="center"/>
            </w:pPr>
            <w:r/>
            <w:r>
              <w:rPr>
                <w:rFonts w:ascii="Times New Roman" w:hAnsi="Times New Roman" w:eastAsia="Times New Roman"/>
                <w:b/>
                <w:i w:val="0"/>
                <w:color w:val="FFFFFF"/>
                <w:sz w:val="22"/>
              </w:rPr>
              <w:t>F1</w:t>
            </w:r>
          </w:p>
        </w:tc>
        <w:tc>
          <w:tcPr>
            <w:tcW w:type="dxa" w:w="1560"/>
            <w:shd w:fill="1A3A5C" w:val="clear"/>
          </w:tcPr>
          <w:p>
            <w:pPr>
              <w:jc w:val="center"/>
            </w:pPr>
            <w:r/>
            <w:r>
              <w:rPr>
                <w:rFonts w:ascii="Times New Roman" w:hAnsi="Times New Roman" w:eastAsia="Times New Roman"/>
                <w:b/>
                <w:i w:val="0"/>
                <w:color w:val="FFFFFF"/>
                <w:sz w:val="22"/>
              </w:rPr>
              <w:t>ROC-AUC</w:t>
            </w:r>
          </w:p>
        </w:tc>
      </w:tr>
      <w:tr>
        <w:tc>
          <w:tcPr>
            <w:tcW w:type="dxa" w:w="1560"/>
          </w:tcPr>
          <w:p>
            <w:pPr>
              <w:jc w:val="center"/>
            </w:pPr>
            <w:r/>
            <w:r>
              <w:rPr>
                <w:rFonts w:ascii="Times New Roman" w:hAnsi="Times New Roman" w:eastAsia="Times New Roman"/>
                <w:b w:val="0"/>
                <w:i w:val="0"/>
                <w:sz w:val="20"/>
              </w:rPr>
              <w:t>Gradient Boosting</w:t>
            </w:r>
          </w:p>
        </w:tc>
        <w:tc>
          <w:tcPr>
            <w:tcW w:type="dxa" w:w="1560"/>
          </w:tcPr>
          <w:p>
            <w:pPr>
              <w:jc w:val="center"/>
            </w:pPr>
            <w:r/>
            <w:r>
              <w:rPr>
                <w:rFonts w:ascii="Times New Roman" w:hAnsi="Times New Roman" w:eastAsia="Times New Roman"/>
                <w:b w:val="0"/>
                <w:i w:val="0"/>
                <w:sz w:val="20"/>
              </w:rPr>
              <w:t>0.6342</w:t>
            </w:r>
          </w:p>
        </w:tc>
        <w:tc>
          <w:tcPr>
            <w:tcW w:type="dxa" w:w="1560"/>
          </w:tcPr>
          <w:p>
            <w:pPr>
              <w:jc w:val="center"/>
            </w:pPr>
            <w:r/>
            <w:r>
              <w:rPr>
                <w:rFonts w:ascii="Times New Roman" w:hAnsi="Times New Roman" w:eastAsia="Times New Roman"/>
                <w:b w:val="0"/>
                <w:i w:val="0"/>
                <w:sz w:val="20"/>
              </w:rPr>
              <w:t>0.0535</w:t>
            </w:r>
          </w:p>
        </w:tc>
        <w:tc>
          <w:tcPr>
            <w:tcW w:type="dxa" w:w="1560"/>
          </w:tcPr>
          <w:p>
            <w:pPr>
              <w:jc w:val="center"/>
            </w:pPr>
            <w:r/>
            <w:r>
              <w:rPr>
                <w:rFonts w:ascii="Times New Roman" w:hAnsi="Times New Roman" w:eastAsia="Times New Roman"/>
                <w:b w:val="0"/>
                <w:i w:val="0"/>
                <w:sz w:val="20"/>
              </w:rPr>
              <w:t>0.5417</w:t>
            </w:r>
          </w:p>
        </w:tc>
        <w:tc>
          <w:tcPr>
            <w:tcW w:type="dxa" w:w="1560"/>
          </w:tcPr>
          <w:p>
            <w:pPr>
              <w:jc w:val="center"/>
            </w:pPr>
            <w:r/>
            <w:r>
              <w:rPr>
                <w:rFonts w:ascii="Times New Roman" w:hAnsi="Times New Roman" w:eastAsia="Times New Roman"/>
                <w:b w:val="0"/>
                <w:i w:val="0"/>
                <w:sz w:val="20"/>
              </w:rPr>
              <w:t>0.0975</w:t>
            </w:r>
          </w:p>
        </w:tc>
        <w:tc>
          <w:tcPr>
            <w:tcW w:type="dxa" w:w="1560"/>
          </w:tcPr>
          <w:p>
            <w:pPr>
              <w:jc w:val="center"/>
            </w:pPr>
            <w:r/>
            <w:r>
              <w:rPr>
                <w:rFonts w:ascii="Times New Roman" w:hAnsi="Times New Roman" w:eastAsia="Times New Roman"/>
                <w:b w:val="0"/>
                <w:i w:val="0"/>
                <w:sz w:val="20"/>
              </w:rPr>
              <w:t>0.6309</w:t>
            </w:r>
          </w:p>
        </w:tc>
      </w:tr>
      <w:tr>
        <w:tc>
          <w:tcPr>
            <w:tcW w:type="dxa" w:w="1560"/>
          </w:tcPr>
          <w:p>
            <w:pPr>
              <w:jc w:val="center"/>
            </w:pPr>
            <w:r/>
            <w:r>
              <w:rPr>
                <w:rFonts w:ascii="Times New Roman" w:hAnsi="Times New Roman" w:eastAsia="Times New Roman"/>
                <w:b w:val="0"/>
                <w:i w:val="0"/>
                <w:sz w:val="20"/>
              </w:rPr>
              <w:t>XGBoost</w:t>
            </w:r>
          </w:p>
        </w:tc>
        <w:tc>
          <w:tcPr>
            <w:tcW w:type="dxa" w:w="1560"/>
          </w:tcPr>
          <w:p>
            <w:pPr>
              <w:jc w:val="center"/>
            </w:pPr>
            <w:r/>
            <w:r>
              <w:rPr>
                <w:rFonts w:ascii="Times New Roman" w:hAnsi="Times New Roman" w:eastAsia="Times New Roman"/>
                <w:b w:val="0"/>
                <w:i w:val="0"/>
                <w:sz w:val="20"/>
              </w:rPr>
              <w:t>0.6795</w:t>
            </w:r>
          </w:p>
        </w:tc>
        <w:tc>
          <w:tcPr>
            <w:tcW w:type="dxa" w:w="1560"/>
          </w:tcPr>
          <w:p>
            <w:pPr>
              <w:jc w:val="center"/>
            </w:pPr>
            <w:r/>
            <w:r>
              <w:rPr>
                <w:rFonts w:ascii="Times New Roman" w:hAnsi="Times New Roman" w:eastAsia="Times New Roman"/>
                <w:b w:val="0"/>
                <w:i w:val="0"/>
                <w:sz w:val="20"/>
              </w:rPr>
              <w:t>0.0562</w:t>
            </w:r>
          </w:p>
        </w:tc>
        <w:tc>
          <w:tcPr>
            <w:tcW w:type="dxa" w:w="1560"/>
          </w:tcPr>
          <w:p>
            <w:pPr>
              <w:jc w:val="center"/>
            </w:pPr>
            <w:r/>
            <w:r>
              <w:rPr>
                <w:rFonts w:ascii="Times New Roman" w:hAnsi="Times New Roman" w:eastAsia="Times New Roman"/>
                <w:b w:val="0"/>
                <w:i w:val="0"/>
                <w:sz w:val="20"/>
              </w:rPr>
              <w:t>0.4937</w:t>
            </w:r>
          </w:p>
        </w:tc>
        <w:tc>
          <w:tcPr>
            <w:tcW w:type="dxa" w:w="1560"/>
          </w:tcPr>
          <w:p>
            <w:pPr>
              <w:jc w:val="center"/>
            </w:pPr>
            <w:r/>
            <w:r>
              <w:rPr>
                <w:rFonts w:ascii="Times New Roman" w:hAnsi="Times New Roman" w:eastAsia="Times New Roman"/>
                <w:b w:val="0"/>
                <w:i w:val="0"/>
                <w:sz w:val="20"/>
              </w:rPr>
              <w:t>0.1010</w:t>
            </w:r>
          </w:p>
        </w:tc>
        <w:tc>
          <w:tcPr>
            <w:tcW w:type="dxa" w:w="1560"/>
          </w:tcPr>
          <w:p>
            <w:pPr>
              <w:jc w:val="center"/>
            </w:pPr>
            <w:r/>
            <w:r>
              <w:rPr>
                <w:rFonts w:ascii="Times New Roman" w:hAnsi="Times New Roman" w:eastAsia="Times New Roman"/>
                <w:b w:val="0"/>
                <w:i w:val="0"/>
                <w:sz w:val="20"/>
              </w:rPr>
              <w:t>0.6290</w:t>
            </w:r>
          </w:p>
        </w:tc>
      </w:tr>
      <w:tr>
        <w:tc>
          <w:tcPr>
            <w:tcW w:type="dxa" w:w="1560"/>
          </w:tcPr>
          <w:p>
            <w:pPr>
              <w:jc w:val="center"/>
            </w:pPr>
            <w:r/>
            <w:r>
              <w:rPr>
                <w:rFonts w:ascii="Times New Roman" w:hAnsi="Times New Roman" w:eastAsia="Times New Roman"/>
                <w:b w:val="0"/>
                <w:i w:val="0"/>
                <w:sz w:val="20"/>
              </w:rPr>
              <w:t>Logistic Regression</w:t>
            </w:r>
          </w:p>
        </w:tc>
        <w:tc>
          <w:tcPr>
            <w:tcW w:type="dxa" w:w="1560"/>
          </w:tcPr>
          <w:p>
            <w:pPr>
              <w:jc w:val="center"/>
            </w:pPr>
            <w:r/>
            <w:r>
              <w:rPr>
                <w:rFonts w:ascii="Times New Roman" w:hAnsi="Times New Roman" w:eastAsia="Times New Roman"/>
                <w:b w:val="0"/>
                <w:i w:val="0"/>
                <w:sz w:val="20"/>
              </w:rPr>
              <w:t>0.6217</w:t>
            </w:r>
          </w:p>
        </w:tc>
        <w:tc>
          <w:tcPr>
            <w:tcW w:type="dxa" w:w="1560"/>
          </w:tcPr>
          <w:p>
            <w:pPr>
              <w:jc w:val="center"/>
            </w:pPr>
            <w:r/>
            <w:r>
              <w:rPr>
                <w:rFonts w:ascii="Times New Roman" w:hAnsi="Times New Roman" w:eastAsia="Times New Roman"/>
                <w:b w:val="0"/>
                <w:i w:val="0"/>
                <w:sz w:val="20"/>
              </w:rPr>
              <w:t>0.0527</w:t>
            </w:r>
          </w:p>
        </w:tc>
        <w:tc>
          <w:tcPr>
            <w:tcW w:type="dxa" w:w="1560"/>
          </w:tcPr>
          <w:p>
            <w:pPr>
              <w:jc w:val="center"/>
            </w:pPr>
            <w:r/>
            <w:r>
              <w:rPr>
                <w:rFonts w:ascii="Times New Roman" w:hAnsi="Times New Roman" w:eastAsia="Times New Roman"/>
                <w:b w:val="0"/>
                <w:i w:val="0"/>
                <w:sz w:val="20"/>
              </w:rPr>
              <w:t>0.5520</w:t>
            </w:r>
          </w:p>
        </w:tc>
        <w:tc>
          <w:tcPr>
            <w:tcW w:type="dxa" w:w="1560"/>
          </w:tcPr>
          <w:p>
            <w:pPr>
              <w:jc w:val="center"/>
            </w:pPr>
            <w:r/>
            <w:r>
              <w:rPr>
                <w:rFonts w:ascii="Times New Roman" w:hAnsi="Times New Roman" w:eastAsia="Times New Roman"/>
                <w:b w:val="0"/>
                <w:i w:val="0"/>
                <w:sz w:val="20"/>
              </w:rPr>
              <w:t>0.0962</w:t>
            </w:r>
          </w:p>
        </w:tc>
        <w:tc>
          <w:tcPr>
            <w:tcW w:type="dxa" w:w="1560"/>
          </w:tcPr>
          <w:p>
            <w:pPr>
              <w:jc w:val="center"/>
            </w:pPr>
            <w:r/>
            <w:r>
              <w:rPr>
                <w:rFonts w:ascii="Times New Roman" w:hAnsi="Times New Roman" w:eastAsia="Times New Roman"/>
                <w:b w:val="0"/>
                <w:i w:val="0"/>
                <w:sz w:val="20"/>
              </w:rPr>
              <w:t>0.6216</w:t>
            </w:r>
          </w:p>
        </w:tc>
      </w:tr>
      <w:tr>
        <w:tc>
          <w:tcPr>
            <w:tcW w:type="dxa" w:w="1560"/>
          </w:tcPr>
          <w:p>
            <w:pPr>
              <w:jc w:val="center"/>
            </w:pPr>
            <w:r/>
            <w:r>
              <w:rPr>
                <w:rFonts w:ascii="Times New Roman" w:hAnsi="Times New Roman" w:eastAsia="Times New Roman"/>
                <w:b w:val="0"/>
                <w:i w:val="0"/>
                <w:sz w:val="20"/>
              </w:rPr>
              <w:t>LightGBM</w:t>
            </w:r>
          </w:p>
        </w:tc>
        <w:tc>
          <w:tcPr>
            <w:tcW w:type="dxa" w:w="1560"/>
          </w:tcPr>
          <w:p>
            <w:pPr>
              <w:jc w:val="center"/>
            </w:pPr>
            <w:r/>
            <w:r>
              <w:rPr>
                <w:rFonts w:ascii="Times New Roman" w:hAnsi="Times New Roman" w:eastAsia="Times New Roman"/>
                <w:b w:val="0"/>
                <w:i w:val="0"/>
                <w:sz w:val="20"/>
              </w:rPr>
              <w:t>0.7685</w:t>
            </w:r>
          </w:p>
        </w:tc>
        <w:tc>
          <w:tcPr>
            <w:tcW w:type="dxa" w:w="1560"/>
          </w:tcPr>
          <w:p>
            <w:pPr>
              <w:jc w:val="center"/>
            </w:pPr>
            <w:r/>
            <w:r>
              <w:rPr>
                <w:rFonts w:ascii="Times New Roman" w:hAnsi="Times New Roman" w:eastAsia="Times New Roman"/>
                <w:b w:val="0"/>
                <w:i w:val="0"/>
                <w:sz w:val="20"/>
              </w:rPr>
              <w:t>0.0586</w:t>
            </w:r>
          </w:p>
        </w:tc>
        <w:tc>
          <w:tcPr>
            <w:tcW w:type="dxa" w:w="1560"/>
          </w:tcPr>
          <w:p>
            <w:pPr>
              <w:jc w:val="center"/>
            </w:pPr>
            <w:r/>
            <w:r>
              <w:rPr>
                <w:rFonts w:ascii="Times New Roman" w:hAnsi="Times New Roman" w:eastAsia="Times New Roman"/>
                <w:b w:val="0"/>
                <w:i w:val="0"/>
                <w:sz w:val="20"/>
              </w:rPr>
              <w:t>0.3554</w:t>
            </w:r>
          </w:p>
        </w:tc>
        <w:tc>
          <w:tcPr>
            <w:tcW w:type="dxa" w:w="1560"/>
          </w:tcPr>
          <w:p>
            <w:pPr>
              <w:jc w:val="center"/>
            </w:pPr>
            <w:r/>
            <w:r>
              <w:rPr>
                <w:rFonts w:ascii="Times New Roman" w:hAnsi="Times New Roman" w:eastAsia="Times New Roman"/>
                <w:b w:val="0"/>
                <w:i w:val="0"/>
                <w:sz w:val="20"/>
              </w:rPr>
              <w:t>0.1007</w:t>
            </w:r>
          </w:p>
        </w:tc>
        <w:tc>
          <w:tcPr>
            <w:tcW w:type="dxa" w:w="1560"/>
          </w:tcPr>
          <w:p>
            <w:pPr>
              <w:jc w:val="center"/>
            </w:pPr>
            <w:r/>
            <w:r>
              <w:rPr>
                <w:rFonts w:ascii="Times New Roman" w:hAnsi="Times New Roman" w:eastAsia="Times New Roman"/>
                <w:b w:val="0"/>
                <w:i w:val="0"/>
                <w:sz w:val="20"/>
              </w:rPr>
              <w:t>0.6145</w:t>
            </w:r>
          </w:p>
        </w:tc>
      </w:tr>
      <w:tr>
        <w:tc>
          <w:tcPr>
            <w:tcW w:type="dxa" w:w="1560"/>
          </w:tcPr>
          <w:p>
            <w:pPr>
              <w:jc w:val="center"/>
            </w:pPr>
            <w:r/>
            <w:r>
              <w:rPr>
                <w:rFonts w:ascii="Times New Roman" w:hAnsi="Times New Roman" w:eastAsia="Times New Roman"/>
                <w:b w:val="0"/>
                <w:i w:val="0"/>
                <w:sz w:val="20"/>
              </w:rPr>
              <w:t>Random Forest</w:t>
            </w:r>
          </w:p>
        </w:tc>
        <w:tc>
          <w:tcPr>
            <w:tcW w:type="dxa" w:w="1560"/>
          </w:tcPr>
          <w:p>
            <w:pPr>
              <w:jc w:val="center"/>
            </w:pPr>
            <w:r/>
            <w:r>
              <w:rPr>
                <w:rFonts w:ascii="Times New Roman" w:hAnsi="Times New Roman" w:eastAsia="Times New Roman"/>
                <w:b w:val="0"/>
                <w:i w:val="0"/>
                <w:sz w:val="20"/>
              </w:rPr>
              <w:t>0.9404</w:t>
            </w:r>
          </w:p>
        </w:tc>
        <w:tc>
          <w:tcPr>
            <w:tcW w:type="dxa" w:w="1560"/>
          </w:tcPr>
          <w:p>
            <w:pPr>
              <w:jc w:val="center"/>
            </w:pPr>
            <w:r/>
            <w:r>
              <w:rPr>
                <w:rFonts w:ascii="Times New Roman" w:hAnsi="Times New Roman" w:eastAsia="Times New Roman"/>
                <w:b w:val="0"/>
                <w:i w:val="0"/>
                <w:sz w:val="20"/>
              </w:rPr>
              <w:t>0.0838</w:t>
            </w:r>
          </w:p>
        </w:tc>
        <w:tc>
          <w:tcPr>
            <w:tcW w:type="dxa" w:w="1560"/>
          </w:tcPr>
          <w:p>
            <w:pPr>
              <w:jc w:val="center"/>
            </w:pPr>
            <w:r/>
            <w:r>
              <w:rPr>
                <w:rFonts w:ascii="Times New Roman" w:hAnsi="Times New Roman" w:eastAsia="Times New Roman"/>
                <w:b w:val="0"/>
                <w:i w:val="0"/>
                <w:sz w:val="20"/>
              </w:rPr>
              <w:t>0.0640</w:t>
            </w:r>
          </w:p>
        </w:tc>
        <w:tc>
          <w:tcPr>
            <w:tcW w:type="dxa" w:w="1560"/>
          </w:tcPr>
          <w:p>
            <w:pPr>
              <w:jc w:val="center"/>
            </w:pPr>
            <w:r/>
            <w:r>
              <w:rPr>
                <w:rFonts w:ascii="Times New Roman" w:hAnsi="Times New Roman" w:eastAsia="Times New Roman"/>
                <w:b w:val="0"/>
                <w:i w:val="0"/>
                <w:sz w:val="20"/>
              </w:rPr>
              <w:t>0.0726</w:t>
            </w:r>
          </w:p>
        </w:tc>
        <w:tc>
          <w:tcPr>
            <w:tcW w:type="dxa" w:w="1560"/>
          </w:tcPr>
          <w:p>
            <w:pPr>
              <w:jc w:val="center"/>
            </w:pPr>
            <w:r/>
            <w:r>
              <w:rPr>
                <w:rFonts w:ascii="Times New Roman" w:hAnsi="Times New Roman" w:eastAsia="Times New Roman"/>
                <w:b w:val="0"/>
                <w:i w:val="0"/>
                <w:sz w:val="20"/>
              </w:rPr>
              <w:t>0.6087</w:t>
            </w:r>
          </w:p>
        </w:tc>
      </w:tr>
      <w:tr>
        <w:tc>
          <w:tcPr>
            <w:tcW w:type="dxa" w:w="1560"/>
          </w:tcPr>
          <w:p>
            <w:pPr>
              <w:jc w:val="center"/>
            </w:pPr>
            <w:r/>
            <w:r>
              <w:rPr>
                <w:rFonts w:ascii="Times New Roman" w:hAnsi="Times New Roman" w:eastAsia="Times New Roman"/>
                <w:b w:val="0"/>
                <w:i w:val="0"/>
                <w:sz w:val="20"/>
              </w:rPr>
              <w:t>Decision Tree</w:t>
            </w:r>
          </w:p>
        </w:tc>
        <w:tc>
          <w:tcPr>
            <w:tcW w:type="dxa" w:w="1560"/>
          </w:tcPr>
          <w:p>
            <w:pPr>
              <w:jc w:val="center"/>
            </w:pPr>
            <w:r/>
            <w:r>
              <w:rPr>
                <w:rFonts w:ascii="Times New Roman" w:hAnsi="Times New Roman" w:eastAsia="Times New Roman"/>
                <w:b w:val="0"/>
                <w:i w:val="0"/>
                <w:sz w:val="20"/>
              </w:rPr>
              <w:t>0.5614</w:t>
            </w:r>
          </w:p>
        </w:tc>
        <w:tc>
          <w:tcPr>
            <w:tcW w:type="dxa" w:w="1560"/>
          </w:tcPr>
          <w:p>
            <w:pPr>
              <w:jc w:val="center"/>
            </w:pPr>
            <w:r/>
            <w:r>
              <w:rPr>
                <w:rFonts w:ascii="Times New Roman" w:hAnsi="Times New Roman" w:eastAsia="Times New Roman"/>
                <w:b w:val="0"/>
                <w:i w:val="0"/>
                <w:sz w:val="20"/>
              </w:rPr>
              <w:t>0.0448</w:t>
            </w:r>
          </w:p>
        </w:tc>
        <w:tc>
          <w:tcPr>
            <w:tcW w:type="dxa" w:w="1560"/>
          </w:tcPr>
          <w:p>
            <w:pPr>
              <w:jc w:val="center"/>
            </w:pPr>
            <w:r/>
            <w:r>
              <w:rPr>
                <w:rFonts w:ascii="Times New Roman" w:hAnsi="Times New Roman" w:eastAsia="Times New Roman"/>
                <w:b w:val="0"/>
                <w:i w:val="0"/>
                <w:sz w:val="20"/>
              </w:rPr>
              <w:t>0.5429</w:t>
            </w:r>
          </w:p>
        </w:tc>
        <w:tc>
          <w:tcPr>
            <w:tcW w:type="dxa" w:w="1560"/>
          </w:tcPr>
          <w:p>
            <w:pPr>
              <w:jc w:val="center"/>
            </w:pPr>
            <w:r/>
            <w:r>
              <w:rPr>
                <w:rFonts w:ascii="Times New Roman" w:hAnsi="Times New Roman" w:eastAsia="Times New Roman"/>
                <w:b w:val="0"/>
                <w:i w:val="0"/>
                <w:sz w:val="20"/>
              </w:rPr>
              <w:t>0.0828</w:t>
            </w:r>
          </w:p>
        </w:tc>
        <w:tc>
          <w:tcPr>
            <w:tcW w:type="dxa" w:w="1560"/>
          </w:tcPr>
          <w:p>
            <w:pPr>
              <w:jc w:val="center"/>
            </w:pPr>
            <w:r/>
            <w:r>
              <w:rPr>
                <w:rFonts w:ascii="Times New Roman" w:hAnsi="Times New Roman" w:eastAsia="Times New Roman"/>
                <w:b w:val="0"/>
                <w:i w:val="0"/>
                <w:sz w:val="20"/>
              </w:rPr>
              <w:t>0.5653</w:t>
            </w:r>
          </w:p>
        </w:tc>
      </w:tr>
    </w:tbl>
    <w:p/>
    <w:p>
      <w:pPr>
        <w:spacing w:after="160" w:line="276" w:lineRule="auto"/>
        <w:jc w:val="both"/>
      </w:pPr>
      <w:r>
        <w:rPr>
          <w:rFonts w:ascii="Times New Roman" w:hAnsi="Times New Roman" w:eastAsia="Times New Roman"/>
          <w:b w:val="0"/>
          <w:i w:val="0"/>
          <w:sz w:val="24"/>
        </w:rPr>
        <w:t>Best model by ROC-AUC: Gradient Boosting (~0.6309). XGBoost is a close second. For production, either boosting model is a good candidate; Gradient Boosting is selected in the current notebook based on ROC-AUC.</w:t>
      </w:r>
    </w:p>
    <w:p>
      <w:pPr>
        <w:spacing w:after="160" w:line="276" w:lineRule="auto"/>
        <w:jc w:val="both"/>
      </w:pPr>
      <w:r>
        <w:rPr>
          <w:rFonts w:ascii="Times New Roman" w:hAnsi="Times New Roman" w:eastAsia="Times New Roman"/>
          <w:b w:val="0"/>
          <w:i/>
          <w:sz w:val="24"/>
        </w:rPr>
        <w:t>Note: Random Forest can show high Accuracy but low Recall for claims, which confirms why Accuracy is not enough for this problem.</w:t>
      </w:r>
    </w:p>
    <w:p>
      <w:pPr>
        <w:pStyle w:val="Heading1"/>
      </w:pPr>
      <w:r>
        <w:rPr>
          <w:color w:val="1A3A5C"/>
          <w:sz w:val="32"/>
        </w:rPr>
        <w:t>8. Threshold Tuning — Bridging Model Scores to Business Decisions</w:t>
      </w:r>
    </w:p>
    <w:p>
      <w:pPr>
        <w:spacing w:after="160" w:line="276" w:lineRule="auto"/>
        <w:jc w:val="both"/>
      </w:pPr>
      <w:r>
        <w:rPr>
          <w:rFonts w:ascii="Times New Roman" w:hAnsi="Times New Roman" w:eastAsia="Times New Roman"/>
          <w:b w:val="0"/>
          <w:i w:val="0"/>
          <w:sz w:val="24"/>
        </w:rPr>
        <w:t>A model outputs a probability (risk score), not a final yes/no decision. The company chooses a threshold:</w:t>
      </w:r>
    </w:p>
    <w:p>
      <w:pPr>
        <w:pStyle w:val="ListBullet"/>
        <w:spacing w:after="80"/>
      </w:pPr>
      <w:r>
        <w:rPr>
          <w:rFonts w:ascii="Times New Roman" w:hAnsi="Times New Roman" w:eastAsia="Times New Roman"/>
          <w:b w:val="0"/>
          <w:i w:val="0"/>
          <w:sz w:val="24"/>
        </w:rPr>
        <w:t>Lower threshold → more customers flagged (higher Recall, more false alarms).</w:t>
      </w:r>
    </w:p>
    <w:p>
      <w:pPr>
        <w:pStyle w:val="ListBullet"/>
        <w:spacing w:after="80"/>
      </w:pPr>
      <w:r>
        <w:rPr>
          <w:rFonts w:ascii="Times New Roman" w:hAnsi="Times New Roman" w:eastAsia="Times New Roman"/>
          <w:b w:val="0"/>
          <w:i w:val="0"/>
          <w:sz w:val="24"/>
        </w:rPr>
        <w:t>Higher threshold → fewer customers flagged (higher Precision, more missed claims).</w:t>
      </w:r>
    </w:p>
    <w:p>
      <w:pPr>
        <w:spacing w:after="160" w:line="276" w:lineRule="auto"/>
        <w:jc w:val="both"/>
      </w:pPr>
      <w:r>
        <w:rPr>
          <w:rFonts w:ascii="Times New Roman" w:hAnsi="Times New Roman" w:eastAsia="Times New Roman"/>
          <w:b w:val="0"/>
          <w:i w:val="0"/>
          <w:sz w:val="24"/>
        </w:rPr>
        <w:t>The notebook sweeps thresholds from 0.20 to 0.80 and selects the value that maximizes F1 for a balanced operating point. In the recorded run, the suggested threshold for Gradient Boosting was around 0.60. Marketing teams that care more about catching risky customers may intentionally choose a lower threshold.</w:t>
      </w:r>
    </w:p>
    <w:p>
      <w:pPr>
        <w:pStyle w:val="Heading1"/>
      </w:pPr>
      <w:r>
        <w:rPr>
          <w:color w:val="1A3A5C"/>
          <w:sz w:val="32"/>
        </w:rPr>
        <w:t>9. How Task 2 Works — Suggestions to Marketing Team</w:t>
      </w:r>
    </w:p>
    <w:p>
      <w:pPr>
        <w:pStyle w:val="Heading2"/>
      </w:pPr>
      <w:r>
        <w:rPr>
          <w:color w:val="1A3A5C"/>
          <w:sz w:val="28"/>
        </w:rPr>
        <w:t>9.1 Feature importance</w:t>
      </w:r>
    </w:p>
    <w:p>
      <w:pPr>
        <w:spacing w:after="160" w:line="276" w:lineRule="auto"/>
        <w:jc w:val="both"/>
      </w:pPr>
      <w:r>
        <w:rPr>
          <w:rFonts w:ascii="Times New Roman" w:hAnsi="Times New Roman" w:eastAsia="Times New Roman"/>
          <w:b w:val="0"/>
          <w:i w:val="0"/>
          <w:sz w:val="24"/>
        </w:rPr>
        <w:t>Tree/boosting models provide feature importance scores. Features that contribute more to splits receive higher importance. Top drivers observed in the run include: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A5C" w:val="clear"/>
          </w:tcPr>
          <w:p>
            <w:pPr>
              <w:jc w:val="center"/>
            </w:pPr>
            <w:r/>
            <w:r>
              <w:rPr>
                <w:rFonts w:ascii="Times New Roman" w:hAnsi="Times New Roman" w:eastAsia="Times New Roman"/>
                <w:b/>
                <w:i w:val="0"/>
                <w:color w:val="FFFFFF"/>
                <w:sz w:val="22"/>
              </w:rPr>
              <w:t>Rank</w:t>
            </w:r>
          </w:p>
        </w:tc>
        <w:tc>
          <w:tcPr>
            <w:tcW w:type="dxa" w:w="3120"/>
            <w:shd w:fill="1A3A5C" w:val="clear"/>
          </w:tcPr>
          <w:p>
            <w:pPr>
              <w:jc w:val="center"/>
            </w:pPr>
            <w:r/>
            <w:r>
              <w:rPr>
                <w:rFonts w:ascii="Times New Roman" w:hAnsi="Times New Roman" w:eastAsia="Times New Roman"/>
                <w:b/>
                <w:i w:val="0"/>
                <w:color w:val="FFFFFF"/>
                <w:sz w:val="22"/>
              </w:rPr>
              <w:t>Feature</w:t>
            </w:r>
          </w:p>
        </w:tc>
        <w:tc>
          <w:tcPr>
            <w:tcW w:type="dxa" w:w="3120"/>
            <w:shd w:fill="1A3A5C" w:val="clear"/>
          </w:tcPr>
          <w:p>
            <w:pPr>
              <w:jc w:val="center"/>
            </w:pPr>
            <w:r/>
            <w:r>
              <w:rPr>
                <w:rFonts w:ascii="Times New Roman" w:hAnsi="Times New Roman" w:eastAsia="Times New Roman"/>
                <w:b/>
                <w:i w:val="0"/>
                <w:color w:val="FFFFFF"/>
                <w:sz w:val="22"/>
              </w:rPr>
              <w:t>Family insight</w:t>
            </w:r>
          </w:p>
        </w:tc>
      </w:tr>
      <w:tr>
        <w:tc>
          <w:tcPr>
            <w:tcW w:type="dxa" w:w="3120"/>
          </w:tcPr>
          <w:p>
            <w:pPr>
              <w:jc w:val="center"/>
            </w:pPr>
            <w:r/>
            <w:r>
              <w:rPr>
                <w:rFonts w:ascii="Times New Roman" w:hAnsi="Times New Roman" w:eastAsia="Times New Roman"/>
                <w:b w:val="0"/>
                <w:i w:val="0"/>
                <w:sz w:val="20"/>
              </w:rPr>
              <w:t>1</w:t>
            </w:r>
          </w:p>
        </w:tc>
        <w:tc>
          <w:tcPr>
            <w:tcW w:type="dxa" w:w="3120"/>
          </w:tcPr>
          <w:p>
            <w:pPr>
              <w:jc w:val="center"/>
            </w:pPr>
            <w:r/>
            <w:r>
              <w:rPr>
                <w:rFonts w:ascii="Times New Roman" w:hAnsi="Times New Roman" w:eastAsia="Times New Roman"/>
                <w:b w:val="0"/>
                <w:i w:val="0"/>
                <w:sz w:val="20"/>
              </w:rPr>
              <w:t>ps_car_13</w:t>
            </w:r>
          </w:p>
        </w:tc>
        <w:tc>
          <w:tcPr>
            <w:tcW w:type="dxa" w:w="3120"/>
          </w:tcPr>
          <w:p>
            <w:pPr>
              <w:jc w:val="center"/>
            </w:pPr>
            <w:r/>
            <w:r>
              <w:rPr>
                <w:rFonts w:ascii="Times New Roman" w:hAnsi="Times New Roman" w:eastAsia="Times New Roman"/>
                <w:b w:val="0"/>
                <w:i w:val="0"/>
                <w:sz w:val="20"/>
              </w:rPr>
              <w:t>Vehicle/car attributes matter strongly</w:t>
            </w:r>
          </w:p>
        </w:tc>
      </w:tr>
      <w:tr>
        <w:tc>
          <w:tcPr>
            <w:tcW w:type="dxa" w:w="3120"/>
          </w:tcPr>
          <w:p>
            <w:pPr>
              <w:jc w:val="center"/>
            </w:pPr>
            <w:r/>
            <w:r>
              <w:rPr>
                <w:rFonts w:ascii="Times New Roman" w:hAnsi="Times New Roman" w:eastAsia="Times New Roman"/>
                <w:b w:val="0"/>
                <w:i w:val="0"/>
                <w:sz w:val="20"/>
              </w:rPr>
              <w:t>2</w:t>
            </w:r>
          </w:p>
        </w:tc>
        <w:tc>
          <w:tcPr>
            <w:tcW w:type="dxa" w:w="3120"/>
          </w:tcPr>
          <w:p>
            <w:pPr>
              <w:jc w:val="center"/>
            </w:pPr>
            <w:r/>
            <w:r>
              <w:rPr>
                <w:rFonts w:ascii="Times New Roman" w:hAnsi="Times New Roman" w:eastAsia="Times New Roman"/>
                <w:b w:val="0"/>
                <w:i w:val="0"/>
                <w:sz w:val="20"/>
              </w:rPr>
              <w:t>ps_ind_05_cat</w:t>
            </w:r>
          </w:p>
        </w:tc>
        <w:tc>
          <w:tcPr>
            <w:tcW w:type="dxa" w:w="3120"/>
          </w:tcPr>
          <w:p>
            <w:pPr>
              <w:jc w:val="center"/>
            </w:pPr>
            <w:r/>
            <w:r>
              <w:rPr>
                <w:rFonts w:ascii="Times New Roman" w:hAnsi="Times New Roman" w:eastAsia="Times New Roman"/>
                <w:b w:val="0"/>
                <w:i w:val="0"/>
                <w:sz w:val="20"/>
              </w:rPr>
              <w:t>Individual categorical profile signal</w:t>
            </w:r>
          </w:p>
        </w:tc>
      </w:tr>
      <w:tr>
        <w:tc>
          <w:tcPr>
            <w:tcW w:type="dxa" w:w="3120"/>
          </w:tcPr>
          <w:p>
            <w:pPr>
              <w:jc w:val="center"/>
            </w:pPr>
            <w:r/>
            <w:r>
              <w:rPr>
                <w:rFonts w:ascii="Times New Roman" w:hAnsi="Times New Roman" w:eastAsia="Times New Roman"/>
                <w:b w:val="0"/>
                <w:i w:val="0"/>
                <w:sz w:val="20"/>
              </w:rPr>
              <w:t>3</w:t>
            </w:r>
          </w:p>
        </w:tc>
        <w:tc>
          <w:tcPr>
            <w:tcW w:type="dxa" w:w="3120"/>
          </w:tcPr>
          <w:p>
            <w:pPr>
              <w:jc w:val="center"/>
            </w:pPr>
            <w:r/>
            <w:r>
              <w:rPr>
                <w:rFonts w:ascii="Times New Roman" w:hAnsi="Times New Roman" w:eastAsia="Times New Roman"/>
                <w:b w:val="0"/>
                <w:i w:val="0"/>
                <w:sz w:val="20"/>
              </w:rPr>
              <w:t>ps_ind_17_bin</w:t>
            </w:r>
          </w:p>
        </w:tc>
        <w:tc>
          <w:tcPr>
            <w:tcW w:type="dxa" w:w="3120"/>
          </w:tcPr>
          <w:p>
            <w:pPr>
              <w:jc w:val="center"/>
            </w:pPr>
            <w:r/>
            <w:r>
              <w:rPr>
                <w:rFonts w:ascii="Times New Roman" w:hAnsi="Times New Roman" w:eastAsia="Times New Roman"/>
                <w:b w:val="0"/>
                <w:i w:val="0"/>
                <w:sz w:val="20"/>
              </w:rPr>
              <w:t>Individual binary profile signal</w:t>
            </w:r>
          </w:p>
        </w:tc>
      </w:tr>
      <w:tr>
        <w:tc>
          <w:tcPr>
            <w:tcW w:type="dxa" w:w="3120"/>
          </w:tcPr>
          <w:p>
            <w:pPr>
              <w:jc w:val="center"/>
            </w:pPr>
            <w:r/>
            <w:r>
              <w:rPr>
                <w:rFonts w:ascii="Times New Roman" w:hAnsi="Times New Roman" w:eastAsia="Times New Roman"/>
                <w:b w:val="0"/>
                <w:i w:val="0"/>
                <w:sz w:val="20"/>
              </w:rPr>
              <w:t>4</w:t>
            </w:r>
          </w:p>
        </w:tc>
        <w:tc>
          <w:tcPr>
            <w:tcW w:type="dxa" w:w="3120"/>
          </w:tcPr>
          <w:p>
            <w:pPr>
              <w:jc w:val="center"/>
            </w:pPr>
            <w:r/>
            <w:r>
              <w:rPr>
                <w:rFonts w:ascii="Times New Roman" w:hAnsi="Times New Roman" w:eastAsia="Times New Roman"/>
                <w:b w:val="0"/>
                <w:i w:val="0"/>
                <w:sz w:val="20"/>
              </w:rPr>
              <w:t>ps_ind_03</w:t>
            </w:r>
          </w:p>
        </w:tc>
        <w:tc>
          <w:tcPr>
            <w:tcW w:type="dxa" w:w="3120"/>
          </w:tcPr>
          <w:p>
            <w:pPr>
              <w:jc w:val="center"/>
            </w:pPr>
            <w:r/>
            <w:r>
              <w:rPr>
                <w:rFonts w:ascii="Times New Roman" w:hAnsi="Times New Roman" w:eastAsia="Times New Roman"/>
                <w:b w:val="0"/>
                <w:i w:val="0"/>
                <w:sz w:val="20"/>
              </w:rPr>
              <w:t>Individual numeric profile signal</w:t>
            </w:r>
          </w:p>
        </w:tc>
      </w:tr>
      <w:tr>
        <w:tc>
          <w:tcPr>
            <w:tcW w:type="dxa" w:w="3120"/>
          </w:tcPr>
          <w:p>
            <w:pPr>
              <w:jc w:val="center"/>
            </w:pPr>
            <w:r/>
            <w:r>
              <w:rPr>
                <w:rFonts w:ascii="Times New Roman" w:hAnsi="Times New Roman" w:eastAsia="Times New Roman"/>
                <w:b w:val="0"/>
                <w:i w:val="0"/>
                <w:sz w:val="20"/>
              </w:rPr>
              <w:t>5</w:t>
            </w:r>
          </w:p>
        </w:tc>
        <w:tc>
          <w:tcPr>
            <w:tcW w:type="dxa" w:w="3120"/>
          </w:tcPr>
          <w:p>
            <w:pPr>
              <w:jc w:val="center"/>
            </w:pPr>
            <w:r/>
            <w:r>
              <w:rPr>
                <w:rFonts w:ascii="Times New Roman" w:hAnsi="Times New Roman" w:eastAsia="Times New Roman"/>
                <w:b w:val="0"/>
                <w:i w:val="0"/>
                <w:sz w:val="20"/>
              </w:rPr>
              <w:t>ps_reg_03</w:t>
            </w:r>
          </w:p>
        </w:tc>
        <w:tc>
          <w:tcPr>
            <w:tcW w:type="dxa" w:w="3120"/>
          </w:tcPr>
          <w:p>
            <w:pPr>
              <w:jc w:val="center"/>
            </w:pPr>
            <w:r/>
            <w:r>
              <w:rPr>
                <w:rFonts w:ascii="Times New Roman" w:hAnsi="Times New Roman" w:eastAsia="Times New Roman"/>
                <w:b w:val="0"/>
                <w:i w:val="0"/>
                <w:sz w:val="20"/>
              </w:rPr>
              <w:t>Region attributes influence claim risk</w:t>
            </w:r>
          </w:p>
        </w:tc>
      </w:tr>
    </w:tbl>
    <w:p/>
    <w:p>
      <w:pPr>
        <w:spacing w:after="160" w:line="276" w:lineRule="auto"/>
        <w:jc w:val="both"/>
      </w:pPr>
      <w:r>
        <w:rPr>
          <w:rFonts w:ascii="Times New Roman" w:hAnsi="Times New Roman" w:eastAsia="Times New Roman"/>
          <w:b w:val="0"/>
          <w:i w:val="0"/>
          <w:sz w:val="24"/>
        </w:rPr>
        <w:t>Even though exact feature names are hidden, the families (car / individual / region) still give usable marketing levers.</w:t>
      </w:r>
    </w:p>
    <w:p>
      <w:pPr>
        <w:pStyle w:val="Heading2"/>
      </w:pPr>
      <w:r>
        <w:rPr>
          <w:color w:val="1A3A5C"/>
          <w:sz w:val="28"/>
        </w:rPr>
        <w:t>9.2 Risk banding</w:t>
      </w:r>
    </w:p>
    <w:p>
      <w:pPr>
        <w:spacing w:after="160" w:line="276" w:lineRule="auto"/>
        <w:jc w:val="both"/>
      </w:pPr>
      <w:r>
        <w:rPr>
          <w:rFonts w:ascii="Times New Roman" w:hAnsi="Times New Roman" w:eastAsia="Times New Roman"/>
          <w:b w:val="0"/>
          <w:i w:val="0"/>
          <w:sz w:val="24"/>
        </w:rPr>
        <w:t>Customers are grouped by predicted risk score using quantiles:</w:t>
      </w:r>
    </w:p>
    <w:p>
      <w:pPr>
        <w:pStyle w:val="ListBullet"/>
        <w:spacing w:after="80"/>
      </w:pPr>
      <w:r>
        <w:rPr>
          <w:rFonts w:ascii="Times New Roman" w:hAnsi="Times New Roman" w:eastAsia="Times New Roman"/>
          <w:b w:val="0"/>
          <w:i w:val="0"/>
          <w:sz w:val="24"/>
        </w:rPr>
        <w:t>Low — bottom 50% of scores</w:t>
      </w:r>
    </w:p>
    <w:p>
      <w:pPr>
        <w:pStyle w:val="ListBullet"/>
        <w:spacing w:after="80"/>
      </w:pPr>
      <w:r>
        <w:rPr>
          <w:rFonts w:ascii="Times New Roman" w:hAnsi="Times New Roman" w:eastAsia="Times New Roman"/>
          <w:b w:val="0"/>
          <w:i w:val="0"/>
          <w:sz w:val="24"/>
        </w:rPr>
        <w:t>Medium — 50% to 75%</w:t>
      </w:r>
    </w:p>
    <w:p>
      <w:pPr>
        <w:pStyle w:val="ListBullet"/>
        <w:spacing w:after="80"/>
      </w:pPr>
      <w:r>
        <w:rPr>
          <w:rFonts w:ascii="Times New Roman" w:hAnsi="Times New Roman" w:eastAsia="Times New Roman"/>
          <w:b w:val="0"/>
          <w:i w:val="0"/>
          <w:sz w:val="24"/>
        </w:rPr>
        <w:t>High — 75% to 90%</w:t>
      </w:r>
    </w:p>
    <w:p>
      <w:pPr>
        <w:pStyle w:val="ListBullet"/>
        <w:spacing w:after="80"/>
      </w:pPr>
      <w:r>
        <w:rPr>
          <w:rFonts w:ascii="Times New Roman" w:hAnsi="Times New Roman" w:eastAsia="Times New Roman"/>
          <w:b w:val="0"/>
          <w:i w:val="0"/>
          <w:sz w:val="24"/>
        </w:rPr>
        <w:t>Very High — top 10%</w:t>
      </w:r>
    </w:p>
    <w:p>
      <w:pPr>
        <w:spacing w:after="160" w:line="276" w:lineRule="auto"/>
        <w:jc w:val="both"/>
      </w:pPr>
      <w:r>
        <w:rPr>
          <w:rFonts w:ascii="Times New Roman" w:hAnsi="Times New Roman" w:eastAsia="Times New Roman"/>
          <w:b w:val="0"/>
          <w:i w:val="0"/>
          <w:sz w:val="24"/>
        </w:rPr>
        <w:t>Observed claim rates on the test set in one successful run: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A5C" w:val="clear"/>
          </w:tcPr>
          <w:p>
            <w:pPr>
              <w:jc w:val="center"/>
            </w:pPr>
            <w:r/>
            <w:r>
              <w:rPr>
                <w:rFonts w:ascii="Times New Roman" w:hAnsi="Times New Roman" w:eastAsia="Times New Roman"/>
                <w:b/>
                <w:i w:val="0"/>
                <w:color w:val="FFFFFF"/>
                <w:sz w:val="22"/>
              </w:rPr>
              <w:t>Risk band</w:t>
            </w:r>
          </w:p>
        </w:tc>
        <w:tc>
          <w:tcPr>
            <w:tcW w:type="dxa" w:w="2340"/>
            <w:shd w:fill="1A3A5C" w:val="clear"/>
          </w:tcPr>
          <w:p>
            <w:pPr>
              <w:jc w:val="center"/>
            </w:pPr>
            <w:r/>
            <w:r>
              <w:rPr>
                <w:rFonts w:ascii="Times New Roman" w:hAnsi="Times New Roman" w:eastAsia="Times New Roman"/>
                <w:b/>
                <w:i w:val="0"/>
                <w:color w:val="FFFFFF"/>
                <w:sz w:val="22"/>
              </w:rPr>
              <w:t>Customers</w:t>
            </w:r>
          </w:p>
        </w:tc>
        <w:tc>
          <w:tcPr>
            <w:tcW w:type="dxa" w:w="2340"/>
            <w:shd w:fill="1A3A5C" w:val="clear"/>
          </w:tcPr>
          <w:p>
            <w:pPr>
              <w:jc w:val="center"/>
            </w:pPr>
            <w:r/>
            <w:r>
              <w:rPr>
                <w:rFonts w:ascii="Times New Roman" w:hAnsi="Times New Roman" w:eastAsia="Times New Roman"/>
                <w:b/>
                <w:i w:val="0"/>
                <w:color w:val="FFFFFF"/>
                <w:sz w:val="22"/>
              </w:rPr>
              <w:t>Actual claims</w:t>
            </w:r>
          </w:p>
        </w:tc>
        <w:tc>
          <w:tcPr>
            <w:tcW w:type="dxa" w:w="2340"/>
            <w:shd w:fill="1A3A5C" w:val="clear"/>
          </w:tcPr>
          <w:p>
            <w:pPr>
              <w:jc w:val="center"/>
            </w:pPr>
            <w:r/>
            <w:r>
              <w:rPr>
                <w:rFonts w:ascii="Times New Roman" w:hAnsi="Times New Roman" w:eastAsia="Times New Roman"/>
                <w:b/>
                <w:i w:val="0"/>
                <w:color w:val="FFFFFF"/>
                <w:sz w:val="22"/>
              </w:rPr>
              <w:t>Claim rate (%)</w:t>
            </w:r>
          </w:p>
        </w:tc>
      </w:tr>
      <w:tr>
        <w:tc>
          <w:tcPr>
            <w:tcW w:type="dxa" w:w="2340"/>
          </w:tcPr>
          <w:p>
            <w:pPr>
              <w:jc w:val="center"/>
            </w:pPr>
            <w:r/>
            <w:r>
              <w:rPr>
                <w:rFonts w:ascii="Times New Roman" w:hAnsi="Times New Roman" w:eastAsia="Times New Roman"/>
                <w:b w:val="0"/>
                <w:i w:val="0"/>
                <w:sz w:val="20"/>
              </w:rPr>
              <w:t>Low</w:t>
            </w:r>
          </w:p>
        </w:tc>
        <w:tc>
          <w:tcPr>
            <w:tcW w:type="dxa" w:w="2340"/>
          </w:tcPr>
          <w:p>
            <w:pPr>
              <w:jc w:val="center"/>
            </w:pPr>
            <w:r/>
            <w:r>
              <w:rPr>
                <w:rFonts w:ascii="Times New Roman" w:hAnsi="Times New Roman" w:eastAsia="Times New Roman"/>
                <w:b w:val="0"/>
                <w:i w:val="0"/>
                <w:sz w:val="20"/>
              </w:rPr>
              <w:t>12,000</w:t>
            </w:r>
          </w:p>
        </w:tc>
        <w:tc>
          <w:tcPr>
            <w:tcW w:type="dxa" w:w="2340"/>
          </w:tcPr>
          <w:p>
            <w:pPr>
              <w:jc w:val="center"/>
            </w:pPr>
            <w:r/>
            <w:r>
              <w:rPr>
                <w:rFonts w:ascii="Times New Roman" w:hAnsi="Times New Roman" w:eastAsia="Times New Roman"/>
                <w:b w:val="0"/>
                <w:i w:val="0"/>
                <w:sz w:val="20"/>
              </w:rPr>
              <w:t>287</w:t>
            </w:r>
          </w:p>
        </w:tc>
        <w:tc>
          <w:tcPr>
            <w:tcW w:type="dxa" w:w="2340"/>
          </w:tcPr>
          <w:p>
            <w:pPr>
              <w:jc w:val="center"/>
            </w:pPr>
            <w:r/>
            <w:r>
              <w:rPr>
                <w:rFonts w:ascii="Times New Roman" w:hAnsi="Times New Roman" w:eastAsia="Times New Roman"/>
                <w:b w:val="0"/>
                <w:i w:val="0"/>
                <w:sz w:val="20"/>
              </w:rPr>
              <w:t>2.39</w:t>
            </w:r>
          </w:p>
        </w:tc>
      </w:tr>
      <w:tr>
        <w:tc>
          <w:tcPr>
            <w:tcW w:type="dxa" w:w="2340"/>
          </w:tcPr>
          <w:p>
            <w:pPr>
              <w:jc w:val="center"/>
            </w:pPr>
            <w:r/>
            <w:r>
              <w:rPr>
                <w:rFonts w:ascii="Times New Roman" w:hAnsi="Times New Roman" w:eastAsia="Times New Roman"/>
                <w:b w:val="0"/>
                <w:i w:val="0"/>
                <w:sz w:val="20"/>
              </w:rPr>
              <w:t>Medium</w:t>
            </w:r>
          </w:p>
        </w:tc>
        <w:tc>
          <w:tcPr>
            <w:tcW w:type="dxa" w:w="2340"/>
          </w:tcPr>
          <w:p>
            <w:pPr>
              <w:jc w:val="center"/>
            </w:pPr>
            <w:r/>
            <w:r>
              <w:rPr>
                <w:rFonts w:ascii="Times New Roman" w:hAnsi="Times New Roman" w:eastAsia="Times New Roman"/>
                <w:b w:val="0"/>
                <w:i w:val="0"/>
                <w:sz w:val="20"/>
              </w:rPr>
              <w:t>6,000</w:t>
            </w:r>
          </w:p>
        </w:tc>
        <w:tc>
          <w:tcPr>
            <w:tcW w:type="dxa" w:w="2340"/>
          </w:tcPr>
          <w:p>
            <w:pPr>
              <w:jc w:val="center"/>
            </w:pPr>
            <w:r/>
            <w:r>
              <w:rPr>
                <w:rFonts w:ascii="Times New Roman" w:hAnsi="Times New Roman" w:eastAsia="Times New Roman"/>
                <w:b w:val="0"/>
                <w:i w:val="0"/>
                <w:sz w:val="20"/>
              </w:rPr>
              <w:t>228</w:t>
            </w:r>
          </w:p>
        </w:tc>
        <w:tc>
          <w:tcPr>
            <w:tcW w:type="dxa" w:w="2340"/>
          </w:tcPr>
          <w:p>
            <w:pPr>
              <w:jc w:val="center"/>
            </w:pPr>
            <w:r/>
            <w:r>
              <w:rPr>
                <w:rFonts w:ascii="Times New Roman" w:hAnsi="Times New Roman" w:eastAsia="Times New Roman"/>
                <w:b w:val="0"/>
                <w:i w:val="0"/>
                <w:sz w:val="20"/>
              </w:rPr>
              <w:t>3.80</w:t>
            </w:r>
          </w:p>
        </w:tc>
      </w:tr>
      <w:tr>
        <w:tc>
          <w:tcPr>
            <w:tcW w:type="dxa" w:w="2340"/>
          </w:tcPr>
          <w:p>
            <w:pPr>
              <w:jc w:val="center"/>
            </w:pPr>
            <w:r/>
            <w:r>
              <w:rPr>
                <w:rFonts w:ascii="Times New Roman" w:hAnsi="Times New Roman" w:eastAsia="Times New Roman"/>
                <w:b w:val="0"/>
                <w:i w:val="0"/>
                <w:sz w:val="20"/>
              </w:rPr>
              <w:t>High</w:t>
            </w:r>
          </w:p>
        </w:tc>
        <w:tc>
          <w:tcPr>
            <w:tcW w:type="dxa" w:w="2340"/>
          </w:tcPr>
          <w:p>
            <w:pPr>
              <w:jc w:val="center"/>
            </w:pPr>
            <w:r/>
            <w:r>
              <w:rPr>
                <w:rFonts w:ascii="Times New Roman" w:hAnsi="Times New Roman" w:eastAsia="Times New Roman"/>
                <w:b w:val="0"/>
                <w:i w:val="0"/>
                <w:sz w:val="20"/>
              </w:rPr>
              <w:t>3,600</w:t>
            </w:r>
          </w:p>
        </w:tc>
        <w:tc>
          <w:tcPr>
            <w:tcW w:type="dxa" w:w="2340"/>
          </w:tcPr>
          <w:p>
            <w:pPr>
              <w:jc w:val="center"/>
            </w:pPr>
            <w:r/>
            <w:r>
              <w:rPr>
                <w:rFonts w:ascii="Times New Roman" w:hAnsi="Times New Roman" w:eastAsia="Times New Roman"/>
                <w:b w:val="0"/>
                <w:i w:val="0"/>
                <w:sz w:val="20"/>
              </w:rPr>
              <w:t>167</w:t>
            </w:r>
          </w:p>
        </w:tc>
        <w:tc>
          <w:tcPr>
            <w:tcW w:type="dxa" w:w="2340"/>
          </w:tcPr>
          <w:p>
            <w:pPr>
              <w:jc w:val="center"/>
            </w:pPr>
            <w:r/>
            <w:r>
              <w:rPr>
                <w:rFonts w:ascii="Times New Roman" w:hAnsi="Times New Roman" w:eastAsia="Times New Roman"/>
                <w:b w:val="0"/>
                <w:i w:val="0"/>
                <w:sz w:val="20"/>
              </w:rPr>
              <w:t>4.64</w:t>
            </w:r>
          </w:p>
        </w:tc>
      </w:tr>
      <w:tr>
        <w:tc>
          <w:tcPr>
            <w:tcW w:type="dxa" w:w="2340"/>
          </w:tcPr>
          <w:p>
            <w:pPr>
              <w:jc w:val="center"/>
            </w:pPr>
            <w:r/>
            <w:r>
              <w:rPr>
                <w:rFonts w:ascii="Times New Roman" w:hAnsi="Times New Roman" w:eastAsia="Times New Roman"/>
                <w:b w:val="0"/>
                <w:i w:val="0"/>
                <w:sz w:val="20"/>
              </w:rPr>
              <w:t>Very High</w:t>
            </w:r>
          </w:p>
        </w:tc>
        <w:tc>
          <w:tcPr>
            <w:tcW w:type="dxa" w:w="2340"/>
          </w:tcPr>
          <w:p>
            <w:pPr>
              <w:jc w:val="center"/>
            </w:pPr>
            <w:r/>
            <w:r>
              <w:rPr>
                <w:rFonts w:ascii="Times New Roman" w:hAnsi="Times New Roman" w:eastAsia="Times New Roman"/>
                <w:b w:val="0"/>
                <w:i w:val="0"/>
                <w:sz w:val="20"/>
              </w:rPr>
              <w:t>2,400</w:t>
            </w:r>
          </w:p>
        </w:tc>
        <w:tc>
          <w:tcPr>
            <w:tcW w:type="dxa" w:w="2340"/>
          </w:tcPr>
          <w:p>
            <w:pPr>
              <w:jc w:val="center"/>
            </w:pPr>
            <w:r/>
            <w:r>
              <w:rPr>
                <w:rFonts w:ascii="Times New Roman" w:hAnsi="Times New Roman" w:eastAsia="Times New Roman"/>
                <w:b w:val="0"/>
                <w:i w:val="0"/>
                <w:sz w:val="20"/>
              </w:rPr>
              <w:t>193</w:t>
            </w:r>
          </w:p>
        </w:tc>
        <w:tc>
          <w:tcPr>
            <w:tcW w:type="dxa" w:w="2340"/>
          </w:tcPr>
          <w:p>
            <w:pPr>
              <w:jc w:val="center"/>
            </w:pPr>
            <w:r/>
            <w:r>
              <w:rPr>
                <w:rFonts w:ascii="Times New Roman" w:hAnsi="Times New Roman" w:eastAsia="Times New Roman"/>
                <w:b w:val="0"/>
                <w:i w:val="0"/>
                <w:sz w:val="20"/>
              </w:rPr>
              <w:t>8.04</w:t>
            </w:r>
          </w:p>
        </w:tc>
      </w:tr>
    </w:tbl>
    <w:p/>
    <w:p>
      <w:pPr>
        <w:spacing w:after="160" w:line="276" w:lineRule="auto"/>
        <w:jc w:val="both"/>
      </w:pPr>
      <w:r>
        <w:rPr>
          <w:rFonts w:ascii="Times New Roman" w:hAnsi="Times New Roman" w:eastAsia="Times New Roman"/>
          <w:b w:val="0"/>
          <w:i w:val="0"/>
          <w:sz w:val="24"/>
        </w:rPr>
        <w:t>This shows the model is useful: the Very High band has roughly 3× the claim rate of the Low band. Marketing can therefore prioritize spend and product design by band.</w:t>
      </w:r>
    </w:p>
    <w:p>
      <w:pPr>
        <w:pStyle w:val="Heading2"/>
      </w:pPr>
      <w:r>
        <w:rPr>
          <w:color w:val="1A3A5C"/>
          <w:sz w:val="28"/>
        </w:rPr>
        <w:t>9.3 Actionable recommendations</w:t>
      </w:r>
    </w:p>
    <w:p>
      <w:pPr>
        <w:pStyle w:val="ListNumber"/>
        <w:spacing w:after="80"/>
      </w:pPr>
      <w:r>
        <w:rPr>
          <w:rFonts w:ascii="Times New Roman" w:hAnsi="Times New Roman" w:eastAsia="Times New Roman"/>
          <w:b w:val="0"/>
          <w:i w:val="0"/>
          <w:sz w:val="24"/>
        </w:rPr>
        <w:t>Prioritize High / Very High bands for specialised coverage, safety incentives, and closer agent follow-up.</w:t>
      </w:r>
    </w:p>
    <w:p>
      <w:pPr>
        <w:pStyle w:val="ListNumber"/>
        <w:spacing w:after="80"/>
      </w:pPr>
      <w:r>
        <w:rPr>
          <w:rFonts w:ascii="Times New Roman" w:hAnsi="Times New Roman" w:eastAsia="Times New Roman"/>
          <w:b w:val="0"/>
          <w:i w:val="0"/>
          <w:sz w:val="24"/>
        </w:rPr>
        <w:t>Use car-related signals to package vehicle-specific add-ons (collision, roadside assistance, etc.).</w:t>
      </w:r>
    </w:p>
    <w:p>
      <w:pPr>
        <w:pStyle w:val="ListNumber"/>
        <w:spacing w:after="80"/>
      </w:pPr>
      <w:r>
        <w:rPr>
          <w:rFonts w:ascii="Times New Roman" w:hAnsi="Times New Roman" w:eastAsia="Times New Roman"/>
          <w:b w:val="0"/>
          <w:i w:val="0"/>
          <w:sz w:val="24"/>
        </w:rPr>
        <w:t>Use individual profile signals to choose outreach channel (app, SMS, agent visit).</w:t>
      </w:r>
    </w:p>
    <w:p>
      <w:pPr>
        <w:pStyle w:val="ListNumber"/>
        <w:spacing w:after="80"/>
      </w:pPr>
      <w:r>
        <w:rPr>
          <w:rFonts w:ascii="Times New Roman" w:hAnsi="Times New Roman" w:eastAsia="Times New Roman"/>
          <w:b w:val="0"/>
          <w:i w:val="0"/>
          <w:sz w:val="24"/>
        </w:rPr>
        <w:t>Use region signals for local campaigns and partner density decisions.</w:t>
      </w:r>
    </w:p>
    <w:p>
      <w:pPr>
        <w:pStyle w:val="ListNumber"/>
        <w:spacing w:after="80"/>
      </w:pPr>
      <w:r>
        <w:rPr>
          <w:rFonts w:ascii="Times New Roman" w:hAnsi="Times New Roman" w:eastAsia="Times New Roman"/>
          <w:b w:val="0"/>
          <w:i w:val="0"/>
          <w:sz w:val="24"/>
        </w:rPr>
        <w:t>Do not over-rely on weakly predictive calculated features; monitor importance and drop noise later if needed.</w:t>
      </w:r>
    </w:p>
    <w:p>
      <w:pPr>
        <w:pStyle w:val="ListNumber"/>
        <w:spacing w:after="80"/>
      </w:pPr>
      <w:r>
        <w:rPr>
          <w:rFonts w:ascii="Times New Roman" w:hAnsi="Times New Roman" w:eastAsia="Times New Roman"/>
          <w:b w:val="0"/>
          <w:i w:val="0"/>
          <w:sz w:val="24"/>
        </w:rPr>
        <w:t>Agree a threshold policy with marketing and risk teams, then review monthly with live outcomes.</w:t>
      </w:r>
    </w:p>
    <w:p>
      <w:pPr>
        <w:pStyle w:val="ListNumber"/>
        <w:spacing w:after="80"/>
      </w:pPr>
      <w:r>
        <w:rPr>
          <w:rFonts w:ascii="Times New Roman" w:hAnsi="Times New Roman" w:eastAsia="Times New Roman"/>
          <w:b w:val="0"/>
          <w:i w:val="0"/>
          <w:sz w:val="24"/>
        </w:rPr>
        <w:t>Use scores ethically for better matching and prevention — not only for denying customers.</w:t>
      </w:r>
    </w:p>
    <w:p>
      <w:pPr>
        <w:pStyle w:val="Heading1"/>
      </w:pPr>
      <w:r>
        <w:rPr>
          <w:color w:val="1A3A5C"/>
          <w:sz w:val="32"/>
        </w:rPr>
        <w:t>10. Challenges Faced and Techniques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A5C" w:val="clear"/>
          </w:tcPr>
          <w:p>
            <w:pPr>
              <w:jc w:val="center"/>
            </w:pPr>
            <w:r/>
            <w:r>
              <w:rPr>
                <w:rFonts w:ascii="Times New Roman" w:hAnsi="Times New Roman" w:eastAsia="Times New Roman"/>
                <w:b/>
                <w:i w:val="0"/>
                <w:color w:val="FFFFFF"/>
                <w:sz w:val="22"/>
              </w:rPr>
              <w:t>Challenge</w:t>
            </w:r>
          </w:p>
        </w:tc>
        <w:tc>
          <w:tcPr>
            <w:tcW w:type="dxa" w:w="3120"/>
            <w:shd w:fill="1A3A5C" w:val="clear"/>
          </w:tcPr>
          <w:p>
            <w:pPr>
              <w:jc w:val="center"/>
            </w:pPr>
            <w:r/>
            <w:r>
              <w:rPr>
                <w:rFonts w:ascii="Times New Roman" w:hAnsi="Times New Roman" w:eastAsia="Times New Roman"/>
                <w:b/>
                <w:i w:val="0"/>
                <w:color w:val="FFFFFF"/>
                <w:sz w:val="22"/>
              </w:rPr>
              <w:t>Technique used</w:t>
            </w:r>
          </w:p>
        </w:tc>
        <w:tc>
          <w:tcPr>
            <w:tcW w:type="dxa" w:w="3120"/>
            <w:shd w:fill="1A3A5C" w:val="clear"/>
          </w:tcPr>
          <w:p>
            <w:pPr>
              <w:jc w:val="center"/>
            </w:pPr>
            <w:r/>
            <w:r>
              <w:rPr>
                <w:rFonts w:ascii="Times New Roman" w:hAnsi="Times New Roman" w:eastAsia="Times New Roman"/>
                <w:b/>
                <w:i w:val="0"/>
                <w:color w:val="FFFFFF"/>
                <w:sz w:val="22"/>
              </w:rPr>
              <w:t>Reason</w:t>
            </w:r>
          </w:p>
        </w:tc>
      </w:tr>
      <w:tr>
        <w:tc>
          <w:tcPr>
            <w:tcW w:type="dxa" w:w="3120"/>
          </w:tcPr>
          <w:p>
            <w:pPr>
              <w:jc w:val="center"/>
            </w:pPr>
            <w:r/>
            <w:r>
              <w:rPr>
                <w:rFonts w:ascii="Times New Roman" w:hAnsi="Times New Roman" w:eastAsia="Times New Roman"/>
                <w:b w:val="0"/>
                <w:i w:val="0"/>
                <w:sz w:val="20"/>
              </w:rPr>
              <w:t>Severe class imbalance (~3.6%)</w:t>
            </w:r>
          </w:p>
        </w:tc>
        <w:tc>
          <w:tcPr>
            <w:tcW w:type="dxa" w:w="3120"/>
          </w:tcPr>
          <w:p>
            <w:pPr>
              <w:jc w:val="center"/>
            </w:pPr>
            <w:r/>
            <w:r>
              <w:rPr>
                <w:rFonts w:ascii="Times New Roman" w:hAnsi="Times New Roman" w:eastAsia="Times New Roman"/>
                <w:b w:val="0"/>
                <w:i w:val="0"/>
                <w:sz w:val="20"/>
              </w:rPr>
              <w:t>class_weight / scale_pos_weight / sample weights; focus on ROC-AUC</w:t>
            </w:r>
          </w:p>
        </w:tc>
        <w:tc>
          <w:tcPr>
            <w:tcW w:type="dxa" w:w="3120"/>
          </w:tcPr>
          <w:p>
            <w:pPr>
              <w:jc w:val="center"/>
            </w:pPr>
            <w:r/>
            <w:r>
              <w:rPr>
                <w:rFonts w:ascii="Times New Roman" w:hAnsi="Times New Roman" w:eastAsia="Times New Roman"/>
                <w:b w:val="0"/>
                <w:i w:val="0"/>
                <w:sz w:val="20"/>
              </w:rPr>
              <w:t>Prevents majority-class bias; matches business ranking need</w:t>
            </w:r>
          </w:p>
        </w:tc>
      </w:tr>
      <w:tr>
        <w:tc>
          <w:tcPr>
            <w:tcW w:type="dxa" w:w="3120"/>
          </w:tcPr>
          <w:p>
            <w:pPr>
              <w:jc w:val="center"/>
            </w:pPr>
            <w:r/>
            <w:r>
              <w:rPr>
                <w:rFonts w:ascii="Times New Roman" w:hAnsi="Times New Roman" w:eastAsia="Times New Roman"/>
                <w:b w:val="0"/>
                <w:i w:val="0"/>
                <w:sz w:val="20"/>
              </w:rPr>
              <w:t>Missing values coded as -1</w:t>
            </w:r>
          </w:p>
        </w:tc>
        <w:tc>
          <w:tcPr>
            <w:tcW w:type="dxa" w:w="3120"/>
          </w:tcPr>
          <w:p>
            <w:pPr>
              <w:jc w:val="center"/>
            </w:pPr>
            <w:r/>
            <w:r>
              <w:rPr>
                <w:rFonts w:ascii="Times New Roman" w:hAnsi="Times New Roman" w:eastAsia="Times New Roman"/>
                <w:b w:val="0"/>
                <w:i w:val="0"/>
                <w:sz w:val="20"/>
              </w:rPr>
              <w:t>Replace -1 → NaN, then median/mode imputation</w:t>
            </w:r>
          </w:p>
        </w:tc>
        <w:tc>
          <w:tcPr>
            <w:tcW w:type="dxa" w:w="3120"/>
          </w:tcPr>
          <w:p>
            <w:pPr>
              <w:jc w:val="center"/>
            </w:pPr>
            <w:r/>
            <w:r>
              <w:rPr>
                <w:rFonts w:ascii="Times New Roman" w:hAnsi="Times New Roman" w:eastAsia="Times New Roman"/>
                <w:b w:val="0"/>
                <w:i w:val="0"/>
                <w:sz w:val="20"/>
              </w:rPr>
              <w:t>Avoids treating missing code as a real value</w:t>
            </w:r>
          </w:p>
        </w:tc>
      </w:tr>
      <w:tr>
        <w:tc>
          <w:tcPr>
            <w:tcW w:type="dxa" w:w="3120"/>
          </w:tcPr>
          <w:p>
            <w:pPr>
              <w:jc w:val="center"/>
            </w:pPr>
            <w:r/>
            <w:r>
              <w:rPr>
                <w:rFonts w:ascii="Times New Roman" w:hAnsi="Times New Roman" w:eastAsia="Times New Roman"/>
                <w:b w:val="0"/>
                <w:i w:val="0"/>
                <w:sz w:val="20"/>
              </w:rPr>
              <w:t>Anonymized column names</w:t>
            </w:r>
          </w:p>
        </w:tc>
        <w:tc>
          <w:tcPr>
            <w:tcW w:type="dxa" w:w="3120"/>
          </w:tcPr>
          <w:p>
            <w:pPr>
              <w:jc w:val="center"/>
            </w:pPr>
            <w:r/>
            <w:r>
              <w:rPr>
                <w:rFonts w:ascii="Times New Roman" w:hAnsi="Times New Roman" w:eastAsia="Times New Roman"/>
                <w:b w:val="0"/>
                <w:i w:val="0"/>
                <w:sz w:val="20"/>
              </w:rPr>
              <w:t>Analyse by feature family + importance</w:t>
            </w:r>
          </w:p>
        </w:tc>
        <w:tc>
          <w:tcPr>
            <w:tcW w:type="dxa" w:w="3120"/>
          </w:tcPr>
          <w:p>
            <w:pPr>
              <w:jc w:val="center"/>
            </w:pPr>
            <w:r/>
            <w:r>
              <w:rPr>
                <w:rFonts w:ascii="Times New Roman" w:hAnsi="Times New Roman" w:eastAsia="Times New Roman"/>
                <w:b w:val="0"/>
                <w:i w:val="0"/>
                <w:sz w:val="20"/>
              </w:rPr>
              <w:t>Still supports marketing guidance under privacy limits</w:t>
            </w:r>
          </w:p>
        </w:tc>
      </w:tr>
      <w:tr>
        <w:tc>
          <w:tcPr>
            <w:tcW w:type="dxa" w:w="3120"/>
          </w:tcPr>
          <w:p>
            <w:pPr>
              <w:jc w:val="center"/>
            </w:pPr>
            <w:r/>
            <w:r>
              <w:rPr>
                <w:rFonts w:ascii="Times New Roman" w:hAnsi="Times New Roman" w:eastAsia="Times New Roman"/>
                <w:b w:val="0"/>
                <w:i w:val="0"/>
                <w:sz w:val="20"/>
              </w:rPr>
              <w:t>Large data (~595k rows)</w:t>
            </w:r>
          </w:p>
        </w:tc>
        <w:tc>
          <w:tcPr>
            <w:tcW w:type="dxa" w:w="3120"/>
          </w:tcPr>
          <w:p>
            <w:pPr>
              <w:jc w:val="center"/>
            </w:pPr>
            <w:r/>
            <w:r>
              <w:rPr>
                <w:rFonts w:ascii="Times New Roman" w:hAnsi="Times New Roman" w:eastAsia="Times New Roman"/>
                <w:b w:val="0"/>
                <w:i w:val="0"/>
                <w:sz w:val="20"/>
              </w:rPr>
              <w:t>Stratified sampling + efficient boosting models</w:t>
            </w:r>
          </w:p>
        </w:tc>
        <w:tc>
          <w:tcPr>
            <w:tcW w:type="dxa" w:w="3120"/>
          </w:tcPr>
          <w:p>
            <w:pPr>
              <w:jc w:val="center"/>
            </w:pPr>
            <w:r/>
            <w:r>
              <w:rPr>
                <w:rFonts w:ascii="Times New Roman" w:hAnsi="Times New Roman" w:eastAsia="Times New Roman"/>
                <w:b w:val="0"/>
                <w:i w:val="0"/>
                <w:sz w:val="20"/>
              </w:rPr>
              <w:t>Keeps experiments practical on student machines</w:t>
            </w:r>
          </w:p>
        </w:tc>
      </w:tr>
      <w:tr>
        <w:tc>
          <w:tcPr>
            <w:tcW w:type="dxa" w:w="3120"/>
          </w:tcPr>
          <w:p>
            <w:pPr>
              <w:jc w:val="center"/>
            </w:pPr>
            <w:r/>
            <w:r>
              <w:rPr>
                <w:rFonts w:ascii="Times New Roman" w:hAnsi="Times New Roman" w:eastAsia="Times New Roman"/>
                <w:b w:val="0"/>
                <w:i w:val="0"/>
                <w:sz w:val="20"/>
              </w:rPr>
              <w:t>Default 0.5 threshold not business-optimal</w:t>
            </w:r>
          </w:p>
        </w:tc>
        <w:tc>
          <w:tcPr>
            <w:tcW w:type="dxa" w:w="3120"/>
          </w:tcPr>
          <w:p>
            <w:pPr>
              <w:jc w:val="center"/>
            </w:pPr>
            <w:r/>
            <w:r>
              <w:rPr>
                <w:rFonts w:ascii="Times New Roman" w:hAnsi="Times New Roman" w:eastAsia="Times New Roman"/>
                <w:b w:val="0"/>
                <w:i w:val="0"/>
                <w:sz w:val="20"/>
              </w:rPr>
              <w:t>Threshold sweep by F1 / Recall needs</w:t>
            </w:r>
          </w:p>
        </w:tc>
        <w:tc>
          <w:tcPr>
            <w:tcW w:type="dxa" w:w="3120"/>
          </w:tcPr>
          <w:p>
            <w:pPr>
              <w:jc w:val="center"/>
            </w:pPr>
            <w:r/>
            <w:r>
              <w:rPr>
                <w:rFonts w:ascii="Times New Roman" w:hAnsi="Times New Roman" w:eastAsia="Times New Roman"/>
                <w:b w:val="0"/>
                <w:i w:val="0"/>
                <w:sz w:val="20"/>
              </w:rPr>
              <w:t>Separates ranking quality from decision policy</w:t>
            </w:r>
          </w:p>
        </w:tc>
      </w:tr>
    </w:tbl>
    <w:p/>
    <w:p>
      <w:pPr>
        <w:pStyle w:val="Heading1"/>
      </w:pPr>
      <w:r>
        <w:rPr>
          <w:color w:val="1A3A5C"/>
          <w:sz w:val="32"/>
        </w:rPr>
        <w:t>11. How to Run the Project</w:t>
      </w:r>
    </w:p>
    <w:p>
      <w:pPr>
        <w:spacing w:after="160" w:line="276" w:lineRule="auto"/>
      </w:pPr>
      <w:r>
        <w:rPr>
          <w:rFonts w:ascii="Times New Roman" w:hAnsi="Times New Roman" w:eastAsia="Times New Roman"/>
          <w:b/>
          <w:i w:val="0"/>
          <w:sz w:val="24"/>
        </w:rPr>
        <w:t>Environment setup:</w:t>
      </w:r>
    </w:p>
    <w:p>
      <w:pPr>
        <w:spacing w:after="160" w:line="276" w:lineRule="auto"/>
      </w:pPr>
      <w:r>
        <w:rPr>
          <w:rFonts w:ascii="Times New Roman" w:hAnsi="Times New Roman" w:eastAsia="Times New Roman"/>
          <w:b w:val="0"/>
          <w:i/>
          <w:sz w:val="24"/>
        </w:rPr>
        <w:t>pip install -r requirements.txt</w:t>
      </w:r>
    </w:p>
    <w:p>
      <w:pPr>
        <w:spacing w:after="160" w:line="276" w:lineRule="auto"/>
      </w:pPr>
      <w:r>
        <w:rPr>
          <w:rFonts w:ascii="Times New Roman" w:hAnsi="Times New Roman" w:eastAsia="Times New Roman"/>
          <w:b/>
          <w:i w:val="0"/>
          <w:sz w:val="24"/>
        </w:rPr>
        <w:t>Open and run the notebook:</w:t>
      </w:r>
    </w:p>
    <w:p>
      <w:pPr>
        <w:spacing w:after="160" w:line="276" w:lineRule="auto"/>
      </w:pPr>
      <w:r>
        <w:rPr>
          <w:rFonts w:ascii="Times New Roman" w:hAnsi="Times New Roman" w:eastAsia="Times New Roman"/>
          <w:b w:val="0"/>
          <w:i/>
          <w:sz w:val="24"/>
        </w:rPr>
        <w:t>jupyter notebook PRCP_1010_Insurance_Claim_Prediction.ipynb</w:t>
      </w:r>
    </w:p>
    <w:p>
      <w:pPr>
        <w:spacing w:after="160" w:line="276" w:lineRule="auto"/>
        <w:jc w:val="both"/>
      </w:pPr>
      <w:r>
        <w:rPr>
          <w:rFonts w:ascii="Times New Roman" w:hAnsi="Times New Roman" w:eastAsia="Times New Roman"/>
          <w:b w:val="0"/>
          <w:i w:val="0"/>
          <w:sz w:val="24"/>
        </w:rPr>
        <w:t>Then run all cells top to bottom. If Data/train.csv is missing, the first data cell downloads and extracts it automatically.</w:t>
      </w:r>
    </w:p>
    <w:p>
      <w:pPr>
        <w:spacing w:after="160" w:line="276" w:lineRule="auto"/>
      </w:pPr>
      <w:r>
        <w:rPr>
          <w:rFonts w:ascii="Times New Roman" w:hAnsi="Times New Roman" w:eastAsia="Times New Roman"/>
          <w:b/>
          <w:i w:val="0"/>
          <w:sz w:val="24"/>
        </w:rPr>
        <w:t>Optional switch inside the notebook:</w:t>
      </w:r>
    </w:p>
    <w:p>
      <w:pPr>
        <w:pStyle w:val="ListBullet"/>
        <w:spacing w:after="80"/>
      </w:pPr>
      <w:r>
        <w:rPr>
          <w:rFonts w:ascii="Times New Roman" w:hAnsi="Times New Roman" w:eastAsia="Times New Roman"/>
          <w:b w:val="0"/>
          <w:i w:val="0"/>
          <w:sz w:val="24"/>
        </w:rPr>
        <w:t>USE_FULL_DATA = False (default) → faster stratified sample for demo/viva.</w:t>
      </w:r>
    </w:p>
    <w:p>
      <w:pPr>
        <w:pStyle w:val="ListBullet"/>
        <w:spacing w:after="80"/>
      </w:pPr>
      <w:r>
        <w:rPr>
          <w:rFonts w:ascii="Times New Roman" w:hAnsi="Times New Roman" w:eastAsia="Times New Roman"/>
          <w:b w:val="0"/>
          <w:i w:val="0"/>
          <w:sz w:val="24"/>
        </w:rPr>
        <w:t>USE_FULL_DATA = True → train on the full ~595k rows (slower).</w:t>
      </w:r>
    </w:p>
    <w:p>
      <w:pPr>
        <w:spacing w:after="160" w:line="276" w:lineRule="auto"/>
        <w:jc w:val="both"/>
      </w:pPr>
      <w:r>
        <w:rPr>
          <w:rFonts w:ascii="Times New Roman" w:hAnsi="Times New Roman" w:eastAsia="Times New Roman"/>
          <w:b w:val="0"/>
          <w:i w:val="0"/>
          <w:sz w:val="24"/>
        </w:rPr>
        <w:t>After a successful run, the notebook writes:</w:t>
      </w:r>
    </w:p>
    <w:p>
      <w:pPr>
        <w:pStyle w:val="ListBullet"/>
        <w:spacing w:after="80"/>
      </w:pPr>
      <w:r>
        <w:rPr>
          <w:rFonts w:ascii="Times New Roman" w:hAnsi="Times New Roman" w:eastAsia="Times New Roman"/>
          <w:b w:val="0"/>
          <w:i w:val="0"/>
          <w:sz w:val="24"/>
        </w:rPr>
        <w:t>models/best_claim_model.joblib — saved best model</w:t>
      </w:r>
    </w:p>
    <w:p>
      <w:pPr>
        <w:pStyle w:val="ListBullet"/>
        <w:spacing w:after="80"/>
      </w:pPr>
      <w:r>
        <w:rPr>
          <w:rFonts w:ascii="Times New Roman" w:hAnsi="Times New Roman" w:eastAsia="Times New Roman"/>
          <w:b w:val="0"/>
          <w:i w:val="0"/>
          <w:sz w:val="24"/>
        </w:rPr>
        <w:t>outputs/model_comparison.csv — metric table</w:t>
      </w:r>
    </w:p>
    <w:p>
      <w:pPr>
        <w:pStyle w:val="ListBullet"/>
        <w:spacing w:after="80"/>
      </w:pPr>
      <w:r>
        <w:rPr>
          <w:rFonts w:ascii="Times New Roman" w:hAnsi="Times New Roman" w:eastAsia="Times New Roman"/>
          <w:b w:val="0"/>
          <w:i w:val="0"/>
          <w:sz w:val="24"/>
        </w:rPr>
        <w:t>outputs/top_features.csv — importance ranking</w:t>
      </w:r>
    </w:p>
    <w:p>
      <w:pPr>
        <w:pStyle w:val="ListBullet"/>
        <w:spacing w:after="80"/>
      </w:pPr>
      <w:r>
        <w:rPr>
          <w:rFonts w:ascii="Times New Roman" w:hAnsi="Times New Roman" w:eastAsia="Times New Roman"/>
          <w:b w:val="0"/>
          <w:i w:val="0"/>
          <w:sz w:val="24"/>
        </w:rPr>
        <w:t>outputs/risk_segments.csv — marketing risk bands</w:t>
      </w:r>
    </w:p>
    <w:p>
      <w:pPr>
        <w:pStyle w:val="Heading1"/>
      </w:pPr>
      <w:r>
        <w:rPr>
          <w:color w:val="1A3A5C"/>
          <w:sz w:val="32"/>
        </w:rPr>
        <w:t>12. Project File Map</w:t>
      </w:r>
    </w:p>
    <w:tbl>
      <w:tblPr>
        <w:tblStyle w:val="TableGrid"/>
        <w:tblW w:type="auto" w:w="0"/>
        <w:jc w:val="center"/>
        <w:tblLook w:firstColumn="1" w:firstRow="1" w:lastColumn="0" w:lastRow="0" w:noHBand="0" w:noVBand="1" w:val="04A0"/>
      </w:tblPr>
      <w:tblGrid>
        <w:gridCol w:w="4680"/>
        <w:gridCol w:w="4680"/>
      </w:tblGrid>
      <w:tr>
        <w:tc>
          <w:tcPr>
            <w:tcW w:type="dxa" w:w="4680"/>
            <w:shd w:fill="1A3A5C" w:val="clear"/>
          </w:tcPr>
          <w:p>
            <w:pPr>
              <w:jc w:val="center"/>
            </w:pPr>
            <w:r/>
            <w:r>
              <w:rPr>
                <w:rFonts w:ascii="Times New Roman" w:hAnsi="Times New Roman" w:eastAsia="Times New Roman"/>
                <w:b/>
                <w:i w:val="0"/>
                <w:color w:val="FFFFFF"/>
                <w:sz w:val="22"/>
              </w:rPr>
              <w:t>File</w:t>
            </w:r>
          </w:p>
        </w:tc>
        <w:tc>
          <w:tcPr>
            <w:tcW w:type="dxa" w:w="4680"/>
            <w:shd w:fill="1A3A5C" w:val="clear"/>
          </w:tcPr>
          <w:p>
            <w:pPr>
              <w:jc w:val="center"/>
            </w:pPr>
            <w:r/>
            <w:r>
              <w:rPr>
                <w:rFonts w:ascii="Times New Roman" w:hAnsi="Times New Roman" w:eastAsia="Times New Roman"/>
                <w:b/>
                <w:i w:val="0"/>
                <w:color w:val="FFFFFF"/>
                <w:sz w:val="22"/>
              </w:rPr>
              <w:t>Purpose</w:t>
            </w:r>
          </w:p>
        </w:tc>
      </w:tr>
      <w:tr>
        <w:tc>
          <w:tcPr>
            <w:tcW w:type="dxa" w:w="4680"/>
          </w:tcPr>
          <w:p>
            <w:pPr>
              <w:jc w:val="center"/>
            </w:pPr>
            <w:r/>
            <w:r>
              <w:rPr>
                <w:rFonts w:ascii="Times New Roman" w:hAnsi="Times New Roman" w:eastAsia="Times New Roman"/>
                <w:b w:val="0"/>
                <w:i w:val="0"/>
                <w:sz w:val="20"/>
              </w:rPr>
              <w:t>PRCP_1010_Insurance_Claim_Prediction.ipynb</w:t>
            </w:r>
          </w:p>
        </w:tc>
        <w:tc>
          <w:tcPr>
            <w:tcW w:type="dxa" w:w="4680"/>
          </w:tcPr>
          <w:p>
            <w:pPr>
              <w:jc w:val="center"/>
            </w:pPr>
            <w:r/>
            <w:r>
              <w:rPr>
                <w:rFonts w:ascii="Times New Roman" w:hAnsi="Times New Roman" w:eastAsia="Times New Roman"/>
                <w:b w:val="0"/>
                <w:i w:val="0"/>
                <w:sz w:val="20"/>
              </w:rPr>
              <w:t>Main submission notebook (all tasks)</w:t>
            </w:r>
          </w:p>
        </w:tc>
      </w:tr>
      <w:tr>
        <w:tc>
          <w:tcPr>
            <w:tcW w:type="dxa" w:w="4680"/>
          </w:tcPr>
          <w:p>
            <w:pPr>
              <w:jc w:val="center"/>
            </w:pPr>
            <w:r/>
            <w:r>
              <w:rPr>
                <w:rFonts w:ascii="Times New Roman" w:hAnsi="Times New Roman" w:eastAsia="Times New Roman"/>
                <w:b w:val="0"/>
                <w:i w:val="0"/>
                <w:sz w:val="20"/>
              </w:rPr>
              <w:t>PRCP-1010 Project Working Explanation.docx</w:t>
            </w:r>
          </w:p>
        </w:tc>
        <w:tc>
          <w:tcPr>
            <w:tcW w:type="dxa" w:w="4680"/>
          </w:tcPr>
          <w:p>
            <w:pPr>
              <w:jc w:val="center"/>
            </w:pPr>
            <w:r/>
            <w:r>
              <w:rPr>
                <w:rFonts w:ascii="Times New Roman" w:hAnsi="Times New Roman" w:eastAsia="Times New Roman"/>
                <w:b w:val="0"/>
                <w:i w:val="0"/>
                <w:sz w:val="20"/>
              </w:rPr>
              <w:t>This explanation document</w:t>
            </w:r>
          </w:p>
        </w:tc>
      </w:tr>
      <w:tr>
        <w:tc>
          <w:tcPr>
            <w:tcW w:type="dxa" w:w="4680"/>
          </w:tcPr>
          <w:p>
            <w:pPr>
              <w:jc w:val="center"/>
            </w:pPr>
            <w:r/>
            <w:r>
              <w:rPr>
                <w:rFonts w:ascii="Times New Roman" w:hAnsi="Times New Roman" w:eastAsia="Times New Roman"/>
                <w:b w:val="0"/>
                <w:i w:val="0"/>
                <w:sz w:val="20"/>
              </w:rPr>
              <w:t>PRCP-1010-InsClaimPred (2).docx</w:t>
            </w:r>
          </w:p>
        </w:tc>
        <w:tc>
          <w:tcPr>
            <w:tcW w:type="dxa" w:w="4680"/>
          </w:tcPr>
          <w:p>
            <w:pPr>
              <w:jc w:val="center"/>
            </w:pPr>
            <w:r/>
            <w:r>
              <w:rPr>
                <w:rFonts w:ascii="Times New Roman" w:hAnsi="Times New Roman" w:eastAsia="Times New Roman"/>
                <w:b w:val="0"/>
                <w:i w:val="0"/>
                <w:sz w:val="20"/>
              </w:rPr>
              <w:t>Original problem statement</w:t>
            </w:r>
          </w:p>
        </w:tc>
      </w:tr>
      <w:tr>
        <w:tc>
          <w:tcPr>
            <w:tcW w:type="dxa" w:w="4680"/>
          </w:tcPr>
          <w:p>
            <w:pPr>
              <w:jc w:val="center"/>
            </w:pPr>
            <w:r/>
            <w:r>
              <w:rPr>
                <w:rFonts w:ascii="Times New Roman" w:hAnsi="Times New Roman" w:eastAsia="Times New Roman"/>
                <w:b w:val="0"/>
                <w:i w:val="0"/>
                <w:sz w:val="20"/>
              </w:rPr>
              <w:t>requirements.txt</w:t>
            </w:r>
          </w:p>
        </w:tc>
        <w:tc>
          <w:tcPr>
            <w:tcW w:type="dxa" w:w="4680"/>
          </w:tcPr>
          <w:p>
            <w:pPr>
              <w:jc w:val="center"/>
            </w:pPr>
            <w:r/>
            <w:r>
              <w:rPr>
                <w:rFonts w:ascii="Times New Roman" w:hAnsi="Times New Roman" w:eastAsia="Times New Roman"/>
                <w:b w:val="0"/>
                <w:i w:val="0"/>
                <w:sz w:val="20"/>
              </w:rPr>
              <w:t>Python package list</w:t>
            </w:r>
          </w:p>
        </w:tc>
      </w:tr>
      <w:tr>
        <w:tc>
          <w:tcPr>
            <w:tcW w:type="dxa" w:w="4680"/>
          </w:tcPr>
          <w:p>
            <w:pPr>
              <w:jc w:val="center"/>
            </w:pPr>
            <w:r/>
            <w:r>
              <w:rPr>
                <w:rFonts w:ascii="Times New Roman" w:hAnsi="Times New Roman" w:eastAsia="Times New Roman"/>
                <w:b w:val="0"/>
                <w:i w:val="0"/>
                <w:sz w:val="20"/>
              </w:rPr>
              <w:t>README.md</w:t>
            </w:r>
          </w:p>
        </w:tc>
        <w:tc>
          <w:tcPr>
            <w:tcW w:type="dxa" w:w="4680"/>
          </w:tcPr>
          <w:p>
            <w:pPr>
              <w:jc w:val="center"/>
            </w:pPr>
            <w:r/>
            <w:r>
              <w:rPr>
                <w:rFonts w:ascii="Times New Roman" w:hAnsi="Times New Roman" w:eastAsia="Times New Roman"/>
                <w:b w:val="0"/>
                <w:i w:val="0"/>
                <w:sz w:val="20"/>
              </w:rPr>
              <w:t>Short setup guide</w:t>
            </w:r>
          </w:p>
        </w:tc>
      </w:tr>
      <w:tr>
        <w:tc>
          <w:tcPr>
            <w:tcW w:type="dxa" w:w="4680"/>
          </w:tcPr>
          <w:p>
            <w:pPr>
              <w:jc w:val="center"/>
            </w:pPr>
            <w:r/>
            <w:r>
              <w:rPr>
                <w:rFonts w:ascii="Times New Roman" w:hAnsi="Times New Roman" w:eastAsia="Times New Roman"/>
                <w:b w:val="0"/>
                <w:i w:val="0"/>
                <w:sz w:val="20"/>
              </w:rPr>
              <w:t>Data/train.csv</w:t>
            </w:r>
          </w:p>
        </w:tc>
        <w:tc>
          <w:tcPr>
            <w:tcW w:type="dxa" w:w="4680"/>
          </w:tcPr>
          <w:p>
            <w:pPr>
              <w:jc w:val="center"/>
            </w:pPr>
            <w:r/>
            <w:r>
              <w:rPr>
                <w:rFonts w:ascii="Times New Roman" w:hAnsi="Times New Roman" w:eastAsia="Times New Roman"/>
                <w:b w:val="0"/>
                <w:i w:val="0"/>
                <w:sz w:val="20"/>
              </w:rPr>
              <w:t>Dataset (downloaded / not stored in git if large)</w:t>
            </w:r>
          </w:p>
        </w:tc>
      </w:tr>
    </w:tbl>
    <w:p/>
    <w:p>
      <w:pPr>
        <w:pStyle w:val="Heading1"/>
      </w:pPr>
      <w:r>
        <w:rPr>
          <w:color w:val="1A3A5C"/>
          <w:sz w:val="32"/>
        </w:rPr>
        <w:t>13. Conclusion</w:t>
      </w:r>
    </w:p>
    <w:p>
      <w:pPr>
        <w:spacing w:after="160" w:line="276" w:lineRule="auto"/>
        <w:jc w:val="both"/>
      </w:pPr>
      <w:r>
        <w:rPr>
          <w:rFonts w:ascii="Times New Roman" w:hAnsi="Times New Roman" w:eastAsia="Times New Roman"/>
          <w:b w:val="0"/>
          <w:i w:val="0"/>
          <w:sz w:val="24"/>
        </w:rPr>
        <w:t>This mini project converts anonymized insurance customer data into a practical risk-scoring workflow. Multiple models are trained and compared fairly under class imbalance. The best ROC-AUC model produces a claim probability for each customer; thresholding and risk banding turn those scores into marketing actions. Together, Task 1 and Task 2 satisfy the Capstone requirements in a single reproducible notebook, with this Word file documenting how the system works for report and viva use.</w:t>
      </w:r>
    </w:p>
    <w:p>
      <w:pPr>
        <w:spacing w:after="160" w:line="276" w:lineRule="auto"/>
      </w:pPr>
      <w:r>
        <w:rPr>
          <w:rFonts w:ascii="Times New Roman" w:hAnsi="Times New Roman" w:eastAsia="Times New Roman"/>
          <w:b w:val="0"/>
          <w:i w:val="0"/>
          <w:sz w:val="24"/>
        </w:rPr>
      </w:r>
    </w:p>
    <w:p>
      <w:pPr>
        <w:spacing w:after="160" w:line="276" w:lineRule="auto"/>
        <w:jc w:val="center"/>
      </w:pPr>
      <w:r>
        <w:rPr>
          <w:rFonts w:ascii="Times New Roman" w:hAnsi="Times New Roman" w:eastAsia="Times New Roman"/>
          <w:b w:val="0"/>
          <w:i/>
          <w:sz w:val="24"/>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