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00" w:line="288" w:lineRule="auto"/>
        <w:jc w:val="center"/>
      </w:pPr>
      <w:r>
        <w:rPr>
          <w:rFonts w:ascii="Times New Roman" w:hAnsi="Times New Roman"/>
          <w:b/>
          <w:color w:val="102C57"/>
          <w:sz w:val="36"/>
        </w:rPr>
        <w:t>The Annotation Contradiction Atlas: An Evidence-Aware Framework for Prioritizing Potentially Inconsistent Protein Kinase Annotations</w:t>
      </w:r>
    </w:p>
    <w:p>
      <w:pPr>
        <w:spacing w:before="0" w:after="40"/>
        <w:jc w:val="center"/>
      </w:pPr>
      <w:r>
        <w:rPr>
          <w:rFonts w:ascii="Times New Roman" w:hAnsi="Times New Roman"/>
          <w:b/>
          <w:sz w:val="24"/>
        </w:rPr>
        <w:t>A. Sai Charan, Sri Rithvik, and Krishna Kiriti</w:t>
      </w:r>
    </w:p>
    <w:p>
      <w:pPr>
        <w:spacing w:before="0" w:after="40"/>
        <w:jc w:val="center"/>
      </w:pPr>
      <w:r>
        <w:rPr>
          <w:rFonts w:ascii="Times New Roman" w:hAnsi="Times New Roman"/>
          <w:i/>
          <w:color w:val="505050"/>
          <w:sz w:val="20"/>
        </w:rPr>
        <w:t>Department of Computer Science and Engineering</w:t>
      </w:r>
    </w:p>
    <w:p>
      <w:pPr>
        <w:spacing w:before="0" w:after="40"/>
        <w:jc w:val="center"/>
      </w:pPr>
      <w:r>
        <w:rPr>
          <w:rFonts w:ascii="Times New Roman" w:hAnsi="Times New Roman"/>
          <w:i/>
          <w:color w:val="505050"/>
          <w:sz w:val="20"/>
        </w:rPr>
        <w:t>Biological Databases and Knowledge Discovery Course Project</w:t>
      </w:r>
    </w:p>
    <w:p>
      <w:pPr>
        <w:spacing w:before="0" w:after="40"/>
        <w:jc w:val="center"/>
      </w:pPr>
      <w:r>
        <w:rPr>
          <w:rFonts w:ascii="Times New Roman" w:hAnsi="Times New Roman"/>
          <w:i/>
          <w:color w:val="505050"/>
          <w:sz w:val="20"/>
        </w:rPr>
        <w:t>Repository: `b:\intelligent-tesla\intelligent-tesla`</w:t>
      </w:r>
    </w:p>
    <w:p>
      <w:pPr>
        <w:spacing w:before="280" w:after="80"/>
        <w:jc w:val="center"/>
      </w:pPr>
      <w:r>
        <w:rPr>
          <w:rFonts w:ascii="Times New Roman" w:hAnsi="Times New Roman"/>
          <w:b/>
          <w:color w:val="102C57"/>
          <w:sz w:val="22"/>
        </w:rPr>
        <w:t>ABSTRACT</w:t>
      </w:r>
    </w:p>
    <w:p>
      <w:pPr>
        <w:spacing w:before="0" w:after="120" w:line="276" w:lineRule="auto"/>
        <w:ind w:left="576" w:right="576"/>
        <w:jc w:val="both"/>
      </w:pPr>
      <w:r>
        <w:rPr>
          <w:b/>
          <w:i w:val="0"/>
        </w:rPr>
        <w:t>Abstract—</w:t>
      </w:r>
      <w:r>
        <w:rPr>
          <w:i/>
        </w:rPr>
        <w:t xml:space="preserve">Biomedical knowledge discovery relies heavily on curated sequence databases such as UniProtKB/Swiss-Prot and the Gene Ontology (GO). However, the exponential growth of biological sequence data has outpaced manual experimental characterization, causing databases to depend increasingly on computational inference and automated propagation pipelines. When automated transfers propagate without rigorous verification, annotation inconsistencies and misannotations accumulate across public repositories. In this work, we present the </w:t>
      </w:r>
      <w:r>
        <w:rPr>
          <w:b/>
          <w:i/>
        </w:rPr>
        <w:t>Annotation Contradiction Atlas</w:t>
      </w:r>
      <w:r>
        <w:rPr>
          <w:i/>
        </w:rPr>
        <w:t>, an open-source database and evidence-aware decision-support framework designed to prioritize potentially contradictory functional annotations in human protein kinases. Rather than functioning as an automated oracular classifier, the Atlas operates as a transparent triage assistant for expert biocurators.</w:t>
      </w:r>
    </w:p>
    <w:p>
      <w:pPr>
        <w:spacing w:before="0" w:after="80" w:line="276" w:lineRule="auto"/>
        <w:jc w:val="both"/>
      </w:pPr>
      <w:r>
        <w:t xml:space="preserve">The framework integrates four distinct computational evidence layers: (1) global sequence similarity via Needleman-Wunsch pairwise alignment and k-mer Jaccard overlap, (2) dense protein language model representations generated by the 320-dimensional </w:t>
      </w:r>
      <w:r>
        <w:rPr>
          <w:rFonts w:ascii="Consolas" w:hAnsi="Consolas"/>
          <w:color w:val="A02828"/>
          <w:sz w:val="19"/>
        </w:rPr>
        <w:t>esm2_t6_8M_UR50D</w:t>
      </w:r>
      <w:r>
        <w:t xml:space="preserve"> transformer coupled with sliding-window pooling and class-conditioned centroid/k-nearest-neighbor anomaly scoring, (3) structural kinase-specific catalytic motif verification targeting canonical subdomains (VAIK, HRD, DFG) with strict spatial order constraints, and (4) annotation provenance reliability scoring parameterized by UniProt evidence ontology codes and literature citations.</w:t>
      </w:r>
    </w:p>
    <w:p>
      <w:pPr>
        <w:spacing w:before="0" w:after="80" w:line="276" w:lineRule="auto"/>
        <w:jc w:val="both"/>
      </w:pPr>
      <w:r>
        <w:t>We rigorously evaluated the system on an audited 44-case benchmark (Benchmark v2), strictly partitioned into 21 calibration cases, 21 independent test cases (spanning synthetic label swaps and catalytic motif knockouts), and two natural biological exceptions (the human pseudokinases VRK3 and ILK). On the independent test partition (N=21), the global sequence similarity baseline achieved the highest overall performance (F_1 = 0.6000, Precision = 0.7500, Recall = 0.5000, Specificity = 0.7778), outperforming both the multi-evidence ensemble (F_1 = 0.2667) and ESM-2 anomaly scoring alone (F_1 = 0.2667, with 1 false positive and 10 false negatives at the calibrated threshold τ = 0.1814). Diagnostic sensitivity sweeps revealed that global mean-pooled ESM-2 embeddings dilute localized single-motif perturbations across long sequence lengths, yielding zero positive predictions at thresholds τ ≥ 0.40. Furthermore, we demonstrate that natural pseudokinases (VRK3 diagnostic score 0.4537; ILK diagnostic score 0.7167) must be segregated into an independent diagnostic review queue to prevent legitimate evolutionary adaptations from polluting suspected misannotation triage queues.</w:t>
      </w:r>
    </w:p>
    <w:p>
      <w:pPr>
        <w:spacing w:before="0" w:after="80" w:line="276" w:lineRule="auto"/>
        <w:jc w:val="both"/>
      </w:pPr>
      <w:r>
        <w:t>Our findings underscore that high computational discordance does not equate to database error, highlight the nuanced limitations of generalized language model representations for localized enzymatic active-site verification, and establish the necessity of provenance-aware, human-in-the-loop triage systems in modern biocuration workflows.</w:t>
      </w:r>
    </w:p>
    <w:p>
      <w:pPr>
        <w:spacing w:before="0" w:after="240" w:line="276" w:lineRule="auto"/>
        <w:ind w:left="576" w:right="576"/>
        <w:jc w:val="both"/>
      </w:pPr>
      <w:r>
        <w:rPr>
          <w:b/>
        </w:rPr>
        <w:t>Index Terms</w:t>
      </w:r>
      <w:r>
        <w:t>—Annotation contradiction, biocuration triage, protein kinases, pseudokinases, protein language models, ESM-2, catalytic motifs, evidence provenance, biological databases.</w:t>
      </w:r>
    </w:p>
    <w:p>
      <w:pPr>
        <w:keepNext/>
        <w:spacing w:before="320" w:after="80"/>
        <w:jc w:val="left"/>
      </w:pPr>
      <w:r>
        <w:rPr>
          <w:rFonts w:ascii="Times New Roman" w:hAnsi="Times New Roman"/>
          <w:b/>
          <w:color w:val="102C57"/>
          <w:sz w:val="25"/>
        </w:rPr>
        <w:t>I. Introduction</w:t>
      </w:r>
    </w:p>
    <w:p>
      <w:pPr>
        <w:spacing w:before="0" w:after="80" w:line="276" w:lineRule="auto"/>
        <w:jc w:val="both"/>
      </w:pPr>
      <w:r>
        <w:t>Biological sequence repositories are the foundational pillars of modern bioinformatics, molecular biology, and computational pharmacology. Curated knowledge bases such as the Universal Protein Resource (UniProtKB/Swiss-Prot) [1], [2] and the Gene Ontology (GO) [3] synthesize decades of empirical biochemical research into structured, machine-actionable annotations spanning molecular functions, catalytic activities, subcellular localizations, and phenotypic associations. However, the relentless acceleration of high-throughput genomic and transcriptomic sequencing has produced an unprecedented data imbalance: while UniProtKB/TrEMBL contains hundreds of millions of unreviewed computational sequence translations, Swiss-Prot contains fewer than 600,000 manually reviewed entries. To bridge this vast gulf, automated annotation transfer systems (such as UniRule, ARBA, and homology-based inheritance) are routinely deployed to populate functional descriptions across uncharacterized proteins.</w:t>
      </w:r>
    </w:p>
    <w:p>
      <w:pPr>
        <w:spacing w:before="0" w:after="80" w:line="276" w:lineRule="auto"/>
        <w:jc w:val="both"/>
      </w:pPr>
      <w:r>
        <w:t>While computational transfer is indispensable, it introduces severe risks of systematic error propagation [4], [5], [6]. When a protein sequence is annotated based on transitive homology or partial sequence alignment, errors in initial database entries or imprecise boundary definitions can propagate unchecked through secondary and tertiary repositories [7]. In particular, enzymes sharing moderate sequence similarity may diverge substantially in substrate specificity, metal-binding requirements, or catalytic competence. A pervasive failure mode occurs when a sequence retains the overall structural scaffold of an enzyme family but has lost essential catalytic machinery through evolutionary subfunctionalization or pseudogenization [9], [10].</w:t>
      </w:r>
    </w:p>
    <w:p>
      <w:pPr>
        <w:spacing w:before="0" w:after="80" w:line="276" w:lineRule="auto"/>
        <w:jc w:val="both"/>
      </w:pPr>
      <w:r>
        <w:t>Protein kinases represent one of the most prominent and clinically consequential enzyme superfamilies in the human genome, comprising over 500 members that regulate virtually every eukaryotic signaling pathway through reversible phosphorylation [8]. Due to their central role in oncology, immunology, and metabolic disease, kinase functional annotations directly guide experimental target validation, chemical screening, and clinical trials. Yet kinases also present formidable annotation challenges. The human kinome contains an estimated 50 to 60 non-catalytic pseudokinases [11], [12]—proteins that maintain a canonical eukaryotic protein kinase (ePK) fold but lack one or more invariant catalytic residues required for phosphotransfer (e.g., the catalytic lysine in subdomain II, the catalytic aspartate in subdomain VIB, or the metal-chelating aspartate in subdomain VII). Automated pipelines frequently misclassify pseudokinases as active kinases, or conversely, computational consistency checkers flag legitimate pseudokinases as corrupted records because their sequences diverge from canonical active-site expectations.</w:t>
      </w:r>
    </w:p>
    <w:p>
      <w:pPr>
        <w:spacing w:before="0" w:after="80" w:line="276" w:lineRule="auto"/>
        <w:jc w:val="both"/>
      </w:pPr>
      <w:r>
        <w:t>To address these challenges, existing computational quality-control pipelines typically deploy rule-based filters, sequence-homology thresholds, or machine learning anomaly detectors. However, most existing tools treat annotation error detection as an autonomous, binary classification task: an entry is either flagged as "correct" or "erroneous." In real-world biocuration, this framing is fundamentally flawed for three major reasons:</w:t>
      </w:r>
    </w:p>
    <w:p>
      <w:pPr>
        <w:spacing w:before="20" w:after="60" w:line="269" w:lineRule="auto"/>
        <w:ind w:left="432" w:hanging="432"/>
      </w:pPr>
      <w:r>
        <w:rPr>
          <w:rFonts w:ascii="Times New Roman" w:hAnsi="Times New Roman"/>
          <w:b/>
          <w:sz w:val="20"/>
        </w:rPr>
        <w:t xml:space="preserve">[1]  </w:t>
      </w:r>
      <w:r>
        <w:rPr>
          <w:b/>
        </w:rPr>
        <w:t>Computational discordance is not equivalent to database error:</w:t>
      </w:r>
      <w:r>
        <w:t xml:space="preserve"> A protein sequence may exhibit atypical sequence or structural features due to genuine evolutionary specialization, lineage-specific divergence, or alternate isoform splicing, rather than a curation mistake.</w:t>
      </w:r>
    </w:p>
    <w:p>
      <w:pPr>
        <w:spacing w:before="20" w:after="60" w:line="269" w:lineRule="auto"/>
        <w:ind w:left="432" w:hanging="432"/>
      </w:pPr>
      <w:r>
        <w:rPr>
          <w:rFonts w:ascii="Times New Roman" w:hAnsi="Times New Roman"/>
          <w:b/>
          <w:sz w:val="20"/>
        </w:rPr>
        <w:t xml:space="preserve">[2]  </w:t>
      </w:r>
      <w:r>
        <w:rPr>
          <w:b/>
        </w:rPr>
        <w:t>Global representations mask localized enzymatic functional loss:</w:t>
      </w:r>
      <w:r>
        <w:t xml:space="preserve"> Deep transformer-based protein language models (pLMs) such as ESM-2 [19] capture powerful global structural, evolutionary, and biophysical distributions. However, global mean-pooled sequence embeddings can easily dilute localized, point-level mutations within catalytic triads across sequence lengths exceeding 400 to 1,000 amino acids.</w:t>
      </w:r>
    </w:p>
    <w:p>
      <w:pPr>
        <w:spacing w:before="20" w:after="60" w:line="269" w:lineRule="auto"/>
        <w:ind w:left="432" w:hanging="432"/>
      </w:pPr>
      <w:r>
        <w:rPr>
          <w:rFonts w:ascii="Times New Roman" w:hAnsi="Times New Roman"/>
          <w:b/>
          <w:sz w:val="20"/>
        </w:rPr>
        <w:t xml:space="preserve">[3]  </w:t>
      </w:r>
      <w:r>
        <w:rPr>
          <w:b/>
        </w:rPr>
        <w:t>Annotation provenance is routinely ignored:</w:t>
      </w:r>
      <w:r>
        <w:t xml:space="preserve"> Annotations derived from direct low-throughput </w:t>
      </w:r>
      <w:r>
        <w:rPr>
          <w:i/>
        </w:rPr>
        <w:t>in vitro</w:t>
      </w:r>
      <w:r>
        <w:t xml:space="preserve"> enzymatic assays with published crystal structures possess fundamentally different evidential weight than unvalidated electronic transfers. An anomaly score cannot be interpreted meaningfully without factoring in the epistemic strength of the underlying evidence.</w:t>
      </w:r>
    </w:p>
    <w:p>
      <w:pPr>
        <w:keepNext/>
        <w:spacing w:before="200" w:after="60"/>
        <w:jc w:val="left"/>
      </w:pPr>
      <w:r>
        <w:rPr>
          <w:rFonts w:ascii="Times New Roman" w:hAnsi="Times New Roman"/>
          <w:b/>
          <w:color w:val="1F4E79"/>
          <w:sz w:val="22"/>
        </w:rPr>
        <w:t>Contributions of this Work</w:t>
      </w:r>
    </w:p>
    <w:p>
      <w:pPr>
        <w:spacing w:before="0" w:after="80" w:line="276" w:lineRule="auto"/>
        <w:jc w:val="both"/>
      </w:pPr>
      <w:r>
        <w:t xml:space="preserve">In this study, we present the </w:t>
      </w:r>
      <w:r>
        <w:rPr>
          <w:b/>
        </w:rPr>
        <w:t>Annotation Contradiction Atlas</w:t>
      </w:r>
      <w:r>
        <w:t>, an evidence-aware relational database and triage dashboard engineered to identify, decompose, and prioritize potential annotation conflicts across the human kinome. Designed explicitly as a human-in-the-loop decision-support tool rather than an autonomous classifier, the Atlas makes four core contributions:</w:t>
      </w:r>
    </w:p>
    <w:p>
      <w:pPr>
        <w:pStyle w:val="ListBullet"/>
        <w:spacing w:before="0" w:after="60" w:line="276" w:lineRule="auto"/>
      </w:pPr>
      <w:r>
        <w:rPr>
          <w:b/>
        </w:rPr>
        <w:t>A Multi-Layered Computational Evidence Framework:</w:t>
      </w:r>
      <w:r>
        <w:t xml:space="preserve"> We integrate four complementary analytical modalities: global pairwise sequence alignment and k-mer Jaccard similarity, dense 320-dimensional ESM-2 transformer embeddings with class-conditioned centroid and k-NN anomaly scoring, rule-based kinase catalytic motif validation (VAIK, HRD, DFG) with structural geometry constraints, and an evidence provenance penalty model grounded in UniProt evidence ontology codes.</w:t>
      </w:r>
    </w:p>
    <w:p>
      <w:pPr>
        <w:pStyle w:val="ListBullet"/>
        <w:spacing w:before="0" w:after="60" w:line="276" w:lineRule="auto"/>
      </w:pPr>
      <w:r>
        <w:rPr>
          <w:b/>
        </w:rPr>
        <w:t>Rigorous Empirical Auditing and Evaluation:</w:t>
      </w:r>
      <w:r>
        <w:t xml:space="preserve"> We construct a strictly partitioned 44-case evaluation suite (Benchmark v2), consisting of 21 calibration cases, 21 independent test cases (encompassing synthetic label contradictions and catalytic knockouts), and two natural biological exceptions. We present fully audited, reproducible confusion matrices and explain why sequence similarity baselines outperformed the complex ensemble.</w:t>
      </w:r>
    </w:p>
    <w:p>
      <w:pPr>
        <w:pStyle w:val="ListBullet"/>
        <w:spacing w:before="0" w:after="60" w:line="276" w:lineRule="auto"/>
      </w:pPr>
      <w:r>
        <w:rPr>
          <w:b/>
        </w:rPr>
        <w:t>Mechanistic Diagnostic Analysis of ESM-2 Sensitivity:</w:t>
      </w:r>
      <w:r>
        <w:t xml:space="preserve"> We analyze the behavior of ESM-2 embeddings under systematic threshold sweeps, demonstrating why global mean pooling limits the sensitivity of small language models to localized motif knockouts and resulting in zero positive predictions at τ ≥ 0.40.</w:t>
      </w:r>
    </w:p>
    <w:p>
      <w:pPr>
        <w:pStyle w:val="ListBullet"/>
        <w:spacing w:before="0" w:after="60" w:line="276" w:lineRule="auto"/>
      </w:pPr>
      <w:r>
        <w:rPr>
          <w:b/>
        </w:rPr>
        <w:t>Separation of Natural Biological Exceptions from Annotation Errors:</w:t>
      </w:r>
      <w:r>
        <w:t xml:space="preserve"> We implement and validate a dedicated triage protocol that separates natural pseudokinases (e.g., VRK3 and ILK) from suspected annotation conflicts, preserving their diagnostic scores without misleading biocurators into flagging valid biology as corrupted database records.</w:t>
      </w:r>
    </w:p>
    <w:p>
      <w:pPr>
        <w:keepNext/>
        <w:spacing w:before="320" w:after="80"/>
        <w:jc w:val="left"/>
      </w:pPr>
      <w:r>
        <w:rPr>
          <w:rFonts w:ascii="Times New Roman" w:hAnsi="Times New Roman"/>
          <w:b/>
          <w:color w:val="102C57"/>
          <w:sz w:val="25"/>
        </w:rPr>
        <w:t>II. Background and Related Work</w:t>
      </w:r>
    </w:p>
    <w:p>
      <w:pPr>
        <w:keepNext/>
        <w:spacing w:before="200" w:after="60"/>
        <w:jc w:val="left"/>
      </w:pPr>
      <w:r>
        <w:rPr>
          <w:rFonts w:ascii="Times New Roman" w:hAnsi="Times New Roman"/>
          <w:b/>
          <w:color w:val="1F4E79"/>
          <w:sz w:val="22"/>
        </w:rPr>
        <w:t>A. Annotation Drift and Error Propagation in Curated Databases</w:t>
      </w:r>
    </w:p>
    <w:p>
      <w:pPr>
        <w:spacing w:before="0" w:after="80" w:line="276" w:lineRule="auto"/>
        <w:jc w:val="both"/>
      </w:pPr>
      <w:r>
        <w:t xml:space="preserve">The challenge of misannotation in public biological databases has been recognized for over two decades. In a landmark study, Brenner [4] demonstrated that automated homology-based transfers at sequence identity thresholds below 30% yield functional error rates exceeding 30%. Devos and Valencia [5] subsequently demonstrated that structural similarity does not guarantee enzymatic functional conservation, as modest active-site rearrangements can radically alter enzymatic specificity. Schnoes et al. [6] conducted a comprehensive audit of functional annotations across multiple enzyme superfamilies, discovering error rates ranging from 5% to over 40% in secondary databases, with the highest error frequencies observed in computationally generated electronic annotations (evidence code </w:t>
      </w:r>
      <w:r>
        <w:rPr>
          <w:rFonts w:ascii="Consolas" w:hAnsi="Consolas"/>
          <w:color w:val="A02828"/>
          <w:sz w:val="19"/>
        </w:rPr>
        <w:t>IEA</w:t>
      </w:r>
      <w:r>
        <w:t>).</w:t>
      </w:r>
    </w:p>
    <w:p>
      <w:pPr>
        <w:spacing w:before="0" w:after="80" w:line="276" w:lineRule="auto"/>
        <w:jc w:val="both"/>
      </w:pPr>
      <w:r>
        <w:t xml:space="preserve">Modern curation consortia have introduced standardized evidence ontologies to mitigate these issues. UniProtKB and the Gene Ontology classify all annotations using Evidence and Conclusion Ontology (ECO) codes [1], [3]. These codes span experimental validations (e.g., </w:t>
      </w:r>
      <w:r>
        <w:rPr>
          <w:rFonts w:ascii="Consolas" w:hAnsi="Consolas"/>
          <w:color w:val="A02828"/>
          <w:sz w:val="19"/>
        </w:rPr>
        <w:t>EXP</w:t>
      </w:r>
      <w:r>
        <w:t xml:space="preserve">, </w:t>
      </w:r>
      <w:r>
        <w:rPr>
          <w:rFonts w:ascii="Consolas" w:hAnsi="Consolas"/>
          <w:color w:val="A02828"/>
          <w:sz w:val="19"/>
        </w:rPr>
        <w:t>IDA</w:t>
      </w:r>
      <w:r>
        <w:t xml:space="preserve">, </w:t>
      </w:r>
      <w:r>
        <w:rPr>
          <w:rFonts w:ascii="Consolas" w:hAnsi="Consolas"/>
          <w:color w:val="A02828"/>
          <w:sz w:val="19"/>
        </w:rPr>
        <w:t>IPI</w:t>
      </w:r>
      <w:r>
        <w:t xml:space="preserve">), curated phylogenetic inferences (e.g., </w:t>
      </w:r>
      <w:r>
        <w:rPr>
          <w:rFonts w:ascii="Consolas" w:hAnsi="Consolas"/>
          <w:color w:val="A02828"/>
          <w:sz w:val="19"/>
        </w:rPr>
        <w:t>IBA</w:t>
      </w:r>
      <w:r>
        <w:t>), author statements (</w:t>
      </w:r>
      <w:r>
        <w:rPr>
          <w:rFonts w:ascii="Consolas" w:hAnsi="Consolas"/>
          <w:color w:val="A02828"/>
          <w:sz w:val="19"/>
        </w:rPr>
        <w:t>TAS</w:t>
      </w:r>
      <w:r>
        <w:t xml:space="preserve">, </w:t>
      </w:r>
      <w:r>
        <w:rPr>
          <w:rFonts w:ascii="Consolas" w:hAnsi="Consolas"/>
          <w:color w:val="A02828"/>
          <w:sz w:val="19"/>
        </w:rPr>
        <w:t>NAS</w:t>
      </w:r>
      <w:r>
        <w:t>), and purely computational inferences (</w:t>
      </w:r>
      <w:r>
        <w:rPr>
          <w:rFonts w:ascii="Consolas" w:hAnsi="Consolas"/>
          <w:color w:val="A02828"/>
          <w:sz w:val="19"/>
        </w:rPr>
        <w:t>ISS</w:t>
      </w:r>
      <w:r>
        <w:t xml:space="preserve">, </w:t>
      </w:r>
      <w:r>
        <w:rPr>
          <w:rFonts w:ascii="Consolas" w:hAnsi="Consolas"/>
          <w:color w:val="A02828"/>
          <w:sz w:val="19"/>
        </w:rPr>
        <w:t>IEA</w:t>
      </w:r>
      <w:r>
        <w:t>). While these codes provide transparent lineage, biocurators currently lack automated tools that cross-examine the biological plausibility of an annotation against its underlying evidence code within an interactive triage workflow.</w:t>
      </w:r>
    </w:p>
    <w:p>
      <w:pPr>
        <w:keepNext/>
        <w:spacing w:before="200" w:after="60"/>
        <w:jc w:val="left"/>
      </w:pPr>
      <w:r>
        <w:rPr>
          <w:rFonts w:ascii="Times New Roman" w:hAnsi="Times New Roman"/>
          <w:b/>
          <w:color w:val="1F4E79"/>
          <w:sz w:val="22"/>
        </w:rPr>
        <w:t>B. Protein Kinase Structural Biology and the Pseudokinase Paradox</w:t>
      </w:r>
    </w:p>
    <w:p>
      <w:pPr>
        <w:spacing w:before="0" w:after="80" w:line="276" w:lineRule="auto"/>
        <w:jc w:val="both"/>
      </w:pPr>
      <w:r>
        <w:t>The eukaryotic protein kinase (ePK) catalytic domain comprises approximately 250 to 300 amino acids folded into a two-lobed tertiary structure [13], [8]. The smaller N-terminal lobe consists predominantly of five antiparallel β-strands and an αC-helix, while the larger C-terminal lobe is primarily α-helical. The catalytic cleft is positioned between the two lobes and is characterized by three universally conserved sequence motifs essential for ATP binding, phosphate orientation, and phosphotransfer [14], [15]:</w:t>
      </w:r>
    </w:p>
    <w:p>
      <w:pPr>
        <w:spacing w:before="20" w:after="60" w:line="269" w:lineRule="auto"/>
        <w:ind w:left="432" w:hanging="432"/>
      </w:pPr>
      <w:r>
        <w:rPr>
          <w:rFonts w:ascii="Times New Roman" w:hAnsi="Times New Roman"/>
          <w:b/>
          <w:sz w:val="20"/>
        </w:rPr>
        <w:t xml:space="preserve">[1]  </w:t>
      </w:r>
      <w:r>
        <w:rPr>
          <w:b/>
        </w:rPr>
        <w:t>Subdomain II (The VAIK Motif):</w:t>
      </w:r>
      <w:r>
        <w:t xml:space="preserve"> Contains an invariant lysine residue (Lys72 in murine PKA) positioned within a V-A-I-K or A-X-K consensus sequence. This lysine coordinates the α- and β-phosphates of ATP and forms a crucial salt bridge with a conserved glutamate on the αC-helix (Glu91 in PKA).</w:t>
      </w:r>
    </w:p>
    <w:p>
      <w:pPr>
        <w:spacing w:before="20" w:after="60" w:line="269" w:lineRule="auto"/>
        <w:ind w:left="432" w:hanging="432"/>
      </w:pPr>
      <w:r>
        <w:rPr>
          <w:rFonts w:ascii="Times New Roman" w:hAnsi="Times New Roman"/>
          <w:b/>
          <w:sz w:val="20"/>
        </w:rPr>
        <w:t xml:space="preserve">[2]  </w:t>
      </w:r>
      <w:r>
        <w:rPr>
          <w:b/>
        </w:rPr>
        <w:t>Subdomain VIB (The HRD Motif):</w:t>
      </w:r>
      <w:r>
        <w:t xml:space="preserve"> Contains the catalytic loop consensus H-R-D-x-[KR]-x-x-N. The invariant aspartate (Asp166 in PKA) serves as the catalytic base that accepts a proton from the substrate hydroxyl group during nucleophilic attack.</w:t>
      </w:r>
    </w:p>
    <w:p>
      <w:pPr>
        <w:spacing w:before="20" w:after="60" w:line="269" w:lineRule="auto"/>
        <w:ind w:left="432" w:hanging="432"/>
      </w:pPr>
      <w:r>
        <w:rPr>
          <w:rFonts w:ascii="Times New Roman" w:hAnsi="Times New Roman"/>
          <w:b/>
          <w:sz w:val="20"/>
        </w:rPr>
        <w:t xml:space="preserve">[3]  </w:t>
      </w:r>
      <w:r>
        <w:rPr>
          <w:b/>
        </w:rPr>
        <w:t>Subdomain VII (The DFG Motif):</w:t>
      </w:r>
      <w:r>
        <w:t xml:space="preserve"> Contains the magnesium-binding consensus D-F-G at the start of the activation loop. The invariant aspartate (Asp184 in PKA) directly coordinates the primary Mg²⁺ ion, which chelates the β- and γ-phosphates of ATP.</w:t>
      </w:r>
    </w:p>
    <w:p>
      <w:pPr>
        <w:spacing w:before="0" w:after="80" w:line="276" w:lineRule="auto"/>
        <w:jc w:val="both"/>
      </w:pPr>
      <w:r>
        <w:t xml:space="preserve">Despite the stringent evolutionary conservation of these motifs across catalytically active kinases, approximately 10% of the human kinome comprises </w:t>
      </w:r>
      <w:r>
        <w:rPr>
          <w:b/>
        </w:rPr>
        <w:t>pseudokinases</w:t>
      </w:r>
      <w:r>
        <w:t xml:space="preserve"> [9], [10], [12]. Pseudokinases possess clear structural homology to the ePK fold but harbor natural substitutions in one or more of these invariant catalytic residues. For instance, </w:t>
      </w:r>
      <w:r>
        <w:rPr>
          <w:b/>
        </w:rPr>
        <w:t>Vaccinia-related kinase 3 (VRK3, Q9Y616)</w:t>
      </w:r>
      <w:r>
        <w:t xml:space="preserve"> exhibits a degenerate HRD motif (H-G-A) and an altered DFG motif (S-S-G), rendering it catalytically inert toward conventional substrates while functioning as an essential scaffold that activates VHR phosphatase [16]. Similarly, </w:t>
      </w:r>
      <w:r>
        <w:rPr>
          <w:b/>
        </w:rPr>
        <w:t>Integrin-linked kinase (ILK, Q13418)</w:t>
      </w:r>
      <w:r>
        <w:t xml:space="preserve"> contains an altered HRD motif (F-K-K) and DFG motif (D-F-F), operating primarily as a mechanical and structural hub in focal adhesions [17], [18].</w:t>
      </w:r>
    </w:p>
    <w:p>
      <w:pPr>
        <w:spacing w:before="0" w:after="80" w:line="276" w:lineRule="auto"/>
        <w:jc w:val="both"/>
      </w:pPr>
      <w:r>
        <w:t>The existence of pseudokinases creates a profound challenge for automated curation pipelines: a motif analysis tool will correctly observe that ILK or VRK3 lacks the standard catalytic machinery, but classifying them as "erroneous database entries" is biologically incorrect. They represent natural evolutionary adaptations, not curation errors.</w:t>
      </w:r>
    </w:p>
    <w:p>
      <w:pPr>
        <w:keepNext/>
        <w:spacing w:before="200" w:after="60"/>
        <w:jc w:val="left"/>
      </w:pPr>
      <w:r>
        <w:rPr>
          <w:rFonts w:ascii="Times New Roman" w:hAnsi="Times New Roman"/>
          <w:b/>
          <w:color w:val="1F4E79"/>
          <w:sz w:val="22"/>
        </w:rPr>
        <w:t>C. Protein Language Models and Deep Representations</w:t>
      </w:r>
    </w:p>
    <w:p>
      <w:pPr>
        <w:spacing w:before="0" w:after="80" w:line="276" w:lineRule="auto"/>
        <w:jc w:val="both"/>
      </w:pPr>
      <w:r>
        <w:t>Recent breakthroughs in deep self-supervised learning have established protein language models (pLMs) as powerful engines for biological representation [20], [21], [19]. Models such as ESM-1b and ESM-2 (Evolutionary Scale Modeling) are trained on hundreds of millions of evolutionary diverse sequences from UniRef50 using masked language modeling objectives. Through this pretraining, the transformer attention heads implicitly learn secondary structure, tertiary residue-residue contacts, evolutionary conservation, and biochemical properties directly from sequence without explicit structural inputs [19].</w:t>
      </w:r>
    </w:p>
    <w:p>
      <w:pPr>
        <w:spacing w:before="0" w:after="80" w:line="276" w:lineRule="auto"/>
        <w:jc w:val="both"/>
      </w:pPr>
      <w:r>
        <w:t>Researchers have increasingly applied pLMs to variant effect prediction, protein design, and anomaly detection. However, standard downstream workflows frequently pool the hidden representations of all tokens across a sequence into a single mean vector. While this global embedding captures overall fold and family topology with remarkable fidelity, its mathematical formulation—an unweighted average across hundreds or thousands of residue vectors—inherently dampens the signal of single-residue or localized three-residue mutations [22]. In this paper, we directly audit and quantify this architectural limitation within the context of kinase active-site verification.</w:t>
      </w:r>
    </w:p>
    <w:p>
      <w:pPr>
        <w:keepNext/>
        <w:spacing w:before="320" w:after="80"/>
        <w:jc w:val="left"/>
      </w:pPr>
      <w:r>
        <w:rPr>
          <w:rFonts w:ascii="Times New Roman" w:hAnsi="Times New Roman"/>
          <w:b/>
          <w:color w:val="102C57"/>
          <w:sz w:val="25"/>
        </w:rPr>
        <w:t>III. System Architecture and Relational Data Model</w:t>
      </w:r>
    </w:p>
    <w:p>
      <w:pPr>
        <w:keepNext/>
        <w:spacing w:before="200" w:after="60"/>
        <w:jc w:val="left"/>
      </w:pPr>
      <w:r>
        <w:rPr>
          <w:rFonts w:ascii="Times New Roman" w:hAnsi="Times New Roman"/>
          <w:b/>
          <w:color w:val="1F4E79"/>
          <w:sz w:val="22"/>
        </w:rPr>
        <w:t>A. Architectural Overview</w:t>
      </w:r>
    </w:p>
    <w:p>
      <w:pPr>
        <w:spacing w:before="0" w:after="80" w:line="276" w:lineRule="auto"/>
        <w:jc w:val="both"/>
      </w:pPr>
      <w:r>
        <w:t>The Annotation Contradiction Atlas is engineered as a modular, three-tier software architecture comprising an ingestion and extraction pipeline, a relational persistence layer, and an interactive Streamlit-based curation dashboard. The complete software architecture is depicted in Fig. 1.</w:t>
      </w:r>
    </w:p>
    <w:tbl>
      <w:tblPr>
        <w:tblW w:type="auto" w:w="0"/>
        <w:jc w:val="center"/>
        <w:tblLook w:firstColumn="1" w:firstRow="1" w:lastColumn="0" w:lastRow="0" w:noHBand="0" w:noVBand="1" w:val="04A0"/>
        <w:tblBorders>
          <w:top w:val="single" w:sz="6" w:space="0" w:color="D0D5DD"/>
          <w:bottom w:val="single" w:sz="6" w:space="0" w:color="D0D5DD"/>
          <w:insideH w:val="single" w:sz="6" w:space="0" w:color="D0D5DD"/>
          <w:insideV w:val="none"/>
          <w:left w:val="none"/>
          <w:right w:val="none"/>
        </w:tblBorders>
      </w:tblPr>
      <w:tblGrid>
        <w:gridCol w:w="9360"/>
      </w:tblGrid>
      <w:tr>
        <w:tc>
          <w:tcPr>
            <w:tcW w:type="dxa" w:w="9360"/>
            <w:shd w:fill="F4F5F7"/>
            <w:tcMar>
              <w:top w:w="120" w:type="dxa"/>
              <w:bottom w:w="120" w:type="dxa"/>
              <w:left w:w="180" w:type="dxa"/>
              <w:right w:w="180" w:type="dxa"/>
            </w:tcMar>
          </w:tcPr>
          <w:p>
            <w:pPr>
              <w:spacing w:line="240" w:lineRule="auto" w:after="0"/>
            </w:pPr>
            <w:r>
              <w:rPr>
                <w:rFonts w:ascii="Consolas" w:hAnsi="Consolas"/>
                <w:color w:val="212529"/>
                <w:sz w:val="17"/>
              </w:rPr>
              <w:t>+-----------------------------------------------------------------------------------+</w:t>
              <w:br/>
              <w:t>|                            DATA INGESTION PIPELINE                                |</w:t>
              <w:br/>
              <w:t>|  UniProtKB/Swiss-Prot XML/JSON  --&gt;  Filter: Reviewed Human Kinases (N = 500)     |</w:t>
              <w:br/>
              <w:t>+-----------------------------------------------------------------------------------+</w:t>
              <w:br/>
              <w:t xml:space="preserve">                                        |</w:t>
              <w:br/>
              <w:t xml:space="preserve">                                        v</w:t>
              <w:br/>
              <w:t>+-----------------------------------------------------------------------------------+</w:t>
              <w:br/>
              <w:t>|                            RELATIONAL DATABASE LAYER                              |</w:t>
              <w:br/>
              <w:t>|                              (SQLite3 Engine)                                     |</w:t>
              <w:br/>
              <w:t>|  +--------------------+    +--------------------+    +-------------------------+  |</w:t>
              <w:br/>
              <w:t>|  |     Proteins       |&lt;---|    Annotations     |&lt;---|   EvidenceProvenance    |  |</w:t>
              <w:br/>
              <w:t>|  |  (UniProt Accession|    | (GO terms, EC,     |    | (ECO codes, PubMed IDs, |  |</w:t>
              <w:br/>
              <w:t>|  |   Gene, Sequence)  |    |  Functional text)  |    |  Reliability weights)   |  |</w:t>
              <w:br/>
              <w:t>|  +--------------------+    +--------------------+    +-------------------------+  |</w:t>
              <w:br/>
              <w:t>|           |                          |                                            |</w:t>
              <w:br/>
              <w:t>|           v                          v                                            |</w:t>
              <w:br/>
              <w:t>|  +--------------------+    +--------------------+    +-------------------------+  |</w:t>
              <w:br/>
              <w:t>|  |   KinaseFeatures   |    | ContradictionScore |    |      ReviewFlags        |  |</w:t>
              <w:br/>
              <w:t>|  | (VAIK, HRD, DFG,   |    | (Multi-evidence    |    | (Priority: HIGH/MOD/LOW,|  |</w:t>
              <w:br/>
              <w:t>|  |  Spatial validity) |    |  component scores) |    |  Exception category)    |  |</w:t>
              <w:br/>
              <w:t>|  +--------------------+    +--------------------+    +-------------------------+  |</w:t>
              <w:br/>
              <w:t>+-----------------------------------------------------------------------------------+</w:t>
              <w:br/>
              <w:t xml:space="preserve">                                        |</w:t>
              <w:br/>
              <w:t xml:space="preserve">                                        v</w:t>
              <w:br/>
              <w:t>+-----------------------------------------------------------------------------------+</w:t>
              <w:br/>
              <w:t>|                         EVALUATION &amp; BENCHMARK SUITE                              |</w:t>
              <w:br/>
              <w:t>|   Benchmark v2 (N = 44: 21 Calibration, 21 Independent Test, 2 Natural Exceptions) |</w:t>
              <w:br/>
              <w:t>+-----------------------------------------------------------------------------------+</w:t>
              <w:br/>
              <w:t xml:space="preserve">                                        |</w:t>
              <w:br/>
              <w:t xml:space="preserve">                                        v</w:t>
              <w:br/>
              <w:t>+-----------------------------------------------------------------------------------+</w:t>
              <w:br/>
              <w:t>|                      CURATOR DECISION-SUPPORT DASHBOARD                           |</w:t>
              <w:br/>
              <w:t>|       Tab 1: Suspected Annotation Conflicts  |  Tab 2: Natural Exceptions         |</w:t>
              <w:br/>
              <w:t>|       - Component Discordance Radar          |  - Structural Explanations         |</w:t>
              <w:br/>
              <w:t>|       - Alignment Evidence Browser           |  - Evolutionary Divergence Metrics |</w:t>
              <w:br/>
              <w:t>+-----------------------------------------------------------------------------------+</w:t>
            </w:r>
          </w:p>
        </w:tc>
      </w:tr>
    </w:tbl>
    <w:p>
      <w:pPr>
        <w:spacing w:after="80" w:line="240" w:lineRule="auto"/>
      </w:pPr>
    </w:p>
    <w:p>
      <w:pPr>
        <w:spacing w:before="80" w:after="200"/>
        <w:jc w:val="center"/>
      </w:pPr>
      <w:r>
        <w:rPr>
          <w:rFonts w:ascii="Times New Roman" w:hAnsi="Times New Roman"/>
          <w:i/>
          <w:color w:val="3C3C3C"/>
          <w:sz w:val="19"/>
        </w:rPr>
        <w:t>Fig. 1. Comprehensive architectural schematic of the Annotation Contradiction Atlas, illustrating data flow from ingestion to database storage, multi-evidence scoring, benchmark evaluation, and biocurator presentation.</w:t>
      </w:r>
    </w:p>
    <w:p>
      <w:pPr>
        <w:keepNext/>
        <w:spacing w:before="200" w:after="60"/>
        <w:jc w:val="left"/>
      </w:pPr>
      <w:r>
        <w:rPr>
          <w:rFonts w:ascii="Times New Roman" w:hAnsi="Times New Roman"/>
          <w:b/>
          <w:color w:val="1F4E79"/>
          <w:sz w:val="22"/>
        </w:rPr>
        <w:t>B. Relational Schema Design</w:t>
      </w:r>
    </w:p>
    <w:p>
      <w:pPr>
        <w:spacing w:before="0" w:after="80" w:line="276" w:lineRule="auto"/>
        <w:jc w:val="both"/>
      </w:pPr>
      <w:r>
        <w:t>The backend database is implemented in SQLite3, enforcing strict relational integrity through foreign key constraints, unique indices, and enumerations. The relational model consists of seven core tables:</w:t>
      </w:r>
    </w:p>
    <w:p>
      <w:pPr>
        <w:spacing w:before="20" w:after="60" w:line="269" w:lineRule="auto"/>
        <w:ind w:left="432" w:hanging="432"/>
      </w:pPr>
      <w:r>
        <w:rPr>
          <w:rFonts w:ascii="Times New Roman" w:hAnsi="Times New Roman"/>
          <w:b/>
          <w:sz w:val="20"/>
        </w:rPr>
        <w:t xml:space="preserve">[1]  </w:t>
      </w:r>
      <w:r>
        <w:rPr>
          <w:b/>
        </w:rPr>
        <w:t>`proteins`</w:t>
      </w:r>
      <w:r>
        <w:t>: Stores primary sequence records, including UniProt accession (primary key), entry name, gene symbol, organism (</w:t>
      </w:r>
      <w:r>
        <w:rPr>
          <w:rFonts w:ascii="Consolas" w:hAnsi="Consolas"/>
          <w:color w:val="A02828"/>
          <w:sz w:val="19"/>
        </w:rPr>
        <w:t>Homo sapiens</w:t>
      </w:r>
      <w:r>
        <w:t>), sequence length, raw amino acid string, and kinematic classification (e.g., Tyrosine kinase, Serine/threonine kinase, Dual-specificity).</w:t>
      </w:r>
    </w:p>
    <w:p>
      <w:pPr>
        <w:spacing w:before="20" w:after="60" w:line="269" w:lineRule="auto"/>
        <w:ind w:left="432" w:hanging="432"/>
      </w:pPr>
      <w:r>
        <w:rPr>
          <w:rFonts w:ascii="Times New Roman" w:hAnsi="Times New Roman"/>
          <w:b/>
          <w:sz w:val="20"/>
        </w:rPr>
        <w:t xml:space="preserve">[2]  </w:t>
      </w:r>
      <w:r>
        <w:rPr>
          <w:b/>
        </w:rPr>
        <w:t>`annotations`</w:t>
      </w:r>
      <w:r>
        <w:t>: Stores individual functional assertions linked to each protein via a foreign key (</w:t>
      </w:r>
      <w:r>
        <w:rPr>
          <w:rFonts w:ascii="Consolas" w:hAnsi="Consolas"/>
          <w:color w:val="A02828"/>
          <w:sz w:val="19"/>
        </w:rPr>
        <w:t>protein_id</w:t>
      </w:r>
      <w:r>
        <w:t>). Attributes include annotation category (</w:t>
      </w:r>
      <w:r>
        <w:rPr>
          <w:rFonts w:ascii="Consolas" w:hAnsi="Consolas"/>
          <w:color w:val="A02828"/>
          <w:sz w:val="19"/>
        </w:rPr>
        <w:t>MOLECULAR_FUNCTION</w:t>
      </w:r>
      <w:r>
        <w:t xml:space="preserve">, </w:t>
      </w:r>
      <w:r>
        <w:rPr>
          <w:rFonts w:ascii="Consolas" w:hAnsi="Consolas"/>
          <w:color w:val="A02828"/>
          <w:sz w:val="19"/>
        </w:rPr>
        <w:t>CATALYTIC_ACTIVITY</w:t>
      </w:r>
      <w:r>
        <w:t xml:space="preserve">, </w:t>
      </w:r>
      <w:r>
        <w:rPr>
          <w:rFonts w:ascii="Consolas" w:hAnsi="Consolas"/>
          <w:color w:val="A02828"/>
          <w:sz w:val="19"/>
        </w:rPr>
        <w:t>SUBCELLULAR_LOCATION</w:t>
      </w:r>
      <w:r>
        <w:t>), ontology term identifier (e.g., GO accession), and human-readable descriptive text.</w:t>
      </w:r>
    </w:p>
    <w:p>
      <w:pPr>
        <w:spacing w:before="20" w:after="60" w:line="269" w:lineRule="auto"/>
        <w:ind w:left="432" w:hanging="432"/>
      </w:pPr>
      <w:r>
        <w:rPr>
          <w:rFonts w:ascii="Times New Roman" w:hAnsi="Times New Roman"/>
          <w:b/>
          <w:sz w:val="20"/>
        </w:rPr>
        <w:t xml:space="preserve">[3]  </w:t>
      </w:r>
      <w:r>
        <w:rPr>
          <w:b/>
        </w:rPr>
        <w:t>`evidence_provenance`</w:t>
      </w:r>
      <w:r>
        <w:t>: Stores lineage records for each annotation. Attributes include evidence code (</w:t>
      </w:r>
      <w:r>
        <w:rPr>
          <w:rFonts w:ascii="Consolas" w:hAnsi="Consolas"/>
          <w:color w:val="A02828"/>
          <w:sz w:val="19"/>
        </w:rPr>
        <w:t>EXP</w:t>
      </w:r>
      <w:r>
        <w:t xml:space="preserve">, </w:t>
      </w:r>
      <w:r>
        <w:rPr>
          <w:rFonts w:ascii="Consolas" w:hAnsi="Consolas"/>
          <w:color w:val="A02828"/>
          <w:sz w:val="19"/>
        </w:rPr>
        <w:t>IDA</w:t>
      </w:r>
      <w:r>
        <w:t xml:space="preserve">, </w:t>
      </w:r>
      <w:r>
        <w:rPr>
          <w:rFonts w:ascii="Consolas" w:hAnsi="Consolas"/>
          <w:color w:val="A02828"/>
          <w:sz w:val="19"/>
        </w:rPr>
        <w:t>IBA</w:t>
      </w:r>
      <w:r>
        <w:t xml:space="preserve">, </w:t>
      </w:r>
      <w:r>
        <w:rPr>
          <w:rFonts w:ascii="Consolas" w:hAnsi="Consolas"/>
          <w:color w:val="A02828"/>
          <w:sz w:val="19"/>
        </w:rPr>
        <w:t>ISS</w:t>
      </w:r>
      <w:r>
        <w:t xml:space="preserve">, </w:t>
      </w:r>
      <w:r>
        <w:rPr>
          <w:rFonts w:ascii="Consolas" w:hAnsi="Consolas"/>
          <w:color w:val="A02828"/>
          <w:sz w:val="19"/>
        </w:rPr>
        <w:t>IEA</w:t>
      </w:r>
      <w:r>
        <w:t>, etc.), evidence category (</w:t>
      </w:r>
      <w:r>
        <w:rPr>
          <w:rFonts w:ascii="Consolas" w:hAnsi="Consolas"/>
          <w:color w:val="A02828"/>
          <w:sz w:val="19"/>
        </w:rPr>
        <w:t>EXPERIMENTAL</w:t>
      </w:r>
      <w:r>
        <w:t xml:space="preserve">, </w:t>
      </w:r>
      <w:r>
        <w:rPr>
          <w:rFonts w:ascii="Consolas" w:hAnsi="Consolas"/>
          <w:color w:val="A02828"/>
          <w:sz w:val="19"/>
        </w:rPr>
        <w:t>PHYLOGENETIC_CURATED</w:t>
      </w:r>
      <w:r>
        <w:t xml:space="preserve">, </w:t>
      </w:r>
      <w:r>
        <w:rPr>
          <w:rFonts w:ascii="Consolas" w:hAnsi="Consolas"/>
          <w:color w:val="A02828"/>
          <w:sz w:val="19"/>
        </w:rPr>
        <w:t>AUTHOR_STATEMENT</w:t>
      </w:r>
      <w:r>
        <w:t xml:space="preserve">, </w:t>
      </w:r>
      <w:r>
        <w:rPr>
          <w:rFonts w:ascii="Consolas" w:hAnsi="Consolas"/>
          <w:color w:val="A02828"/>
          <w:sz w:val="19"/>
        </w:rPr>
        <w:t>COMPUTATIONAL</w:t>
      </w:r>
      <w:r>
        <w:t xml:space="preserve">, </w:t>
      </w:r>
      <w:r>
        <w:rPr>
          <w:rFonts w:ascii="Consolas" w:hAnsi="Consolas"/>
          <w:color w:val="A02828"/>
          <w:sz w:val="19"/>
        </w:rPr>
        <w:t>UNSPECIFIED</w:t>
      </w:r>
      <w:r>
        <w:t>), literature reference (PubMed ID), and computed numerical reliability scores.</w:t>
      </w:r>
    </w:p>
    <w:p>
      <w:pPr>
        <w:spacing w:before="20" w:after="60" w:line="269" w:lineRule="auto"/>
        <w:ind w:left="432" w:hanging="432"/>
      </w:pPr>
      <w:r>
        <w:rPr>
          <w:rFonts w:ascii="Times New Roman" w:hAnsi="Times New Roman"/>
          <w:b/>
          <w:sz w:val="20"/>
        </w:rPr>
        <w:t xml:space="preserve">[4]  </w:t>
      </w:r>
      <w:r>
        <w:rPr>
          <w:b/>
        </w:rPr>
        <w:t>`kinase_features`</w:t>
      </w:r>
      <w:r>
        <w:t>: Stores extracted catalytic motif coordinates and status. Attributes include binary indicators and string values for VAIK, HRD, and DFG subdomains, motif start and end positions, spatial distance spans, and an overall geometric validity flag.</w:t>
      </w:r>
    </w:p>
    <w:p>
      <w:pPr>
        <w:spacing w:before="20" w:after="60" w:line="269" w:lineRule="auto"/>
        <w:ind w:left="432" w:hanging="432"/>
      </w:pPr>
      <w:r>
        <w:rPr>
          <w:rFonts w:ascii="Times New Roman" w:hAnsi="Times New Roman"/>
          <w:b/>
          <w:sz w:val="20"/>
        </w:rPr>
        <w:t xml:space="preserve">[5]  </w:t>
      </w:r>
      <w:r>
        <w:rPr>
          <w:b/>
        </w:rPr>
        <w:t>`contradiction_scores`</w:t>
      </w:r>
      <w:r>
        <w:t>: Stores multi-evidence scoring records for evaluated protein-annotation pairs. Stores individual component scores (A_{emb}, A_{sim}, A_{feat}, P_{prov}), the aggregated score S, and diagnostic metadata.</w:t>
      </w:r>
    </w:p>
    <w:p>
      <w:pPr>
        <w:spacing w:before="20" w:after="60" w:line="269" w:lineRule="auto"/>
        <w:ind w:left="432" w:hanging="432"/>
      </w:pPr>
      <w:r>
        <w:rPr>
          <w:rFonts w:ascii="Times New Roman" w:hAnsi="Times New Roman"/>
          <w:b/>
          <w:sz w:val="20"/>
        </w:rPr>
        <w:t xml:space="preserve">[6]  </w:t>
      </w:r>
      <w:r>
        <w:rPr>
          <w:b/>
        </w:rPr>
        <w:t>`review_flags`</w:t>
      </w:r>
      <w:r>
        <w:t>: Manages the curator triage priority queue. Attributes include review priority (</w:t>
      </w:r>
      <w:r>
        <w:rPr>
          <w:rFonts w:ascii="Consolas" w:hAnsi="Consolas"/>
          <w:color w:val="A02828"/>
          <w:sz w:val="19"/>
        </w:rPr>
        <w:t>HIGH</w:t>
      </w:r>
      <w:r>
        <w:t xml:space="preserve">, </w:t>
      </w:r>
      <w:r>
        <w:rPr>
          <w:rFonts w:ascii="Consolas" w:hAnsi="Consolas"/>
          <w:color w:val="A02828"/>
          <w:sz w:val="19"/>
        </w:rPr>
        <w:t>MODERATE</w:t>
      </w:r>
      <w:r>
        <w:t xml:space="preserve">, </w:t>
      </w:r>
      <w:r>
        <w:rPr>
          <w:rFonts w:ascii="Consolas" w:hAnsi="Consolas"/>
          <w:color w:val="A02828"/>
          <w:sz w:val="19"/>
        </w:rPr>
        <w:t>LOW</w:t>
      </w:r>
      <w:r>
        <w:t>), review status (</w:t>
      </w:r>
      <w:r>
        <w:rPr>
          <w:rFonts w:ascii="Consolas" w:hAnsi="Consolas"/>
          <w:color w:val="A02828"/>
          <w:sz w:val="19"/>
        </w:rPr>
        <w:t>PENDING</w:t>
      </w:r>
      <w:r>
        <w:t xml:space="preserve">, </w:t>
      </w:r>
      <w:r>
        <w:rPr>
          <w:rFonts w:ascii="Consolas" w:hAnsi="Consolas"/>
          <w:color w:val="A02828"/>
          <w:sz w:val="19"/>
        </w:rPr>
        <w:t>IN_REVIEW</w:t>
      </w:r>
      <w:r>
        <w:t xml:space="preserve">, </w:t>
      </w:r>
      <w:r>
        <w:rPr>
          <w:rFonts w:ascii="Consolas" w:hAnsi="Consolas"/>
          <w:color w:val="A02828"/>
          <w:sz w:val="19"/>
        </w:rPr>
        <w:t>RESOLVED</w:t>
      </w:r>
      <w:r>
        <w:t>), and explicit biological exception tagging (</w:t>
      </w:r>
      <w:r>
        <w:rPr>
          <w:rFonts w:ascii="Consolas" w:hAnsi="Consolas"/>
          <w:color w:val="A02828"/>
          <w:sz w:val="19"/>
        </w:rPr>
        <w:t>STANDARD</w:t>
      </w:r>
      <w:r>
        <w:t xml:space="preserve">, </w:t>
      </w:r>
      <w:r>
        <w:rPr>
          <w:rFonts w:ascii="Consolas" w:hAnsi="Consolas"/>
          <w:color w:val="A02828"/>
          <w:sz w:val="19"/>
        </w:rPr>
        <w:t>PSEUDOKINASE</w:t>
      </w:r>
      <w:r>
        <w:t xml:space="preserve">, </w:t>
      </w:r>
      <w:r>
        <w:rPr>
          <w:rFonts w:ascii="Consolas" w:hAnsi="Consolas"/>
          <w:color w:val="A02828"/>
          <w:sz w:val="19"/>
        </w:rPr>
        <w:t>DIVERGENT_ISOFORM</w:t>
      </w:r>
      <w:r>
        <w:t>).</w:t>
      </w:r>
    </w:p>
    <w:p>
      <w:pPr>
        <w:spacing w:before="20" w:after="60" w:line="269" w:lineRule="auto"/>
        <w:ind w:left="432" w:hanging="432"/>
      </w:pPr>
      <w:r>
        <w:rPr>
          <w:rFonts w:ascii="Times New Roman" w:hAnsi="Times New Roman"/>
          <w:b/>
          <w:sz w:val="20"/>
        </w:rPr>
        <w:t xml:space="preserve">[7]  </w:t>
      </w:r>
      <w:r>
        <w:rPr>
          <w:b/>
        </w:rPr>
        <w:t>`benchmark_cases`</w:t>
      </w:r>
      <w:r>
        <w:t>: Manages the Benchmark v2 evaluation partition. Attributes include case identifier, protein accession, benchmark task (</w:t>
      </w:r>
      <w:r>
        <w:rPr>
          <w:rFonts w:ascii="Consolas" w:hAnsi="Consolas"/>
          <w:color w:val="A02828"/>
          <w:sz w:val="19"/>
        </w:rPr>
        <w:t>TASK1_LABEL_CONTRADICTION</w:t>
      </w:r>
      <w:r>
        <w:t xml:space="preserve">, </w:t>
      </w:r>
      <w:r>
        <w:rPr>
          <w:rFonts w:ascii="Consolas" w:hAnsi="Consolas"/>
          <w:color w:val="A02828"/>
          <w:sz w:val="19"/>
        </w:rPr>
        <w:t>TASK2_SEQUENCE_PERTURBATION</w:t>
      </w:r>
      <w:r>
        <w:t xml:space="preserve">, </w:t>
      </w:r>
      <w:r>
        <w:rPr>
          <w:rFonts w:ascii="Consolas" w:hAnsi="Consolas"/>
          <w:color w:val="A02828"/>
          <w:sz w:val="19"/>
        </w:rPr>
        <w:t>TASK3_BIOLOGICAL_EXCEPTION</w:t>
      </w:r>
      <w:r>
        <w:t>), partition split (</w:t>
      </w:r>
      <w:r>
        <w:rPr>
          <w:rFonts w:ascii="Consolas" w:hAnsi="Consolas"/>
          <w:color w:val="A02828"/>
          <w:sz w:val="19"/>
        </w:rPr>
        <w:t>CALIBRATION</w:t>
      </w:r>
      <w:r>
        <w:t xml:space="preserve">, </w:t>
      </w:r>
      <w:r>
        <w:rPr>
          <w:rFonts w:ascii="Consolas" w:hAnsi="Consolas"/>
          <w:color w:val="A02828"/>
          <w:sz w:val="19"/>
        </w:rPr>
        <w:t>INDEPENDENT_TEST</w:t>
      </w:r>
      <w:r>
        <w:t>), ground-truth conflict flag, and validation notes.</w:t>
      </w:r>
    </w:p>
    <w:p>
      <w:pPr>
        <w:keepNext/>
        <w:spacing w:before="200" w:after="60"/>
        <w:jc w:val="left"/>
      </w:pPr>
      <w:r>
        <w:rPr>
          <w:rFonts w:ascii="Times New Roman" w:hAnsi="Times New Roman"/>
          <w:b/>
          <w:color w:val="1F4E79"/>
          <w:sz w:val="22"/>
        </w:rPr>
        <w:t>C. Ingestion Pipeline and Data Realities</w:t>
      </w:r>
    </w:p>
    <w:p>
      <w:pPr>
        <w:spacing w:before="0" w:after="80" w:line="276" w:lineRule="auto"/>
        <w:jc w:val="both"/>
      </w:pPr>
      <w:r>
        <w:t>The reference dataset was populated by ingesting reviewed human protein kinase records from UniProtKB/Swiss-Prot (release 2024_02). To establish clear, unambiguous reporting across the project, we explicitly audit the data hierarchy:</w:t>
      </w:r>
    </w:p>
    <w:p>
      <w:pPr>
        <w:pStyle w:val="ListBullet"/>
        <w:spacing w:before="0" w:after="60" w:line="276" w:lineRule="auto"/>
      </w:pPr>
      <w:r>
        <w:rPr>
          <w:b/>
        </w:rPr>
        <w:t>Total Imported Swiss-Prot Kinases:</w:t>
      </w:r>
      <w:r>
        <w:t xml:space="preserve"> Exactly </w:t>
      </w:r>
      <w:r>
        <w:rPr>
          <w:b/>
        </w:rPr>
        <w:t>500</w:t>
      </w:r>
      <w:r>
        <w:t xml:space="preserve"> reviewed human protein kinase sequences are stored in the </w:t>
      </w:r>
      <w:r>
        <w:rPr>
          <w:rFonts w:ascii="Consolas" w:hAnsi="Consolas"/>
          <w:color w:val="A02828"/>
          <w:sz w:val="19"/>
        </w:rPr>
        <w:t>proteins</w:t>
      </w:r>
      <w:r>
        <w:t xml:space="preserve"> table.</w:t>
      </w:r>
    </w:p>
    <w:p>
      <w:pPr>
        <w:pStyle w:val="ListBullet"/>
        <w:spacing w:before="0" w:after="60" w:line="276" w:lineRule="auto"/>
      </w:pPr>
      <w:r>
        <w:rPr>
          <w:b/>
        </w:rPr>
        <w:t>Total Imported Functional Annotations:</w:t>
      </w:r>
      <w:r>
        <w:t xml:space="preserve"> Exactly </w:t>
      </w:r>
      <w:r>
        <w:rPr>
          <w:b/>
        </w:rPr>
        <w:t>5,464</w:t>
      </w:r>
      <w:r>
        <w:t xml:space="preserve"> distinct annotation records are stored in the </w:t>
      </w:r>
      <w:r>
        <w:rPr>
          <w:rFonts w:ascii="Consolas" w:hAnsi="Consolas"/>
          <w:color w:val="A02828"/>
          <w:sz w:val="19"/>
        </w:rPr>
        <w:t>annotations</w:t>
      </w:r>
      <w:r>
        <w:t xml:space="preserve"> table. Across these records, the evidence provenance distribution is:</w:t>
      </w:r>
    </w:p>
    <w:p>
      <w:pPr>
        <w:pStyle w:val="ListBullet"/>
        <w:spacing w:before="0" w:after="60" w:line="276" w:lineRule="auto"/>
      </w:pPr>
      <w:r>
        <w:rPr>
          <w:b/>
        </w:rPr>
        <w:t>Experimental (`EXPERIMENTAL`):</w:t>
      </w:r>
      <w:r>
        <w:t xml:space="preserve"> 4,634 records (84.8%)</w:t>
      </w:r>
    </w:p>
    <w:p>
      <w:pPr>
        <w:pStyle w:val="ListBullet"/>
        <w:spacing w:before="0" w:after="60" w:line="276" w:lineRule="auto"/>
      </w:pPr>
      <w:r>
        <w:rPr>
          <w:b/>
        </w:rPr>
        <w:t>Curated Phylogenetic (`PHYLOGENETIC_CURATED`):</w:t>
      </w:r>
      <w:r>
        <w:t xml:space="preserve"> 401 records (7.3%)</w:t>
      </w:r>
    </w:p>
    <w:p>
      <w:pPr>
        <w:pStyle w:val="ListBullet"/>
        <w:spacing w:before="0" w:after="60" w:line="276" w:lineRule="auto"/>
      </w:pPr>
      <w:r>
        <w:rPr>
          <w:b/>
        </w:rPr>
        <w:t>Unspecified / Legacy (`UNSPECIFIED`):</w:t>
      </w:r>
      <w:r>
        <w:t xml:space="preserve"> 336 records (6.1%)</w:t>
      </w:r>
    </w:p>
    <w:p>
      <w:pPr>
        <w:pStyle w:val="ListBullet"/>
        <w:spacing w:before="0" w:after="60" w:line="276" w:lineRule="auto"/>
      </w:pPr>
      <w:r>
        <w:rPr>
          <w:b/>
        </w:rPr>
        <w:t>Author Statement (`AUTHOR_STATEMENT`):</w:t>
      </w:r>
      <w:r>
        <w:t xml:space="preserve"> 93 records (1.7%)</w:t>
      </w:r>
    </w:p>
    <w:p>
      <w:pPr>
        <w:pStyle w:val="ListBullet"/>
        <w:spacing w:before="0" w:after="60" w:line="276" w:lineRule="auto"/>
      </w:pPr>
      <w:r>
        <w:rPr>
          <w:b/>
        </w:rPr>
        <w:t>Analyzed Queue Entries:</w:t>
      </w:r>
      <w:r>
        <w:t xml:space="preserve"> Exactly </w:t>
      </w:r>
      <w:r>
        <w:rPr>
          <w:b/>
        </w:rPr>
        <w:t>150</w:t>
      </w:r>
      <w:r>
        <w:t xml:space="preserve"> protein records were processed during the demonstration triage batch (executed with </w:t>
      </w:r>
      <w:r>
        <w:rPr>
          <w:rFonts w:ascii="Consolas" w:hAnsi="Consolas"/>
          <w:color w:val="A02828"/>
          <w:sz w:val="19"/>
        </w:rPr>
        <w:t>--limit 150</w:t>
      </w:r>
      <w:r>
        <w:t xml:space="preserve">), populating 150 </w:t>
      </w:r>
      <w:r>
        <w:rPr>
          <w:rFonts w:ascii="Consolas" w:hAnsi="Consolas"/>
          <w:color w:val="A02828"/>
          <w:sz w:val="19"/>
        </w:rPr>
        <w:t>review_flags</w:t>
      </w:r>
      <w:r>
        <w:t xml:space="preserve"> entries (4 flagged as </w:t>
      </w:r>
      <w:r>
        <w:rPr>
          <w:rFonts w:ascii="Consolas" w:hAnsi="Consolas"/>
          <w:color w:val="A02828"/>
          <w:sz w:val="19"/>
        </w:rPr>
        <w:t>MODERATE</w:t>
      </w:r>
      <w:r>
        <w:t xml:space="preserve"> priority: SPEG [Q15772], ANKK1 [Q8NFD2], PSKH2 [Q96QS6], and ALPK2 [Q86TB3]; 146 flagged as </w:t>
      </w:r>
      <w:r>
        <w:rPr>
          <w:rFonts w:ascii="Consolas" w:hAnsi="Consolas"/>
          <w:color w:val="A02828"/>
          <w:sz w:val="19"/>
        </w:rPr>
        <w:t>LOW</w:t>
      </w:r>
      <w:r>
        <w:t xml:space="preserve"> priority; 0 flagged as </w:t>
      </w:r>
      <w:r>
        <w:rPr>
          <w:rFonts w:ascii="Consolas" w:hAnsi="Consolas"/>
          <w:color w:val="A02828"/>
          <w:sz w:val="19"/>
        </w:rPr>
        <w:t>HIGH</w:t>
      </w:r>
      <w:r>
        <w:t xml:space="preserve"> priority).</w:t>
      </w:r>
    </w:p>
    <w:p>
      <w:pPr>
        <w:pStyle w:val="ListBullet"/>
        <w:spacing w:before="0" w:after="60" w:line="276" w:lineRule="auto"/>
      </w:pPr>
      <w:r>
        <w:rPr>
          <w:b/>
        </w:rPr>
        <w:t>Evaluation Benchmark:</w:t>
      </w:r>
      <w:r>
        <w:t xml:space="preserve"> Exactly </w:t>
      </w:r>
      <w:r>
        <w:rPr>
          <w:b/>
        </w:rPr>
        <w:t>44</w:t>
      </w:r>
      <w:r>
        <w:t xml:space="preserve"> curated benchmark cases constitute Benchmark v2 (21 calibration, 21 independent test, 2 natural exceptions).</w:t>
      </w:r>
    </w:p>
    <w:p>
      <w:pPr>
        <w:spacing w:before="0" w:after="80" w:line="276" w:lineRule="auto"/>
        <w:jc w:val="both"/>
      </w:pPr>
      <w:r>
        <w:t>This explicit three-layer distinction resolves any potential confusion regarding sample counts: the database contains 500 proteins, the demonstration triage queue analyzed 150 proteins, and the formal scientific evaluation is conducted on the 44-case benchmark.</w:t>
      </w:r>
    </w:p>
    <w:p>
      <w:pPr>
        <w:keepNext/>
        <w:spacing w:before="320" w:after="80"/>
        <w:jc w:val="left"/>
      </w:pPr>
      <w:r>
        <w:rPr>
          <w:rFonts w:ascii="Times New Roman" w:hAnsi="Times New Roman"/>
          <w:b/>
          <w:color w:val="102C57"/>
          <w:sz w:val="25"/>
        </w:rPr>
        <w:t>IV. Multi-Evidence Scoring Methodology and Algorithmic Formulation</w:t>
      </w:r>
    </w:p>
    <w:p>
      <w:pPr>
        <w:spacing w:before="0" w:after="80" w:line="276" w:lineRule="auto"/>
        <w:jc w:val="both"/>
      </w:pPr>
      <w:r>
        <w:t>The core analytical engine computes four independent discordance metrics for any protein-annotation pair, synthesizing them into a final evidence-aware review priority score S ∈ [0.0, 1.0].</w:t>
      </w:r>
    </w:p>
    <w:p>
      <w:pPr>
        <w:keepNext/>
        <w:spacing w:before="200" w:after="60"/>
        <w:jc w:val="left"/>
      </w:pPr>
      <w:r>
        <w:rPr>
          <w:rFonts w:ascii="Times New Roman" w:hAnsi="Times New Roman"/>
          <w:b/>
          <w:color w:val="1F4E79"/>
          <w:sz w:val="22"/>
        </w:rPr>
        <w:t>A. Sequence Similarity and Alignment Coverage Analysis (A_{sim})</w:t>
      </w:r>
    </w:p>
    <w:p>
      <w:pPr>
        <w:spacing w:before="0" w:after="80" w:line="276" w:lineRule="auto"/>
        <w:jc w:val="both"/>
      </w:pPr>
      <w:r>
        <w:t>Sequence homology comparison serves as the primary empirical baseline. Given a candidate query sequence Q and an established reference panel R = {r_1, r_2, …, r_m} sharing the candidate's annotated functional class (e.g., active Tyrosine kinases), the sequence similarity engine calculates both optimal global alignment and lexical k-mer overlap.</w:t>
      </w:r>
    </w:p>
    <w:p>
      <w:pPr>
        <w:spacing w:before="0" w:after="80" w:line="276" w:lineRule="auto"/>
        <w:jc w:val="both"/>
      </w:pPr>
      <w:r>
        <w:t xml:space="preserve">Pairwise alignment is executed using Biopython's </w:t>
      </w:r>
      <w:r>
        <w:rPr>
          <w:rFonts w:ascii="Consolas" w:hAnsi="Consolas"/>
          <w:color w:val="A02828"/>
          <w:sz w:val="19"/>
        </w:rPr>
        <w:t>PairwiseAligner</w:t>
      </w:r>
      <w:r>
        <w:t xml:space="preserve"> implementing the Needleman-Wunsch dynamic programming algorithm [23]. Sequences exceeding 1,200 amino acids are truncated to 1,200 residues to cap computational overhead:</w:t>
      </w:r>
    </w:p>
    <w:p>
      <w:pPr>
        <w:spacing w:before="120" w:after="120"/>
        <w:jc w:val="center"/>
      </w:pPr>
      <w:r>
        <w:rPr>
          <w:rFonts w:ascii="Times New Roman" w:hAnsi="Times New Roman"/>
          <w:b w:val="0"/>
          <w:i/>
          <w:color w:val="0A0A32"/>
          <w:sz w:val="21"/>
        </w:rPr>
        <w:t>Alignment Parameters:  Match = +2.0,     Mismatch = -1.0,     Gap Open = -10.0,     Gap Extend = -0.5</w:t>
      </w:r>
    </w:p>
    <w:p>
      <w:pPr>
        <w:spacing w:before="0" w:after="80" w:line="276" w:lineRule="auto"/>
        <w:jc w:val="both"/>
      </w:pPr>
      <w:r>
        <w:t>Let score(Q, r_j) denote the optimal pairwise alignment score between query Q and reference r_j. The maximum theoretical alignment score is defined as:</w:t>
      </w:r>
    </w:p>
    <w:p>
      <w:pPr>
        <w:spacing w:before="120" w:after="120"/>
        <w:jc w:val="center"/>
      </w:pPr>
      <w:r>
        <w:rPr>
          <w:rFonts w:ascii="Times New Roman" w:hAnsi="Times New Roman"/>
          <w:b w:val="0"/>
          <w:i/>
          <w:color w:val="0A0A32"/>
          <w:sz w:val="21"/>
        </w:rPr>
        <w:t>max_score = 2.0 × min(|Q|, |r_j|)</w:t>
      </w:r>
    </w:p>
    <w:p>
      <w:pPr>
        <w:spacing w:before="0" w:after="80" w:line="276" w:lineRule="auto"/>
        <w:jc w:val="both"/>
      </w:pPr>
      <w:r>
        <w:t>The alignment identity fraction is given by:</w:t>
      </w:r>
    </w:p>
    <w:p>
      <w:pPr>
        <w:spacing w:before="120" w:after="120"/>
        <w:jc w:val="center"/>
      </w:pPr>
      <w:r>
        <w:rPr>
          <w:rFonts w:ascii="Times New Roman" w:hAnsi="Times New Roman"/>
          <w:b w:val="0"/>
          <w:i/>
          <w:color w:val="0A0A32"/>
          <w:sz w:val="21"/>
        </w:rPr>
        <w:t>ident_{align} = max≤ft(0.0, (score(Q, r_j) / max_score))</w:t>
      </w:r>
    </w:p>
    <w:p>
      <w:pPr>
        <w:spacing w:before="0" w:after="80" w:line="276" w:lineRule="auto"/>
        <w:jc w:val="both"/>
      </w:pPr>
      <w:r>
        <w:t>To guard against alignment artifacts in highly divergent or repetitive regions, we compute the lexical k-mer Jaccard similarity (k=3). Let K(S) denote the set of all canonical 3-mer substrings extracted from sequence S:</w:t>
      </w:r>
    </w:p>
    <w:p>
      <w:pPr>
        <w:spacing w:before="120" w:after="120"/>
        <w:jc w:val="center"/>
      </w:pPr>
      <w:r>
        <w:rPr>
          <w:rFonts w:ascii="Times New Roman" w:hAnsi="Times New Roman"/>
          <w:b w:val="0"/>
          <w:i/>
          <w:color w:val="0A0A32"/>
          <w:sz w:val="21"/>
        </w:rPr>
        <w:t>J_{kmer}(Q, r_j) = (|K(Q) ∩ K(r_j)| / |K(Q) ∪ K(r_j)|)</w:t>
      </w:r>
    </w:p>
    <w:p>
      <w:pPr>
        <w:spacing w:before="0" w:after="80" w:line="276" w:lineRule="auto"/>
        <w:jc w:val="both"/>
      </w:pPr>
      <w:r>
        <w:t>The unified sequence identity metric Identity(Q, r_j) is computed as a weighted combination:</w:t>
      </w:r>
    </w:p>
    <w:p>
      <w:pPr>
        <w:spacing w:before="120" w:after="120"/>
        <w:jc w:val="center"/>
      </w:pPr>
      <w:r>
        <w:rPr>
          <w:rFonts w:ascii="Times New Roman" w:hAnsi="Times New Roman"/>
          <w:b w:val="0"/>
          <w:i/>
          <w:color w:val="0A0A32"/>
          <w:sz w:val="21"/>
        </w:rPr>
        <w:t>Identity(Q, r_j) = 0.70 · ident_{align} + 0.30 · J_{kmer}(Q, r_j)</w:t>
      </w:r>
    </w:p>
    <w:p>
      <w:pPr>
        <w:spacing w:before="0" w:after="80" w:line="276" w:lineRule="auto"/>
        <w:jc w:val="both"/>
      </w:pPr>
      <w:r>
        <w:t>Sequence coverage is calculated based on relative sequence lengths:</w:t>
      </w:r>
    </w:p>
    <w:p>
      <w:pPr>
        <w:spacing w:before="120" w:after="120"/>
        <w:jc w:val="center"/>
      </w:pPr>
      <w:r>
        <w:rPr>
          <w:rFonts w:ascii="Times New Roman" w:hAnsi="Times New Roman"/>
          <w:b w:val="0"/>
          <w:i/>
          <w:color w:val="0A0A32"/>
          <w:sz w:val="21"/>
        </w:rPr>
        <w:t>Coverage(Q, r_j) = (min(|Q|, |r_j|) / max(|Q|, |r_j|))</w:t>
      </w:r>
    </w:p>
    <w:p>
      <w:pPr>
        <w:spacing w:before="120" w:after="120"/>
        <w:jc w:val="center"/>
      </w:pPr>
      <w:r>
        <w:rPr>
          <w:rFonts w:ascii="Times New Roman" w:hAnsi="Times New Roman"/>
          <w:b w:val="0"/>
          <w:i/>
          <w:color w:val="0A0A32"/>
          <w:sz w:val="21"/>
        </w:rPr>
        <w:t>Similarity(Q, r_j) = Identity(Q, r_j) × ≤ft(0.80 + 0.20 · Coverage(Q, r_j))</w:t>
      </w:r>
    </w:p>
    <w:p>
      <w:pPr>
        <w:spacing w:before="0" w:after="80" w:line="276" w:lineRule="auto"/>
        <w:jc w:val="both"/>
      </w:pPr>
      <w:r>
        <w:t>The overall sequence similarity anomaly score A_{sim} ∈ [0.0, 1.0] is derived from the maximum observed identity across the reference panel R:</w:t>
      </w:r>
    </w:p>
    <w:p>
      <w:pPr>
        <w:spacing w:before="120" w:after="120"/>
        <w:jc w:val="center"/>
      </w:pPr>
      <w:r>
        <w:rPr>
          <w:rFonts w:ascii="Times New Roman" w:hAnsi="Times New Roman"/>
          <w:b w:val="0"/>
          <w:i/>
          <w:color w:val="0A0A32"/>
          <w:sz w:val="21"/>
        </w:rPr>
        <w:t>best_identity = max_{r_j ∈ R} Identity(Q, r_j)</w:t>
      </w:r>
    </w:p>
    <w:p>
      <w:pPr>
        <w:spacing w:before="120" w:after="120"/>
        <w:jc w:val="center"/>
      </w:pPr>
      <w:r>
        <w:rPr>
          <w:rFonts w:ascii="Times New Roman" w:hAnsi="Times New Roman"/>
          <w:b w:val="0"/>
          <w:i/>
          <w:color w:val="0A0A32"/>
          <w:sz w:val="21"/>
        </w:rPr>
        <w:t>A_{sim} = 1.0 - best_identity</w:t>
      </w:r>
    </w:p>
    <w:p>
      <w:pPr>
        <w:spacing w:before="0" w:after="80" w:line="276" w:lineRule="auto"/>
        <w:jc w:val="both"/>
      </w:pPr>
      <w:r>
        <w:t>If the query's annotated functional class directly conflicts with the verified annotations of reference sequences showing high alignment (Identity ≥ 0.40), a label discordance flag is triggered.</w:t>
      </w:r>
    </w:p>
    <w:p>
      <w:pPr>
        <w:keepNext/>
        <w:spacing w:before="200" w:after="60"/>
        <w:jc w:val="left"/>
      </w:pPr>
      <w:r>
        <w:rPr>
          <w:rFonts w:ascii="Times New Roman" w:hAnsi="Times New Roman"/>
          <w:b/>
          <w:color w:val="1F4E79"/>
          <w:sz w:val="22"/>
        </w:rPr>
        <w:t>B. Dense ESM-2 Embedding Anomaly Detection (A_{emb})</w:t>
      </w:r>
    </w:p>
    <w:p>
      <w:pPr>
        <w:spacing w:before="0" w:after="80" w:line="276" w:lineRule="auto"/>
        <w:jc w:val="both"/>
      </w:pPr>
      <w:r>
        <w:t xml:space="preserve">To capture continuous biophysical, structural, and evolutionary patterns beyond string identity, we employ the transformer-based protein language model </w:t>
      </w:r>
      <w:r>
        <w:rPr>
          <w:rFonts w:ascii="Consolas" w:hAnsi="Consolas"/>
          <w:color w:val="A02828"/>
          <w:sz w:val="19"/>
        </w:rPr>
        <w:t>facebook/esm2_t6_8M_UR50D</w:t>
      </w:r>
      <w:r>
        <w:t xml:space="preserve"> (6 layers, 320-dimensional hidden states, 8 million parameters) [19].</w:t>
      </w:r>
    </w:p>
    <w:p>
      <w:pPr>
        <w:keepNext/>
        <w:spacing w:before="120" w:after="40"/>
        <w:jc w:val="left"/>
      </w:pPr>
      <w:r>
        <w:rPr>
          <w:rFonts w:ascii="Times New Roman" w:hAnsi="Times New Roman"/>
          <w:b/>
          <w:i/>
          <w:color w:val="3C3C3C"/>
          <w:sz w:val="21"/>
        </w:rPr>
        <w:t>1) Tokenization and Sliding-Window Mean Pooling</w:t>
      </w:r>
    </w:p>
    <w:p>
      <w:pPr>
        <w:spacing w:before="0" w:after="80" w:line="276" w:lineRule="auto"/>
        <w:jc w:val="both"/>
      </w:pPr>
      <w:r>
        <w:t xml:space="preserve">Given a query sequence Q of length L = |Q|, sequences with L ≤ 1,022 are tokenized with prepended </w:t>
      </w:r>
      <w:r>
        <w:rPr>
          <w:rFonts w:ascii="Consolas" w:hAnsi="Consolas"/>
          <w:color w:val="A02828"/>
          <w:sz w:val="19"/>
        </w:rPr>
        <w:t>cls</w:t>
      </w:r>
      <w:r>
        <w:t xml:space="preserve"> and appended </w:t>
      </w:r>
      <w:r>
        <w:rPr>
          <w:rFonts w:ascii="Consolas" w:hAnsi="Consolas"/>
          <w:color w:val="A02828"/>
          <w:sz w:val="19"/>
        </w:rPr>
        <w:t>eos</w:t>
      </w:r>
      <w:r>
        <w:t xml:space="preserve"> delimiter tokens. For sequences exceeding the maximum transformer context window (L &gt; 1,024), we implement a deterministic sliding-window strategy with window size W = 1,022 and stride S = 511 (50% overlap).</w:t>
      </w:r>
    </w:p>
    <w:p>
      <w:pPr>
        <w:spacing w:before="0" w:after="80" w:line="276" w:lineRule="auto"/>
        <w:jc w:val="both"/>
      </w:pPr>
      <w:r>
        <w:t>Let h_t ∈ ℝ³²⁰ represent the final hidden-layer embedding for token t. Token representations corresponding to delimiter tokens are excluded. The mean-pooled sequence representation for window w is:</w:t>
      </w:r>
    </w:p>
    <w:p>
      <w:pPr>
        <w:spacing w:before="120" w:after="120"/>
        <w:jc w:val="center"/>
      </w:pPr>
      <w:r>
        <w:rPr>
          <w:rFonts w:ascii="Times New Roman" w:hAnsi="Times New Roman"/>
          <w:b w:val="0"/>
          <w:i/>
          <w:color w:val="0A0A32"/>
          <w:sz w:val="21"/>
        </w:rPr>
        <w:t>v_w = (1 / |T_w|) ∑_{t ∈ T_w} h_t</w:t>
      </w:r>
    </w:p>
    <w:p>
      <w:pPr>
        <w:spacing w:before="0" w:after="80" w:line="276" w:lineRule="auto"/>
        <w:jc w:val="both"/>
      </w:pPr>
      <w:r>
        <w:t>For multi-window sequences, the sequence-level vector is obtained by averaging window vectors: v = (1 / N_w) ∑_{w=1}^{N_w} v_w. The final representation e_Q is L_2-normalized:</w:t>
      </w:r>
    </w:p>
    <w:p>
      <w:pPr>
        <w:spacing w:before="120" w:after="120"/>
        <w:jc w:val="center"/>
      </w:pPr>
      <w:r>
        <w:rPr>
          <w:rFonts w:ascii="Times New Roman" w:hAnsi="Times New Roman"/>
          <w:b w:val="0"/>
          <w:i/>
          <w:color w:val="0A0A32"/>
          <w:sz w:val="21"/>
        </w:rPr>
        <w:t>e_Q = (v / \|v\|_2) ∈ ℝ³²⁰</w:t>
      </w:r>
    </w:p>
    <w:p>
      <w:pPr>
        <w:keepNext/>
        <w:spacing w:before="120" w:after="40"/>
        <w:jc w:val="left"/>
      </w:pPr>
      <w:r>
        <w:rPr>
          <w:rFonts w:ascii="Times New Roman" w:hAnsi="Times New Roman"/>
          <w:b/>
          <w:i/>
          <w:color w:val="3C3C3C"/>
          <w:sz w:val="21"/>
        </w:rPr>
        <w:t>2) Centroid and k-NN Anomaly Formulation</w:t>
      </w:r>
    </w:p>
    <w:p>
      <w:pPr>
        <w:spacing w:before="0" w:after="80" w:line="276" w:lineRule="auto"/>
        <w:jc w:val="both"/>
      </w:pPr>
      <w:r>
        <w:t>For a designated kinase reference class C, let E_C = {e_1, e_2, …, e_{N_C}} represent the reference embeddings. The class centroid is computed and normalized:</w:t>
      </w:r>
    </w:p>
    <w:p>
      <w:pPr>
        <w:spacing w:before="120" w:after="120"/>
        <w:jc w:val="center"/>
      </w:pPr>
      <w:r>
        <w:rPr>
          <w:rFonts w:ascii="Times New Roman" w:hAnsi="Times New Roman"/>
          <w:b w:val="0"/>
          <w:i/>
          <w:color w:val="0A0A32"/>
          <w:sz w:val="21"/>
        </w:rPr>
        <w:t>c_C = \frac{∑_{i=1}^{N_C} e_i}{\|∑_{i=1}^{N_C} e_i\|_2}</w:t>
      </w:r>
    </w:p>
    <w:p>
      <w:pPr>
        <w:spacing w:before="0" w:after="80" w:line="276" w:lineRule="auto"/>
        <w:jc w:val="both"/>
      </w:pPr>
      <w:r>
        <w:t>Given query embedding e_Q, the cosine distance to the centroid is:</w:t>
      </w:r>
    </w:p>
    <w:p>
      <w:pPr>
        <w:spacing w:before="120" w:after="120"/>
        <w:jc w:val="center"/>
      </w:pPr>
      <w:r>
        <w:rPr>
          <w:rFonts w:ascii="Times New Roman" w:hAnsi="Times New Roman"/>
          <w:b w:val="0"/>
          <w:i/>
          <w:color w:val="0A0A32"/>
          <w:sz w:val="21"/>
        </w:rPr>
        <w:t>d_{centroid}(e_Q, c_C) = 1.0 - (e_Q · c_C)</w:t>
      </w:r>
    </w:p>
    <w:p>
      <w:pPr>
        <w:spacing w:before="0" w:after="80" w:line="276" w:lineRule="auto"/>
        <w:jc w:val="both"/>
      </w:pPr>
      <w:r>
        <w:t>We also compute the local neighborhood density using k-nearest neighbors (k=5). Let N_k(e_Q) denote the k nearest reference embeddings in E_C ranked by cosine distance:</w:t>
      </w:r>
    </w:p>
    <w:p>
      <w:pPr>
        <w:spacing w:before="120" w:after="120"/>
        <w:jc w:val="center"/>
      </w:pPr>
      <w:r>
        <w:rPr>
          <w:rFonts w:ascii="Times New Roman" w:hAnsi="Times New Roman"/>
          <w:b w:val="0"/>
          <w:i/>
          <w:color w:val="0A0A32"/>
          <w:sz w:val="21"/>
        </w:rPr>
        <w:t>d_{knn}(e_Q, E_C) = (1 / k) ∑_{e_j ∈ N_k(e_Q)} ≤ft(1.0 - (e_Q · e_j))</w:t>
      </w:r>
    </w:p>
    <w:p>
      <w:pPr>
        <w:spacing w:before="0" w:after="80" w:line="276" w:lineRule="auto"/>
        <w:jc w:val="both"/>
      </w:pPr>
      <w:r>
        <w:t>The combined reference distance is a weighted blend of global and local dispersion:</w:t>
      </w:r>
    </w:p>
    <w:p>
      <w:pPr>
        <w:spacing w:before="120" w:after="120"/>
        <w:jc w:val="center"/>
      </w:pPr>
      <w:r>
        <w:rPr>
          <w:rFonts w:ascii="Times New Roman" w:hAnsi="Times New Roman"/>
          <w:b w:val="0"/>
          <w:i/>
          <w:color w:val="0A0A32"/>
          <w:sz w:val="21"/>
        </w:rPr>
        <w:t>D_{combined} = 0.40 · d_{centroid} + 0.60 · d_{knn}</w:t>
      </w:r>
    </w:p>
    <w:p>
      <w:pPr>
        <w:spacing w:before="0" w:after="80" w:line="276" w:lineRule="auto"/>
        <w:jc w:val="both"/>
      </w:pPr>
      <w:r>
        <w:t>The base anomaly score is scaled relative to an empirical saturation threshold (0.35):</w:t>
      </w:r>
    </w:p>
    <w:p>
      <w:pPr>
        <w:spacing w:before="120" w:after="120"/>
        <w:jc w:val="center"/>
      </w:pPr>
      <w:r>
        <w:rPr>
          <w:rFonts w:ascii="Times New Roman" w:hAnsi="Times New Roman"/>
          <w:b w:val="0"/>
          <w:i/>
          <w:color w:val="0A0A32"/>
          <w:sz w:val="21"/>
        </w:rPr>
        <w:t>A_{base} = min≤ft(1.0, \frac{D_{combined}}{0.35})</w:t>
      </w:r>
    </w:p>
    <w:p>
      <w:pPr>
        <w:keepNext/>
        <w:spacing w:before="120" w:after="40"/>
        <w:jc w:val="left"/>
      </w:pPr>
      <w:r>
        <w:rPr>
          <w:rFonts w:ascii="Times New Roman" w:hAnsi="Times New Roman"/>
          <w:b/>
          <w:i/>
          <w:color w:val="3C3C3C"/>
          <w:sz w:val="21"/>
        </w:rPr>
        <w:t>3) Class-Discordance Penalty</w:t>
      </w:r>
    </w:p>
    <w:p>
      <w:pPr>
        <w:spacing w:before="0" w:after="80" w:line="276" w:lineRule="auto"/>
        <w:jc w:val="both"/>
      </w:pPr>
      <w:r>
        <w:t>To identify label misassignments (e.g., a Serine/Threonine kinase mislabeled as a Tyrosine kinase), we compute the minimum distance from e_Q to any reference embedding within its annotated class (min_{e ∈ E_own} d_{cos}) versus an alternate kinase class (min_{e ∈ E_other} d_{cos}). If the query embedding is substantially closer to an opposing class:</w:t>
      </w:r>
    </w:p>
    <w:p>
      <w:pPr>
        <w:spacing w:before="120" w:after="120"/>
        <w:jc w:val="center"/>
      </w:pPr>
      <w:r>
        <w:rPr>
          <w:rFonts w:ascii="Times New Roman" w:hAnsi="Times New Roman"/>
          <w:b w:val="0"/>
          <w:i/>
          <w:color w:val="0A0A32"/>
          <w:sz w:val="21"/>
        </w:rPr>
        <w:t>Δ_class = min_{e ∈ E_own} d_{cos}(e_Q, e) - min_{e ∈ E_other} d_{cos}(e_Q, e)</w:t>
      </w:r>
    </w:p>
    <w:p>
      <w:pPr>
        <w:spacing w:before="0" w:after="80" w:line="276" w:lineRule="auto"/>
        <w:jc w:val="both"/>
      </w:pPr>
      <w:r>
        <w:t xml:space="preserve">Penalty_{class} = </w:t>
      </w:r>
    </w:p>
    <w:p>
      <w:pPr>
        <w:spacing w:before="0" w:after="80" w:line="276" w:lineRule="auto"/>
        <w:jc w:val="both"/>
      </w:pPr>
      <w:r>
        <w:t>min≤ft(0.30, Δ_class × 3.0) &amp; if  Δ_class &gt; 0.02 \\</w:t>
      </w:r>
    </w:p>
    <w:p>
      <w:pPr>
        <w:spacing w:before="0" w:after="80" w:line="276" w:lineRule="auto"/>
        <w:jc w:val="both"/>
      </w:pPr>
      <w:r>
        <w:t>0.0 &amp; otherwise</w:t>
      </w:r>
    </w:p>
    <w:p>
      <w:pPr>
        <w:spacing w:before="0" w:after="80" w:line="276" w:lineRule="auto"/>
        <w:jc w:val="both"/>
      </w:pPr>
    </w:p>
    <w:p>
      <w:pPr>
        <w:spacing w:before="0" w:after="80" w:line="276" w:lineRule="auto"/>
        <w:jc w:val="both"/>
      </w:pPr>
      <w:r>
        <w:t>The final ESM-2 embedding anomaly score is:</w:t>
      </w:r>
    </w:p>
    <w:p>
      <w:pPr>
        <w:spacing w:before="120" w:after="120"/>
        <w:jc w:val="center"/>
      </w:pPr>
      <w:r>
        <w:rPr>
          <w:rFonts w:ascii="Times New Roman" w:hAnsi="Times New Roman"/>
          <w:b w:val="0"/>
          <w:i/>
          <w:color w:val="0A0A32"/>
          <w:sz w:val="21"/>
        </w:rPr>
        <w:t>A_{emb} = min≤ft(1.0, A_{base} + Penalty_{class})</w:t>
      </w:r>
    </w:p>
    <w:p>
      <w:pPr>
        <w:keepNext/>
        <w:spacing w:before="200" w:after="60"/>
        <w:jc w:val="left"/>
      </w:pPr>
      <w:r>
        <w:rPr>
          <w:rFonts w:ascii="Times New Roman" w:hAnsi="Times New Roman"/>
          <w:b/>
          <w:color w:val="1F4E79"/>
          <w:sz w:val="22"/>
        </w:rPr>
        <w:t>C. Kinase Catalytic Motif and Spatial Ordering Verification (A_{feat})</w:t>
      </w:r>
    </w:p>
    <w:p>
      <w:pPr>
        <w:spacing w:before="0" w:after="80" w:line="276" w:lineRule="auto"/>
        <w:jc w:val="both"/>
      </w:pPr>
      <w:r>
        <w:t>While language models evaluate continuous sequence space, enzymatic competence requires strict, discrete spatial arrangements of chemical functional groups. The feature extraction engine scans sequence Q for the three canonical kinase subdomains using regular expressions:</w:t>
      </w:r>
    </w:p>
    <w:p>
      <w:pPr>
        <w:pStyle w:val="ListBullet"/>
        <w:spacing w:before="0" w:after="60" w:line="276" w:lineRule="auto"/>
      </w:pPr>
      <w:r>
        <w:rPr>
          <w:b/>
        </w:rPr>
        <w:t>Subdomain II (VAIK Motif):</w:t>
      </w:r>
      <w:r>
        <w:t xml:space="preserve"> Regular expression </w:t>
      </w:r>
      <w:r>
        <w:rPr>
          <w:rFonts w:ascii="Consolas" w:hAnsi="Consolas"/>
          <w:color w:val="A02828"/>
          <w:sz w:val="19"/>
        </w:rPr>
        <w:t>[LIVAM]A[IV]K</w:t>
      </w:r>
      <w:r>
        <w:t xml:space="preserve">. Variants matching </w:t>
      </w:r>
      <w:r>
        <w:rPr>
          <w:rFonts w:ascii="Consolas" w:hAnsi="Consolas"/>
          <w:color w:val="A02828"/>
          <w:sz w:val="19"/>
        </w:rPr>
        <w:t>[LIVAM].[IV]K</w:t>
      </w:r>
      <w:r>
        <w:t xml:space="preserve"> or </w:t>
      </w:r>
      <w:r>
        <w:rPr>
          <w:rFonts w:ascii="Consolas" w:hAnsi="Consolas"/>
          <w:color w:val="A02828"/>
          <w:sz w:val="19"/>
        </w:rPr>
        <w:t>.[IV]K</w:t>
      </w:r>
      <w:r>
        <w:t xml:space="preserve"> are classified as non-canonical variants.</w:t>
      </w:r>
    </w:p>
    <w:p>
      <w:pPr>
        <w:pStyle w:val="ListBullet"/>
        <w:spacing w:before="0" w:after="60" w:line="276" w:lineRule="auto"/>
      </w:pPr>
      <w:r>
        <w:rPr>
          <w:b/>
        </w:rPr>
        <w:t>Subdomain VIB (HRD Motif):</w:t>
      </w:r>
      <w:r>
        <w:t xml:space="preserve"> Regular expression </w:t>
      </w:r>
      <w:r>
        <w:rPr>
          <w:rFonts w:ascii="Consolas" w:hAnsi="Consolas"/>
          <w:color w:val="A02828"/>
          <w:sz w:val="19"/>
        </w:rPr>
        <w:t>[HY]RD[LIVMFY]K..N</w:t>
      </w:r>
      <w:r>
        <w:t xml:space="preserve"> or </w:t>
      </w:r>
      <w:r>
        <w:rPr>
          <w:rFonts w:ascii="Consolas" w:hAnsi="Consolas"/>
          <w:color w:val="A02828"/>
          <w:sz w:val="19"/>
        </w:rPr>
        <w:t>HRD[LIVMFY]</w:t>
      </w:r>
      <w:r>
        <w:t xml:space="preserve">. Variants matching </w:t>
      </w:r>
      <w:r>
        <w:rPr>
          <w:rFonts w:ascii="Consolas" w:hAnsi="Consolas"/>
          <w:color w:val="A02828"/>
          <w:sz w:val="19"/>
        </w:rPr>
        <w:t>[HY]RD</w:t>
      </w:r>
      <w:r>
        <w:t xml:space="preserve"> or </w:t>
      </w:r>
      <w:r>
        <w:rPr>
          <w:rFonts w:ascii="Consolas" w:hAnsi="Consolas"/>
          <w:color w:val="A02828"/>
          <w:sz w:val="19"/>
        </w:rPr>
        <w:t>.RD</w:t>
      </w:r>
      <w:r>
        <w:t xml:space="preserve"> are classified as non-canonical variants.</w:t>
      </w:r>
    </w:p>
    <w:p>
      <w:pPr>
        <w:pStyle w:val="ListBullet"/>
        <w:spacing w:before="0" w:after="60" w:line="276" w:lineRule="auto"/>
      </w:pPr>
      <w:r>
        <w:rPr>
          <w:b/>
        </w:rPr>
        <w:t>Subdomain VII (DFG Motif):</w:t>
      </w:r>
      <w:r>
        <w:t xml:space="preserve"> Regular expression </w:t>
      </w:r>
      <w:r>
        <w:rPr>
          <w:rFonts w:ascii="Consolas" w:hAnsi="Consolas"/>
          <w:color w:val="A02828"/>
          <w:sz w:val="19"/>
        </w:rPr>
        <w:t>DFG</w:t>
      </w:r>
      <w:r>
        <w:t xml:space="preserve"> or </w:t>
      </w:r>
      <w:r>
        <w:rPr>
          <w:rFonts w:ascii="Consolas" w:hAnsi="Consolas"/>
          <w:color w:val="A02828"/>
          <w:sz w:val="19"/>
        </w:rPr>
        <w:t>[DNS]FG</w:t>
      </w:r>
      <w:r>
        <w:t xml:space="preserve">. Variants matching </w:t>
      </w:r>
      <w:r>
        <w:rPr>
          <w:rFonts w:ascii="Consolas" w:hAnsi="Consolas"/>
          <w:color w:val="A02828"/>
          <w:sz w:val="19"/>
        </w:rPr>
        <w:t>D[FY]G</w:t>
      </w:r>
      <w:r>
        <w:t xml:space="preserve"> or </w:t>
      </w:r>
      <w:r>
        <w:rPr>
          <w:rFonts w:ascii="Consolas" w:hAnsi="Consolas"/>
          <w:color w:val="A02828"/>
          <w:sz w:val="19"/>
        </w:rPr>
        <w:t>.FG</w:t>
      </w:r>
      <w:r>
        <w:t xml:space="preserve"> are classified as non-canonical variants.</w:t>
      </w:r>
    </w:p>
    <w:p>
      <w:pPr>
        <w:spacing w:before="0" w:after="80" w:line="276" w:lineRule="auto"/>
        <w:jc w:val="both"/>
      </w:pPr>
      <w:r>
        <w:t>Let N_{canon} ∈ {0, 1, 2, 3} denote the number of strictly canonical motifs identified, and N_{variant} ∈ {0, 1, 2, 3} denote the number of non-canonical variants. The base motif completeness score is:</w:t>
      </w:r>
    </w:p>
    <w:p>
      <w:pPr>
        <w:spacing w:before="120" w:after="120"/>
        <w:jc w:val="center"/>
      </w:pPr>
      <w:r>
        <w:rPr>
          <w:rFonts w:ascii="Times New Roman" w:hAnsi="Times New Roman"/>
          <w:b w:val="0"/>
          <w:i/>
          <w:color w:val="0A0A32"/>
          <w:sz w:val="21"/>
        </w:rPr>
        <w:t>Score_{base} = \frac{1.0 · N_{canon} + 0.45 · N_{variant}}{3.0}</w:t>
      </w:r>
    </w:p>
    <w:p>
      <w:pPr>
        <w:spacing w:before="0" w:after="80" w:line="276" w:lineRule="auto"/>
        <w:jc w:val="both"/>
      </w:pPr>
      <w:r>
        <w:t xml:space="preserve">Furthermore, we enforce strict </w:t>
      </w:r>
      <w:r>
        <w:rPr>
          <w:b/>
        </w:rPr>
        <w:t>spatial geometric ordering</w:t>
      </w:r>
      <w:r>
        <w:t>. In an intact eukaryotic kinase domain, these subdomains must occur sequentially along the primary sequence and satisfy physical distance constraints:</w:t>
      </w:r>
    </w:p>
    <w:p>
      <w:pPr>
        <w:spacing w:before="120" w:after="120"/>
        <w:jc w:val="center"/>
      </w:pPr>
      <w:r>
        <w:rPr>
          <w:rFonts w:ascii="Times New Roman" w:hAnsi="Times New Roman"/>
          <w:b w:val="0"/>
          <w:i/>
          <w:color w:val="0A0A32"/>
          <w:sz w:val="21"/>
        </w:rPr>
        <w:t>Condition:  pos(VAIK) &lt; pos(HRD) &lt; pos(DFG)</w:t>
      </w:r>
    </w:p>
    <w:p>
      <w:pPr>
        <w:spacing w:before="120" w:after="120"/>
        <w:jc w:val="center"/>
      </w:pPr>
      <w:r>
        <w:rPr>
          <w:rFonts w:ascii="Times New Roman" w:hAnsi="Times New Roman"/>
          <w:b w:val="0"/>
          <w:i/>
          <w:color w:val="0A0A32"/>
          <w:sz w:val="21"/>
        </w:rPr>
        <w:t>Span Constraints:  40 ≤ (pos(HRD) - pos(VAIK)) ≤ 300     and     10 ≤ (pos(DFG) - pos(HRD)) ≤ 80</w:t>
      </w:r>
    </w:p>
    <w:p>
      <w:pPr>
        <w:spacing w:before="0" w:after="80" w:line="276" w:lineRule="auto"/>
        <w:jc w:val="both"/>
      </w:pPr>
      <w:r>
        <w:t>If any identified motifs violate sequential ordering or span constraints, a spatial penalty multiplier of 0.85 is applied:</w:t>
      </w:r>
    </w:p>
    <w:p>
      <w:pPr>
        <w:spacing w:before="0" w:after="80" w:line="276" w:lineRule="auto"/>
        <w:jc w:val="both"/>
      </w:pPr>
      <w:r>
        <w:t xml:space="preserve">Score_{feat} = </w:t>
      </w:r>
    </w:p>
    <w:p>
      <w:pPr>
        <w:spacing w:before="0" w:after="80" w:line="276" w:lineRule="auto"/>
        <w:jc w:val="both"/>
      </w:pPr>
      <w:r>
        <w:t>Score_{base} &amp; if spatial ordering and span constraints are satisfied \\</w:t>
      </w:r>
    </w:p>
    <w:p>
      <w:pPr>
        <w:spacing w:before="0" w:after="80" w:line="276" w:lineRule="auto"/>
        <w:jc w:val="both"/>
      </w:pPr>
      <w:r>
        <w:t>0.85 · Score_{base} &amp; if spatial ordering or span constraints are violated</w:t>
      </w:r>
    </w:p>
    <w:p>
      <w:pPr>
        <w:spacing w:before="0" w:after="80" w:line="276" w:lineRule="auto"/>
        <w:jc w:val="both"/>
      </w:pPr>
    </w:p>
    <w:p>
      <w:pPr>
        <w:spacing w:before="0" w:after="80" w:line="276" w:lineRule="auto"/>
        <w:jc w:val="both"/>
      </w:pPr>
      <w:r>
        <w:t>The kinase feature anomaly score is defined as:</w:t>
      </w:r>
    </w:p>
    <w:p>
      <w:pPr>
        <w:spacing w:before="120" w:after="120"/>
        <w:jc w:val="center"/>
      </w:pPr>
      <w:r>
        <w:rPr>
          <w:rFonts w:ascii="Times New Roman" w:hAnsi="Times New Roman"/>
          <w:b w:val="0"/>
          <w:i/>
          <w:color w:val="0A0A32"/>
          <w:sz w:val="21"/>
        </w:rPr>
        <w:t>A_{feat} = 1.0 - Score_{feat}</w:t>
      </w:r>
    </w:p>
    <w:p>
      <w:pPr>
        <w:keepNext/>
        <w:spacing w:before="200" w:after="60"/>
        <w:jc w:val="left"/>
      </w:pPr>
      <w:r>
        <w:rPr>
          <w:rFonts w:ascii="Times New Roman" w:hAnsi="Times New Roman"/>
          <w:b/>
          <w:color w:val="1F4E79"/>
          <w:sz w:val="22"/>
        </w:rPr>
        <w:t>D. Annotation Evidence Provenance Penalty (P_{prov})</w:t>
      </w:r>
    </w:p>
    <w:p>
      <w:pPr>
        <w:spacing w:before="0" w:after="80" w:line="276" w:lineRule="auto"/>
        <w:jc w:val="both"/>
      </w:pPr>
      <w:r>
        <w:t>The evidential strength of an annotation modulates the urgency of any computational contradiction. An atypical sequence feature in an entry supported by multiple peer-reviewed crystal structures suggests specialized biology, whereas the same feature in an entry inferred via automated computational transfer (</w:t>
      </w:r>
      <w:r>
        <w:rPr>
          <w:rFonts w:ascii="Consolas" w:hAnsi="Consolas"/>
          <w:color w:val="A02828"/>
          <w:sz w:val="19"/>
        </w:rPr>
        <w:t>IEA</w:t>
      </w:r>
      <w:r>
        <w:t>) suggests a probable database error.</w:t>
      </w:r>
    </w:p>
    <w:p>
      <w:pPr>
        <w:spacing w:before="0" w:after="80" w:line="276" w:lineRule="auto"/>
        <w:jc w:val="both"/>
      </w:pPr>
      <w:r>
        <w:t>The provenance engine maps UniProt ECO evidence codes to categorical reliability weights W_{cat}:</w:t>
      </w:r>
    </w:p>
    <w:p>
      <w:pPr>
        <w:pStyle w:val="ListBullet"/>
        <w:spacing w:before="0" w:after="60" w:line="276" w:lineRule="auto"/>
      </w:pPr>
      <w:r>
        <w:rPr>
          <w:b/>
        </w:rPr>
        <w:t>`EXPERIMENTAL` (`EXP`, `IDA`, `IPI`, `IMP`, `IGI`, `IEP`):</w:t>
      </w:r>
      <w:r>
        <w:t xml:space="preserve"> Weight = 0.95 (minimum baseline 0.80)</w:t>
      </w:r>
    </w:p>
    <w:p>
      <w:pPr>
        <w:pStyle w:val="ListBullet"/>
        <w:spacing w:before="0" w:after="60" w:line="276" w:lineRule="auto"/>
      </w:pPr>
      <w:r>
        <w:rPr>
          <w:b/>
        </w:rPr>
        <w:t>`PHYLOGENETIC_CURATED` (`IBA`, `IBD`, `IKR`, `IRD`):</w:t>
      </w:r>
      <w:r>
        <w:t xml:space="preserve"> Weight = 0.70 (minimum baseline 0.55)</w:t>
      </w:r>
    </w:p>
    <w:p>
      <w:pPr>
        <w:pStyle w:val="ListBullet"/>
        <w:spacing w:before="0" w:after="60" w:line="276" w:lineRule="auto"/>
      </w:pPr>
      <w:r>
        <w:rPr>
          <w:b/>
        </w:rPr>
        <w:t>`AUTHOR_STATEMENT` (`TAS`, `NAS`):</w:t>
      </w:r>
      <w:r>
        <w:t xml:space="preserve"> Weight = 0.50 (minimum baseline 0.40)</w:t>
      </w:r>
    </w:p>
    <w:p>
      <w:pPr>
        <w:pStyle w:val="ListBullet"/>
        <w:spacing w:before="0" w:after="60" w:line="276" w:lineRule="auto"/>
      </w:pPr>
      <w:r>
        <w:rPr>
          <w:b/>
        </w:rPr>
        <w:t>`COMPUTATIONAL` (`ISS`, `ISO`, `ISA`, `ISM`, `IEA`):</w:t>
      </w:r>
      <w:r>
        <w:t xml:space="preserve"> Weight = 0.35 (minimum baseline 0.20)</w:t>
      </w:r>
    </w:p>
    <w:p>
      <w:pPr>
        <w:pStyle w:val="ListBullet"/>
        <w:spacing w:before="0" w:after="60" w:line="276" w:lineRule="auto"/>
      </w:pPr>
      <w:r>
        <w:rPr>
          <w:b/>
        </w:rPr>
        <w:t>`UNSPECIFIED` (Missing or legacy record):</w:t>
      </w:r>
      <w:r>
        <w:t xml:space="preserve"> Weight = 0.25 (minimum baseline 0.10)</w:t>
      </w:r>
    </w:p>
    <w:p>
      <w:pPr>
        <w:spacing w:before="0" w:after="80" w:line="276" w:lineRule="auto"/>
        <w:jc w:val="both"/>
      </w:pPr>
      <w:r>
        <w:t>A verification bonus (+0.05) is credited if the annotation links directly to an indexed PubMed bibliographic record. The composite provenance reliability R_{prov} ∈ [0.10, 1.00] is computed across all supporting evidence records, and the provenance penalty is formulated as:</w:t>
      </w:r>
    </w:p>
    <w:p>
      <w:pPr>
        <w:spacing w:before="120" w:after="120"/>
        <w:jc w:val="center"/>
      </w:pPr>
      <w:r>
        <w:rPr>
          <w:rFonts w:ascii="Times New Roman" w:hAnsi="Times New Roman"/>
          <w:b w:val="0"/>
          <w:i/>
          <w:color w:val="0A0A32"/>
          <w:sz w:val="21"/>
        </w:rPr>
        <w:t>P_{prov} = 1.0 - R_{prov}</w:t>
      </w:r>
    </w:p>
    <w:p>
      <w:pPr>
        <w:keepNext/>
        <w:spacing w:before="200" w:after="60"/>
        <w:jc w:val="left"/>
      </w:pPr>
      <w:r>
        <w:rPr>
          <w:rFonts w:ascii="Times New Roman" w:hAnsi="Times New Roman"/>
          <w:b/>
          <w:color w:val="1F4E79"/>
          <w:sz w:val="22"/>
        </w:rPr>
        <w:t>E. Evidence-Aware Ensemble Aggregation and Safeguards</w:t>
      </w:r>
    </w:p>
    <w:p>
      <w:pPr>
        <w:spacing w:before="0" w:after="80" w:line="276" w:lineRule="auto"/>
        <w:jc w:val="both"/>
      </w:pPr>
      <w:r>
        <w:t>The unified contradiction score S ∈ [0.0, 1.0] aggregates all four evidence streams via linear combination:</w:t>
      </w:r>
    </w:p>
    <w:p>
      <w:pPr>
        <w:spacing w:before="120" w:after="120"/>
        <w:jc w:val="center"/>
      </w:pPr>
      <w:r>
        <w:rPr>
          <w:rFonts w:ascii="Times New Roman" w:hAnsi="Times New Roman"/>
          <w:b w:val="0"/>
          <w:i/>
          <w:color w:val="0A0A32"/>
          <w:sz w:val="21"/>
        </w:rPr>
        <w:t>S = w_{emb} · A_{emb} + w_{sim} · A_{sim} + w_{feat} · A_{feat} + w_{prov} · P_{prov}</w:t>
      </w:r>
    </w:p>
    <w:p>
      <w:pPr>
        <w:spacing w:before="0" w:after="80" w:line="276" w:lineRule="auto"/>
        <w:jc w:val="both"/>
      </w:pPr>
      <w:r>
        <w:t>where the calibrated component weights are:</w:t>
      </w:r>
    </w:p>
    <w:p>
      <w:pPr>
        <w:spacing w:before="120" w:after="120"/>
        <w:jc w:val="center"/>
      </w:pPr>
      <w:r>
        <w:rPr>
          <w:rFonts w:ascii="Times New Roman" w:hAnsi="Times New Roman"/>
          <w:b w:val="0"/>
          <w:i/>
          <w:color w:val="0A0A32"/>
          <w:sz w:val="21"/>
        </w:rPr>
        <w:t>w_{emb} = 0.35,     w_{sim} = 0.25,     w_{feat} = 0.25,     w_{prov} = 0.15     ≤ft(∑ w = 1.00)</w:t>
      </w:r>
    </w:p>
    <w:p>
      <w:pPr>
        <w:keepNext/>
        <w:spacing w:before="120" w:after="40"/>
        <w:jc w:val="left"/>
      </w:pPr>
      <w:r>
        <w:rPr>
          <w:rFonts w:ascii="Times New Roman" w:hAnsi="Times New Roman"/>
          <w:b/>
          <w:i/>
          <w:color w:val="3C3C3C"/>
          <w:sz w:val="21"/>
        </w:rPr>
        <w:t>Heuristic Safeguards</w:t>
      </w:r>
    </w:p>
    <w:p>
      <w:pPr>
        <w:spacing w:before="0" w:after="80" w:line="276" w:lineRule="auto"/>
        <w:jc w:val="both"/>
      </w:pPr>
      <w:r>
        <w:t>To prevent common false-positive failure modes, the scoring engine enforces three deterministic safeguards:</w:t>
      </w:r>
    </w:p>
    <w:p>
      <w:pPr>
        <w:spacing w:before="20" w:after="60" w:line="269" w:lineRule="auto"/>
        <w:ind w:left="432" w:hanging="432"/>
      </w:pPr>
      <w:r>
        <w:rPr>
          <w:rFonts w:ascii="Times New Roman" w:hAnsi="Times New Roman"/>
          <w:b/>
          <w:sz w:val="20"/>
        </w:rPr>
        <w:t xml:space="preserve">[1]  </w:t>
      </w:r>
      <w:r>
        <w:rPr>
          <w:b/>
        </w:rPr>
        <w:t>Safeguard 1 (Canonical Structure Damping):</w:t>
      </w:r>
      <w:r>
        <w:t xml:space="preserve"> If a protein sequence exhibits intact canonical catalytic motifs (A_{feat} ≤ 0.15) and low language-model anomaly (A_{emb} ≤ 0.40), an elevated score driven solely by weak provenance is capped at S ≤ 0.55, preventing false </w:t>
      </w:r>
      <w:r>
        <w:rPr>
          <w:rFonts w:ascii="Consolas" w:hAnsi="Consolas"/>
          <w:color w:val="A02828"/>
          <w:sz w:val="19"/>
        </w:rPr>
        <w:t>HIGH</w:t>
      </w:r>
      <w:r>
        <w:t xml:space="preserve"> priority escalation.</w:t>
      </w:r>
    </w:p>
    <w:p>
      <w:pPr>
        <w:spacing w:before="20" w:after="60" w:line="269" w:lineRule="auto"/>
        <w:ind w:left="432" w:hanging="432"/>
      </w:pPr>
      <w:r>
        <w:rPr>
          <w:rFonts w:ascii="Times New Roman" w:hAnsi="Times New Roman"/>
          <w:b/>
          <w:sz w:val="20"/>
        </w:rPr>
        <w:t xml:space="preserve">[2]  </w:t>
      </w:r>
      <w:r>
        <w:rPr>
          <w:b/>
        </w:rPr>
        <w:t>Safeguard 2 (Non-Kinase / Extreme Outlier Escalation):</w:t>
      </w:r>
      <w:r>
        <w:t xml:space="preserve"> If a sequence lacks all kinase motifs (A_{feat} ≥ 0.85) and exhibits severe sequence divergence (A_{sim} ≥ 0.70), priority is forced to </w:t>
      </w:r>
      <w:r>
        <w:rPr>
          <w:rFonts w:ascii="Consolas" w:hAnsi="Consolas"/>
          <w:color w:val="A02828"/>
          <w:sz w:val="19"/>
        </w:rPr>
        <w:t>HIGH</w:t>
      </w:r>
      <w:r>
        <w:t xml:space="preserve"> regardless of provenance.</w:t>
      </w:r>
    </w:p>
    <w:p>
      <w:pPr>
        <w:spacing w:before="20" w:after="60" w:line="269" w:lineRule="auto"/>
        <w:ind w:left="432" w:hanging="432"/>
      </w:pPr>
      <w:r>
        <w:rPr>
          <w:rFonts w:ascii="Times New Roman" w:hAnsi="Times New Roman"/>
          <w:b/>
          <w:sz w:val="20"/>
        </w:rPr>
        <w:t xml:space="preserve">[3]  </w:t>
      </w:r>
      <w:r>
        <w:rPr>
          <w:b/>
        </w:rPr>
        <w:t>Safeguard 3 (Biological Exception Decoupling):</w:t>
      </w:r>
      <w:r>
        <w:t xml:space="preserve"> If a sequence is identified as an established natural pseudokinase (e.g., VRK3, ILK), its score is labeled as an </w:t>
      </w:r>
      <w:r>
        <w:rPr>
          <w:i/>
        </w:rPr>
        <w:t>evolutionary diagnostic divergence score</w:t>
      </w:r>
      <w:r>
        <w:t>, and the entry is diverted from the standard suspected-conflict queue into a dedicated exception queue.</w:t>
      </w:r>
    </w:p>
    <w:p>
      <w:pPr>
        <w:spacing w:before="0" w:after="80" w:line="276" w:lineRule="auto"/>
        <w:jc w:val="both"/>
      </w:pPr>
      <w:r>
        <w:t>Review priority thresholds are calibrated as:</w:t>
      </w:r>
    </w:p>
    <w:p>
      <w:pPr>
        <w:spacing w:before="0" w:after="80" w:line="276" w:lineRule="auto"/>
        <w:jc w:val="both"/>
      </w:pPr>
      <w:r>
        <w:t xml:space="preserve">Priority = </w:t>
      </w:r>
    </w:p>
    <w:p>
      <w:pPr>
        <w:spacing w:before="0" w:after="80" w:line="276" w:lineRule="auto"/>
        <w:jc w:val="both"/>
      </w:pPr>
      <w:r>
        <w:t>HIGH &amp; if  S ≥ 0.65 \\</w:t>
      </w:r>
    </w:p>
    <w:p>
      <w:pPr>
        <w:spacing w:before="0" w:after="80" w:line="276" w:lineRule="auto"/>
        <w:jc w:val="both"/>
      </w:pPr>
      <w:r>
        <w:t>MODERATE &amp; if  0.40 ≤ S &lt; 0.65 \\</w:t>
      </w:r>
    </w:p>
    <w:p>
      <w:pPr>
        <w:spacing w:before="0" w:after="80" w:line="276" w:lineRule="auto"/>
        <w:jc w:val="both"/>
      </w:pPr>
      <w:r>
        <w:t>LOW &amp; if  S &lt; 0.40</w:t>
      </w:r>
    </w:p>
    <w:p>
      <w:pPr>
        <w:spacing w:before="0" w:after="80" w:line="276" w:lineRule="auto"/>
        <w:jc w:val="both"/>
      </w:pPr>
    </w:p>
    <w:p>
      <w:pPr>
        <w:keepNext/>
        <w:spacing w:before="320" w:after="80"/>
        <w:jc w:val="left"/>
      </w:pPr>
      <w:r>
        <w:rPr>
          <w:rFonts w:ascii="Times New Roman" w:hAnsi="Times New Roman"/>
          <w:b/>
          <w:color w:val="102C57"/>
          <w:sz w:val="25"/>
        </w:rPr>
        <w:t>V. Benchmark Construction and Experimental Protocol</w:t>
      </w:r>
    </w:p>
    <w:p>
      <w:pPr>
        <w:keepNext/>
        <w:spacing w:before="200" w:after="60"/>
        <w:jc w:val="left"/>
      </w:pPr>
      <w:r>
        <w:rPr>
          <w:rFonts w:ascii="Times New Roman" w:hAnsi="Times New Roman"/>
          <w:b/>
          <w:color w:val="1F4E79"/>
          <w:sz w:val="22"/>
        </w:rPr>
        <w:t>A. The Need for Audited Benchmarks</w:t>
      </w:r>
    </w:p>
    <w:p>
      <w:pPr>
        <w:spacing w:before="0" w:after="80" w:line="276" w:lineRule="auto"/>
        <w:jc w:val="both"/>
      </w:pPr>
      <w:r>
        <w:t xml:space="preserve">Evaluating annotation contradiction detection is notoriously challenging because public biological databases lack standardized ground-truth labels for erroneous entries. Most historical database errors were silently overwritten during periodic re-annotations without formal deprecation logs. To address this, we engineered </w:t>
      </w:r>
      <w:r>
        <w:rPr>
          <w:b/>
        </w:rPr>
        <w:t>Benchmark v2</w:t>
      </w:r>
      <w:r>
        <w:t>, a controlled, machine-readable validation suite containing 44 precisely defined evaluation cases.</w:t>
      </w:r>
    </w:p>
    <w:p>
      <w:pPr>
        <w:keepNext/>
        <w:spacing w:before="200" w:after="60"/>
        <w:jc w:val="left"/>
      </w:pPr>
      <w:r>
        <w:rPr>
          <w:rFonts w:ascii="Times New Roman" w:hAnsi="Times New Roman"/>
          <w:b/>
          <w:color w:val="1F4E79"/>
          <w:sz w:val="22"/>
        </w:rPr>
        <w:t>B. Benchmark Composition and Partitioning</w:t>
      </w:r>
    </w:p>
    <w:p>
      <w:pPr>
        <w:spacing w:before="0" w:after="80" w:line="276" w:lineRule="auto"/>
        <w:jc w:val="both"/>
      </w:pPr>
      <w:r>
        <w:t>To ensure rigorous evaluation and prevent data leakage, Benchmark v2 is divided into three mutually exclusive subsets, as summarized in Table I:</w:t>
      </w:r>
    </w:p>
    <w:p>
      <w:pPr>
        <w:pStyle w:val="ListBullet"/>
        <w:spacing w:before="0" w:after="60" w:line="276" w:lineRule="auto"/>
      </w:pPr>
      <w:r>
        <w:rPr>
          <w:b/>
        </w:rPr>
        <w:t>Calibration Partition (N = 21):</w:t>
      </w:r>
      <w:r>
        <w:t xml:space="preserve"> Used exclusively for parameter optimization, threshold selection, and weight calibration. Under no circumstances were calibration cases included in final performance reporting.</w:t>
      </w:r>
    </w:p>
    <w:p>
      <w:pPr>
        <w:pStyle w:val="ListBullet"/>
        <w:spacing w:before="0" w:after="60" w:line="276" w:lineRule="auto"/>
      </w:pPr>
      <w:r>
        <w:rPr>
          <w:b/>
        </w:rPr>
        <w:t>Independent Test Partition (N = 21):</w:t>
      </w:r>
      <w:r>
        <w:t xml:space="preserve"> Reserved strictly for out-of-sample evaluation. Comprises 12 positive contradiction cases and 9 negative control cases.</w:t>
      </w:r>
    </w:p>
    <w:p>
      <w:pPr>
        <w:pStyle w:val="ListBullet"/>
        <w:spacing w:before="0" w:after="60" w:line="276" w:lineRule="auto"/>
      </w:pPr>
      <w:r>
        <w:rPr>
          <w:b/>
        </w:rPr>
        <w:t>Natural Biological Exceptions (N = 2):</w:t>
      </w:r>
      <w:r>
        <w:t xml:space="preserve"> Comprises human pseudokinases VRK3 and ILK, reserved for exception-handling verification.</w:t>
      </w:r>
    </w:p>
    <w:p>
      <w:pPr>
        <w:keepNext/>
        <w:spacing w:before="240" w:after="40"/>
        <w:jc w:val="center"/>
      </w:pPr>
      <w:r>
        <w:rPr>
          <w:rFonts w:ascii="Times New Roman" w:hAnsi="Times New Roman"/>
          <w:b/>
          <w:color w:val="102C57"/>
          <w:sz w:val="20"/>
        </w:rPr>
        <w:t>TABLE I</w:t>
      </w:r>
    </w:p>
    <w:p>
      <w:pPr>
        <w:spacing w:before="0" w:after="80" w:line="276" w:lineRule="auto"/>
        <w:jc w:val="both"/>
      </w:pPr>
      <w:r>
        <w:t>BENCHMARK V2 COMPOSITION AND PARTITION SPLITS</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1872"/>
        <w:gridCol w:w="1872"/>
        <w:gridCol w:w="1872"/>
        <w:gridCol w:w="1872"/>
        <w:gridCol w:w="1872"/>
      </w:tblGrid>
      <w:tr>
        <w:tc>
          <w:tcPr>
            <w:tcW w:type="dxa" w:w="1872"/>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Task / Partition</w:t>
            </w:r>
          </w:p>
        </w:tc>
        <w:tc>
          <w:tcPr>
            <w:tcW w:type="dxa" w:w="1872"/>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Positives (True Contradictions)</w:t>
            </w:r>
          </w:p>
        </w:tc>
        <w:tc>
          <w:tcPr>
            <w:tcW w:type="dxa" w:w="1872"/>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Negatives (True Controls)</w:t>
            </w:r>
          </w:p>
        </w:tc>
        <w:tc>
          <w:tcPr>
            <w:tcW w:type="dxa" w:w="1872"/>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Total Cases</w:t>
            </w:r>
          </w:p>
        </w:tc>
        <w:tc>
          <w:tcPr>
            <w:tcW w:type="dxa" w:w="1872"/>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Primary Purpose</w:t>
            </w:r>
          </w:p>
        </w:tc>
      </w:tr>
      <w:tr>
        <w:tc>
          <w:tcPr>
            <w:tcW w:type="dxa" w:w="1872"/>
            <w:shd w:fill="FFFFFF"/>
            <w:tcMar>
              <w:top w:w="100" w:type="dxa"/>
              <w:bottom w:w="100" w:type="dxa"/>
              <w:left w:w="140" w:type="dxa"/>
              <w:right w:w="140" w:type="dxa"/>
            </w:tcMar>
            <w:vAlign w:val="center"/>
          </w:tcPr>
          <w:p>
            <w:pPr>
              <w:spacing w:after="0"/>
              <w:jc w:val="left"/>
            </w:pPr>
            <w:r>
              <w:rPr>
                <w:rFonts w:ascii="Times New Roman" w:hAnsi="Times New Roman"/>
                <w:b/>
                <w:sz w:val="18"/>
              </w:rPr>
              <w:t>Calibration Set</w:t>
            </w:r>
          </w:p>
        </w:tc>
        <w:tc>
          <w:tcPr>
            <w:tcW w:type="dxa" w:w="1872"/>
            <w:shd w:fill="FFFFFF"/>
            <w:tcMar>
              <w:top w:w="100" w:type="dxa"/>
              <w:bottom w:w="100" w:type="dxa"/>
              <w:left w:w="140" w:type="dxa"/>
              <w:right w:w="140" w:type="dxa"/>
            </w:tcMar>
            <w:vAlign w:val="center"/>
          </w:tcPr>
          <w:p>
            <w:pPr>
              <w:spacing w:after="0"/>
              <w:jc w:val="center"/>
            </w:pPr>
            <w:r>
              <w:rPr>
                <w:rFonts w:ascii="Times New Roman" w:hAnsi="Times New Roman"/>
                <w:sz w:val="18"/>
              </w:rPr>
              <w:t>12</w:t>
            </w:r>
          </w:p>
        </w:tc>
        <w:tc>
          <w:tcPr>
            <w:tcW w:type="dxa" w:w="1872"/>
            <w:shd w:fill="FFFFFF"/>
            <w:tcMar>
              <w:top w:w="100" w:type="dxa"/>
              <w:bottom w:w="100" w:type="dxa"/>
              <w:left w:w="140" w:type="dxa"/>
              <w:right w:w="140" w:type="dxa"/>
            </w:tcMar>
            <w:vAlign w:val="center"/>
          </w:tcPr>
          <w:p>
            <w:pPr>
              <w:spacing w:after="0"/>
              <w:jc w:val="center"/>
            </w:pPr>
            <w:r>
              <w:rPr>
                <w:rFonts w:ascii="Times New Roman" w:hAnsi="Times New Roman"/>
                <w:sz w:val="18"/>
              </w:rPr>
              <w:t>9</w:t>
            </w:r>
          </w:p>
        </w:tc>
        <w:tc>
          <w:tcPr>
            <w:tcW w:type="dxa" w:w="1872"/>
            <w:shd w:fill="FFFFFF"/>
            <w:tcMar>
              <w:top w:w="100" w:type="dxa"/>
              <w:bottom w:w="100" w:type="dxa"/>
              <w:left w:w="140" w:type="dxa"/>
              <w:right w:w="140" w:type="dxa"/>
            </w:tcMar>
            <w:vAlign w:val="center"/>
          </w:tcPr>
          <w:p>
            <w:pPr>
              <w:spacing w:after="0"/>
              <w:jc w:val="center"/>
            </w:pPr>
            <w:r>
              <w:rPr>
                <w:rFonts w:ascii="Times New Roman" w:hAnsi="Times New Roman"/>
                <w:sz w:val="18"/>
              </w:rPr>
              <w:t>21</w:t>
            </w:r>
          </w:p>
        </w:tc>
        <w:tc>
          <w:tcPr>
            <w:tcW w:type="dxa" w:w="1872"/>
            <w:shd w:fill="FFFFFF"/>
            <w:tcMar>
              <w:top w:w="100" w:type="dxa"/>
              <w:bottom w:w="100" w:type="dxa"/>
              <w:left w:w="140" w:type="dxa"/>
              <w:right w:w="140" w:type="dxa"/>
            </w:tcMar>
            <w:vAlign w:val="center"/>
          </w:tcPr>
          <w:p>
            <w:pPr>
              <w:spacing w:after="0"/>
              <w:jc w:val="left"/>
            </w:pPr>
            <w:r>
              <w:rPr>
                <w:rFonts w:ascii="Times New Roman" w:hAnsi="Times New Roman"/>
                <w:sz w:val="18"/>
              </w:rPr>
              <w:t>Threshold and weight calibration</w:t>
            </w:r>
          </w:p>
        </w:tc>
      </w:tr>
      <w:tr>
        <w:tc>
          <w:tcPr>
            <w:tcW w:type="dxa" w:w="1872"/>
            <w:shd w:fill="F9FAFC"/>
            <w:tcMar>
              <w:top w:w="100" w:type="dxa"/>
              <w:bottom w:w="100" w:type="dxa"/>
              <w:left w:w="140" w:type="dxa"/>
              <w:right w:w="140" w:type="dxa"/>
            </w:tcMar>
            <w:vAlign w:val="center"/>
          </w:tcPr>
          <w:p>
            <w:pPr>
              <w:spacing w:after="0"/>
              <w:jc w:val="left"/>
            </w:pPr>
            <w:r>
              <w:rPr>
                <w:rFonts w:ascii="Times New Roman" w:hAnsi="Times New Roman"/>
                <w:b/>
                <w:sz w:val="18"/>
              </w:rPr>
              <w:t>Independent Test Set</w:t>
            </w:r>
          </w:p>
        </w:tc>
        <w:tc>
          <w:tcPr>
            <w:tcW w:type="dxa" w:w="1872"/>
            <w:shd w:fill="F9FAFC"/>
            <w:tcMar>
              <w:top w:w="100" w:type="dxa"/>
              <w:bottom w:w="100" w:type="dxa"/>
              <w:left w:w="140" w:type="dxa"/>
              <w:right w:w="140" w:type="dxa"/>
            </w:tcMar>
            <w:vAlign w:val="center"/>
          </w:tcPr>
          <w:p>
            <w:pPr>
              <w:spacing w:after="0"/>
              <w:jc w:val="center"/>
            </w:pPr>
            <w:r>
              <w:rPr>
                <w:rFonts w:ascii="Times New Roman" w:hAnsi="Times New Roman"/>
                <w:sz w:val="18"/>
              </w:rPr>
              <w:t>12</w:t>
            </w:r>
          </w:p>
        </w:tc>
        <w:tc>
          <w:tcPr>
            <w:tcW w:type="dxa" w:w="1872"/>
            <w:shd w:fill="F9FAFC"/>
            <w:tcMar>
              <w:top w:w="100" w:type="dxa"/>
              <w:bottom w:w="100" w:type="dxa"/>
              <w:left w:w="140" w:type="dxa"/>
              <w:right w:w="140" w:type="dxa"/>
            </w:tcMar>
            <w:vAlign w:val="center"/>
          </w:tcPr>
          <w:p>
            <w:pPr>
              <w:spacing w:after="0"/>
              <w:jc w:val="center"/>
            </w:pPr>
            <w:r>
              <w:rPr>
                <w:rFonts w:ascii="Times New Roman" w:hAnsi="Times New Roman"/>
                <w:sz w:val="18"/>
              </w:rPr>
              <w:t>9</w:t>
            </w:r>
          </w:p>
        </w:tc>
        <w:tc>
          <w:tcPr>
            <w:tcW w:type="dxa" w:w="1872"/>
            <w:shd w:fill="F9FAFC"/>
            <w:tcMar>
              <w:top w:w="100" w:type="dxa"/>
              <w:bottom w:w="100" w:type="dxa"/>
              <w:left w:w="140" w:type="dxa"/>
              <w:right w:w="140" w:type="dxa"/>
            </w:tcMar>
            <w:vAlign w:val="center"/>
          </w:tcPr>
          <w:p>
            <w:pPr>
              <w:spacing w:after="0"/>
              <w:jc w:val="center"/>
            </w:pPr>
            <w:r>
              <w:rPr>
                <w:rFonts w:ascii="Times New Roman" w:hAnsi="Times New Roman"/>
                <w:sz w:val="18"/>
              </w:rPr>
              <w:t>21</w:t>
            </w:r>
          </w:p>
        </w:tc>
        <w:tc>
          <w:tcPr>
            <w:tcW w:type="dxa" w:w="1872"/>
            <w:shd w:fill="F9FAFC"/>
            <w:tcMar>
              <w:top w:w="100" w:type="dxa"/>
              <w:bottom w:w="100" w:type="dxa"/>
              <w:left w:w="140" w:type="dxa"/>
              <w:right w:w="140" w:type="dxa"/>
            </w:tcMar>
            <w:vAlign w:val="center"/>
          </w:tcPr>
          <w:p>
            <w:pPr>
              <w:spacing w:after="0"/>
              <w:jc w:val="left"/>
            </w:pPr>
            <w:r>
              <w:rPr>
                <w:rFonts w:ascii="Times New Roman" w:hAnsi="Times New Roman"/>
                <w:sz w:val="18"/>
              </w:rPr>
              <w:t>Out-of-sample performance validation</w:t>
            </w:r>
          </w:p>
        </w:tc>
      </w:tr>
      <w:tr>
        <w:tc>
          <w:tcPr>
            <w:tcW w:type="dxa" w:w="1872"/>
            <w:shd w:fill="FFFFFF"/>
            <w:tcMar>
              <w:top w:w="100" w:type="dxa"/>
              <w:bottom w:w="100" w:type="dxa"/>
              <w:left w:w="140" w:type="dxa"/>
              <w:right w:w="140" w:type="dxa"/>
            </w:tcMar>
            <w:vAlign w:val="center"/>
          </w:tcPr>
          <w:p>
            <w:pPr>
              <w:spacing w:after="0"/>
              <w:jc w:val="left"/>
            </w:pPr>
            <w:r>
              <w:rPr>
                <w:rFonts w:ascii="Times New Roman" w:hAnsi="Times New Roman"/>
                <w:sz w:val="18"/>
              </w:rPr>
              <w:t xml:space="preserve">— </w:t>
            </w:r>
            <w:r>
              <w:rPr>
                <w:rFonts w:ascii="Times New Roman" w:hAnsi="Times New Roman"/>
                <w:i/>
                <w:sz w:val="18"/>
              </w:rPr>
              <w:t>Task 1: Label Contradictions</w:t>
            </w:r>
          </w:p>
        </w:tc>
        <w:tc>
          <w:tcPr>
            <w:tcW w:type="dxa" w:w="1872"/>
            <w:shd w:fill="FFFFFF"/>
            <w:tcMar>
              <w:top w:w="100" w:type="dxa"/>
              <w:bottom w:w="100" w:type="dxa"/>
              <w:left w:w="140" w:type="dxa"/>
              <w:right w:w="140" w:type="dxa"/>
            </w:tcMar>
            <w:vAlign w:val="center"/>
          </w:tcPr>
          <w:p>
            <w:pPr>
              <w:spacing w:after="0"/>
              <w:jc w:val="center"/>
            </w:pPr>
            <w:r>
              <w:rPr>
                <w:rFonts w:ascii="Times New Roman" w:hAnsi="Times New Roman"/>
                <w:sz w:val="18"/>
              </w:rPr>
              <w:t>4</w:t>
            </w:r>
          </w:p>
        </w:tc>
        <w:tc>
          <w:tcPr>
            <w:tcW w:type="dxa" w:w="1872"/>
            <w:shd w:fill="FFFFFF"/>
            <w:tcMar>
              <w:top w:w="100" w:type="dxa"/>
              <w:bottom w:w="100" w:type="dxa"/>
              <w:left w:w="140" w:type="dxa"/>
              <w:right w:w="140" w:type="dxa"/>
            </w:tcMar>
            <w:vAlign w:val="center"/>
          </w:tcPr>
          <w:p>
            <w:pPr>
              <w:spacing w:after="0"/>
              <w:jc w:val="center"/>
            </w:pPr>
            <w:r>
              <w:rPr>
                <w:rFonts w:ascii="Times New Roman" w:hAnsi="Times New Roman"/>
                <w:sz w:val="18"/>
              </w:rPr>
              <w:t>9</w:t>
            </w:r>
          </w:p>
        </w:tc>
        <w:tc>
          <w:tcPr>
            <w:tcW w:type="dxa" w:w="1872"/>
            <w:shd w:fill="FFFFFF"/>
            <w:tcMar>
              <w:top w:w="100" w:type="dxa"/>
              <w:bottom w:w="100" w:type="dxa"/>
              <w:left w:w="140" w:type="dxa"/>
              <w:right w:w="140" w:type="dxa"/>
            </w:tcMar>
            <w:vAlign w:val="center"/>
          </w:tcPr>
          <w:p>
            <w:pPr>
              <w:spacing w:after="0"/>
              <w:jc w:val="center"/>
            </w:pPr>
            <w:r>
              <w:rPr>
                <w:rFonts w:ascii="Times New Roman" w:hAnsi="Times New Roman"/>
                <w:sz w:val="18"/>
              </w:rPr>
              <w:t>13</w:t>
            </w:r>
          </w:p>
        </w:tc>
        <w:tc>
          <w:tcPr>
            <w:tcW w:type="dxa" w:w="1872"/>
            <w:shd w:fill="FFFFFF"/>
            <w:tcMar>
              <w:top w:w="100" w:type="dxa"/>
              <w:bottom w:w="100" w:type="dxa"/>
              <w:left w:w="140" w:type="dxa"/>
              <w:right w:w="140" w:type="dxa"/>
            </w:tcMar>
            <w:vAlign w:val="center"/>
          </w:tcPr>
          <w:p>
            <w:pPr>
              <w:spacing w:after="0"/>
              <w:jc w:val="left"/>
            </w:pPr>
            <w:r>
              <w:rPr>
                <w:rFonts w:ascii="Times New Roman" w:hAnsi="Times New Roman"/>
                <w:sz w:val="18"/>
              </w:rPr>
              <w:t>Specificity and label swap detection</w:t>
            </w:r>
          </w:p>
        </w:tc>
      </w:tr>
      <w:tr>
        <w:tc>
          <w:tcPr>
            <w:tcW w:type="dxa" w:w="1872"/>
            <w:shd w:fill="F9FAFC"/>
            <w:tcMar>
              <w:top w:w="100" w:type="dxa"/>
              <w:bottom w:w="100" w:type="dxa"/>
              <w:left w:w="140" w:type="dxa"/>
              <w:right w:w="140" w:type="dxa"/>
            </w:tcMar>
            <w:vAlign w:val="center"/>
          </w:tcPr>
          <w:p>
            <w:pPr>
              <w:spacing w:after="0"/>
              <w:jc w:val="left"/>
            </w:pPr>
            <w:r>
              <w:rPr>
                <w:rFonts w:ascii="Times New Roman" w:hAnsi="Times New Roman"/>
                <w:sz w:val="18"/>
              </w:rPr>
              <w:t xml:space="preserve">— </w:t>
            </w:r>
            <w:r>
              <w:rPr>
                <w:rFonts w:ascii="Times New Roman" w:hAnsi="Times New Roman"/>
                <w:i/>
                <w:sz w:val="18"/>
              </w:rPr>
              <w:t>Task 2: Sequence Perturbations</w:t>
            </w:r>
          </w:p>
        </w:tc>
        <w:tc>
          <w:tcPr>
            <w:tcW w:type="dxa" w:w="1872"/>
            <w:shd w:fill="F9FAFC"/>
            <w:tcMar>
              <w:top w:w="100" w:type="dxa"/>
              <w:bottom w:w="100" w:type="dxa"/>
              <w:left w:w="140" w:type="dxa"/>
              <w:right w:w="140" w:type="dxa"/>
            </w:tcMar>
            <w:vAlign w:val="center"/>
          </w:tcPr>
          <w:p>
            <w:pPr>
              <w:spacing w:after="0"/>
              <w:jc w:val="center"/>
            </w:pPr>
            <w:r>
              <w:rPr>
                <w:rFonts w:ascii="Times New Roman" w:hAnsi="Times New Roman"/>
                <w:sz w:val="18"/>
              </w:rPr>
              <w:t>8</w:t>
            </w:r>
          </w:p>
        </w:tc>
        <w:tc>
          <w:tcPr>
            <w:tcW w:type="dxa" w:w="1872"/>
            <w:shd w:fill="F9FAFC"/>
            <w:tcMar>
              <w:top w:w="100" w:type="dxa"/>
              <w:bottom w:w="100" w:type="dxa"/>
              <w:left w:w="140" w:type="dxa"/>
              <w:right w:w="140" w:type="dxa"/>
            </w:tcMar>
            <w:vAlign w:val="center"/>
          </w:tcPr>
          <w:p>
            <w:pPr>
              <w:spacing w:after="0"/>
              <w:jc w:val="center"/>
            </w:pPr>
            <w:r>
              <w:rPr>
                <w:rFonts w:ascii="Times New Roman" w:hAnsi="Times New Roman"/>
                <w:sz w:val="18"/>
              </w:rPr>
              <w:t>9</w:t>
            </w:r>
          </w:p>
        </w:tc>
        <w:tc>
          <w:tcPr>
            <w:tcW w:type="dxa" w:w="1872"/>
            <w:shd w:fill="F9FAFC"/>
            <w:tcMar>
              <w:top w:w="100" w:type="dxa"/>
              <w:bottom w:w="100" w:type="dxa"/>
              <w:left w:w="140" w:type="dxa"/>
              <w:right w:w="140" w:type="dxa"/>
            </w:tcMar>
            <w:vAlign w:val="center"/>
          </w:tcPr>
          <w:p>
            <w:pPr>
              <w:spacing w:after="0"/>
              <w:jc w:val="center"/>
            </w:pPr>
            <w:r>
              <w:rPr>
                <w:rFonts w:ascii="Times New Roman" w:hAnsi="Times New Roman"/>
                <w:sz w:val="18"/>
              </w:rPr>
              <w:t>17</w:t>
            </w:r>
          </w:p>
        </w:tc>
        <w:tc>
          <w:tcPr>
            <w:tcW w:type="dxa" w:w="1872"/>
            <w:shd w:fill="F9FAFC"/>
            <w:tcMar>
              <w:top w:w="100" w:type="dxa"/>
              <w:bottom w:w="100" w:type="dxa"/>
              <w:left w:w="140" w:type="dxa"/>
              <w:right w:w="140" w:type="dxa"/>
            </w:tcMar>
            <w:vAlign w:val="center"/>
          </w:tcPr>
          <w:p>
            <w:pPr>
              <w:spacing w:after="0"/>
              <w:jc w:val="left"/>
            </w:pPr>
            <w:r>
              <w:rPr>
                <w:rFonts w:ascii="Times New Roman" w:hAnsi="Times New Roman"/>
                <w:sz w:val="18"/>
              </w:rPr>
              <w:t>Localized catalytic motif knockouts</w:t>
            </w:r>
          </w:p>
        </w:tc>
      </w:tr>
      <w:tr>
        <w:tc>
          <w:tcPr>
            <w:tcW w:type="dxa" w:w="1872"/>
            <w:shd w:fill="FFFFFF"/>
            <w:tcMar>
              <w:top w:w="100" w:type="dxa"/>
              <w:bottom w:w="100" w:type="dxa"/>
              <w:left w:w="140" w:type="dxa"/>
              <w:right w:w="140" w:type="dxa"/>
            </w:tcMar>
            <w:vAlign w:val="center"/>
          </w:tcPr>
          <w:p>
            <w:pPr>
              <w:spacing w:after="0"/>
              <w:jc w:val="left"/>
            </w:pPr>
            <w:r>
              <w:rPr>
                <w:rFonts w:ascii="Times New Roman" w:hAnsi="Times New Roman"/>
                <w:b/>
                <w:sz w:val="18"/>
              </w:rPr>
              <w:t>Natural Biological Exceptions</w:t>
            </w:r>
          </w:p>
        </w:tc>
        <w:tc>
          <w:tcPr>
            <w:tcW w:type="dxa" w:w="1872"/>
            <w:shd w:fill="FFFFFF"/>
            <w:tcMar>
              <w:top w:w="100" w:type="dxa"/>
              <w:bottom w:w="100" w:type="dxa"/>
              <w:left w:w="140" w:type="dxa"/>
              <w:right w:w="140" w:type="dxa"/>
            </w:tcMar>
            <w:vAlign w:val="center"/>
          </w:tcPr>
          <w:p>
            <w:pPr>
              <w:spacing w:after="0"/>
              <w:jc w:val="left"/>
            </w:pPr>
            <w:r>
              <w:rPr>
                <w:rFonts w:ascii="Times New Roman" w:hAnsi="Times New Roman"/>
                <w:sz w:val="18"/>
              </w:rPr>
              <w:t>—</w:t>
            </w:r>
          </w:p>
        </w:tc>
        <w:tc>
          <w:tcPr>
            <w:tcW w:type="dxa" w:w="1872"/>
            <w:shd w:fill="FFFFFF"/>
            <w:tcMar>
              <w:top w:w="100" w:type="dxa"/>
              <w:bottom w:w="100" w:type="dxa"/>
              <w:left w:w="140" w:type="dxa"/>
              <w:right w:w="140" w:type="dxa"/>
            </w:tcMar>
            <w:vAlign w:val="center"/>
          </w:tcPr>
          <w:p>
            <w:pPr>
              <w:spacing w:after="0"/>
              <w:jc w:val="left"/>
            </w:pPr>
            <w:r>
              <w:rPr>
                <w:rFonts w:ascii="Times New Roman" w:hAnsi="Times New Roman"/>
                <w:sz w:val="18"/>
              </w:rPr>
              <w:t>—</w:t>
            </w:r>
          </w:p>
        </w:tc>
        <w:tc>
          <w:tcPr>
            <w:tcW w:type="dxa" w:w="1872"/>
            <w:shd w:fill="FFFFFF"/>
            <w:tcMar>
              <w:top w:w="100" w:type="dxa"/>
              <w:bottom w:w="100" w:type="dxa"/>
              <w:left w:w="140" w:type="dxa"/>
              <w:right w:w="140" w:type="dxa"/>
            </w:tcMar>
            <w:vAlign w:val="center"/>
          </w:tcPr>
          <w:p>
            <w:pPr>
              <w:spacing w:after="0"/>
              <w:jc w:val="center"/>
            </w:pPr>
            <w:r>
              <w:rPr>
                <w:rFonts w:ascii="Times New Roman" w:hAnsi="Times New Roman"/>
                <w:sz w:val="18"/>
              </w:rPr>
              <w:t>2</w:t>
            </w:r>
          </w:p>
        </w:tc>
        <w:tc>
          <w:tcPr>
            <w:tcW w:type="dxa" w:w="1872"/>
            <w:shd w:fill="FFFFFF"/>
            <w:tcMar>
              <w:top w:w="100" w:type="dxa"/>
              <w:bottom w:w="100" w:type="dxa"/>
              <w:left w:w="140" w:type="dxa"/>
              <w:right w:w="140" w:type="dxa"/>
            </w:tcMar>
            <w:vAlign w:val="center"/>
          </w:tcPr>
          <w:p>
            <w:pPr>
              <w:spacing w:after="0"/>
              <w:jc w:val="left"/>
            </w:pPr>
            <w:r>
              <w:rPr>
                <w:rFonts w:ascii="Times New Roman" w:hAnsi="Times New Roman"/>
                <w:sz w:val="18"/>
              </w:rPr>
              <w:t>Pseudokinase triage characterization</w:t>
            </w:r>
          </w:p>
        </w:tc>
      </w:tr>
      <w:tr>
        <w:tc>
          <w:tcPr>
            <w:tcW w:type="dxa" w:w="1872"/>
            <w:shd w:fill="F9FAFC"/>
            <w:tcMar>
              <w:top w:w="100" w:type="dxa"/>
              <w:bottom w:w="100" w:type="dxa"/>
              <w:left w:w="140" w:type="dxa"/>
              <w:right w:w="140" w:type="dxa"/>
            </w:tcMar>
            <w:vAlign w:val="center"/>
          </w:tcPr>
          <w:p>
            <w:pPr>
              <w:spacing w:after="0"/>
              <w:jc w:val="left"/>
            </w:pPr>
            <w:r>
              <w:rPr>
                <w:rFonts w:ascii="Times New Roman" w:hAnsi="Times New Roman"/>
                <w:b/>
                <w:sz w:val="18"/>
              </w:rPr>
              <w:t>Total Benchmark Cases</w:t>
            </w:r>
          </w:p>
        </w:tc>
        <w:tc>
          <w:tcPr>
            <w:tcW w:type="dxa" w:w="1872"/>
            <w:shd w:fill="F9FAFC"/>
            <w:tcMar>
              <w:top w:w="100" w:type="dxa"/>
              <w:bottom w:w="100" w:type="dxa"/>
              <w:left w:w="140" w:type="dxa"/>
              <w:right w:w="140" w:type="dxa"/>
            </w:tcMar>
            <w:vAlign w:val="center"/>
          </w:tcPr>
          <w:p>
            <w:pPr>
              <w:spacing w:after="0"/>
              <w:jc w:val="left"/>
            </w:pPr>
            <w:r>
              <w:rPr>
                <w:rFonts w:ascii="Times New Roman" w:hAnsi="Times New Roman"/>
                <w:b/>
                <w:sz w:val="18"/>
              </w:rPr>
              <w:t>24</w:t>
            </w:r>
          </w:p>
        </w:tc>
        <w:tc>
          <w:tcPr>
            <w:tcW w:type="dxa" w:w="1872"/>
            <w:shd w:fill="F9FAFC"/>
            <w:tcMar>
              <w:top w:w="100" w:type="dxa"/>
              <w:bottom w:w="100" w:type="dxa"/>
              <w:left w:w="140" w:type="dxa"/>
              <w:right w:w="140" w:type="dxa"/>
            </w:tcMar>
            <w:vAlign w:val="center"/>
          </w:tcPr>
          <w:p>
            <w:pPr>
              <w:spacing w:after="0"/>
              <w:jc w:val="left"/>
            </w:pPr>
            <w:r>
              <w:rPr>
                <w:rFonts w:ascii="Times New Roman" w:hAnsi="Times New Roman"/>
                <w:b/>
                <w:sz w:val="18"/>
              </w:rPr>
              <w:t>18</w:t>
            </w:r>
          </w:p>
        </w:tc>
        <w:tc>
          <w:tcPr>
            <w:tcW w:type="dxa" w:w="1872"/>
            <w:shd w:fill="F9FAFC"/>
            <w:tcMar>
              <w:top w:w="100" w:type="dxa"/>
              <w:bottom w:w="100" w:type="dxa"/>
              <w:left w:w="140" w:type="dxa"/>
              <w:right w:w="140" w:type="dxa"/>
            </w:tcMar>
            <w:vAlign w:val="center"/>
          </w:tcPr>
          <w:p>
            <w:pPr>
              <w:spacing w:after="0"/>
              <w:jc w:val="left"/>
            </w:pPr>
            <w:r>
              <w:rPr>
                <w:rFonts w:ascii="Times New Roman" w:hAnsi="Times New Roman"/>
                <w:b/>
                <w:sz w:val="18"/>
              </w:rPr>
              <w:t>44</w:t>
            </w:r>
          </w:p>
        </w:tc>
        <w:tc>
          <w:tcPr>
            <w:tcW w:type="dxa" w:w="1872"/>
            <w:shd w:fill="F9FAFC"/>
            <w:tcMar>
              <w:top w:w="100" w:type="dxa"/>
              <w:bottom w:w="100" w:type="dxa"/>
              <w:left w:w="140" w:type="dxa"/>
              <w:right w:w="140" w:type="dxa"/>
            </w:tcMar>
            <w:vAlign w:val="center"/>
          </w:tcPr>
          <w:p>
            <w:pPr>
              <w:spacing w:after="0"/>
              <w:jc w:val="left"/>
            </w:pPr>
            <w:r>
              <w:rPr>
                <w:rFonts w:ascii="Times New Roman" w:hAnsi="Times New Roman"/>
                <w:sz w:val="18"/>
              </w:rPr>
              <w:t>Full evaluation suite</w:t>
            </w:r>
          </w:p>
        </w:tc>
      </w:tr>
    </w:tbl>
    <w:p>
      <w:pPr>
        <w:spacing w:after="120" w:line="240" w:lineRule="auto"/>
      </w:pPr>
    </w:p>
    <w:p>
      <w:pPr>
        <w:keepNext/>
        <w:spacing w:before="200" w:after="60"/>
        <w:jc w:val="left"/>
      </w:pPr>
      <w:r>
        <w:rPr>
          <w:rFonts w:ascii="Times New Roman" w:hAnsi="Times New Roman"/>
          <w:b/>
          <w:color w:val="1F4E79"/>
          <w:sz w:val="22"/>
        </w:rPr>
        <w:t>C. Experimental Tasks</w:t>
      </w:r>
    </w:p>
    <w:p>
      <w:pPr>
        <w:spacing w:before="20" w:after="60" w:line="269" w:lineRule="auto"/>
        <w:ind w:left="432" w:hanging="432"/>
      </w:pPr>
      <w:r>
        <w:rPr>
          <w:rFonts w:ascii="Times New Roman" w:hAnsi="Times New Roman"/>
          <w:b/>
          <w:sz w:val="20"/>
        </w:rPr>
        <w:t xml:space="preserve">[1]  </w:t>
      </w:r>
      <w:r>
        <w:rPr>
          <w:b/>
        </w:rPr>
        <w:t>Task 1: Synthetic Label Contradictions (N = 13 in Test Partition):</w:t>
      </w:r>
      <w:r>
        <w:t xml:space="preserve"> Designed to test whether the system can detect categorical annotation misassignments. Verified Tyrosine kinase sequences (e.g., EGFR, ABL1, SRC) have their functional annotations swapped to Serine/Threonine kinase activity, and vice versa. Evaluated alongside 9 negative controls (unaltered active kinases with verified experimental annotations).</w:t>
      </w:r>
    </w:p>
    <w:p>
      <w:pPr>
        <w:spacing w:before="20" w:after="60" w:line="269" w:lineRule="auto"/>
        <w:ind w:left="432" w:hanging="432"/>
      </w:pPr>
      <w:r>
        <w:rPr>
          <w:rFonts w:ascii="Times New Roman" w:hAnsi="Times New Roman"/>
          <w:b/>
          <w:sz w:val="20"/>
        </w:rPr>
        <w:t xml:space="preserve">[2]  </w:t>
      </w:r>
      <w:r>
        <w:rPr>
          <w:b/>
        </w:rPr>
        <w:t>Task 2: Synthetic Sequence Perturbations (N = 17 in Test Partition):</w:t>
      </w:r>
      <w:r>
        <w:t xml:space="preserve"> Designed to evaluate sensitivity toward localized active-site corruption. We introduce targeted </w:t>
      </w:r>
      <w:r>
        <w:rPr>
          <w:i/>
        </w:rPr>
        <w:t>in silico</w:t>
      </w:r>
      <w:r>
        <w:t xml:space="preserve"> alanine substitutions into invariant catalytic residues (e.g., mutating the catalytic aspartate in the HRD motif to alanine, or mutating the DFG triad to AAA) across 8 distinct kinase sequences, evaluated alongside the 9 negative controls.</w:t>
      </w:r>
    </w:p>
    <w:p>
      <w:pPr>
        <w:spacing w:before="20" w:after="60" w:line="269" w:lineRule="auto"/>
        <w:ind w:left="432" w:hanging="432"/>
      </w:pPr>
      <w:r>
        <w:rPr>
          <w:rFonts w:ascii="Times New Roman" w:hAnsi="Times New Roman"/>
          <w:b/>
          <w:sz w:val="20"/>
        </w:rPr>
        <w:t xml:space="preserve">[3]  </w:t>
      </w:r>
      <w:r>
        <w:rPr>
          <w:b/>
        </w:rPr>
        <w:t>Task 3: Natural Biological Exception Characterization (N = 2):</w:t>
      </w:r>
      <w:r>
        <w:t xml:space="preserve"> Examines the system's behavior when processing genuine human pseudokinases: </w:t>
      </w:r>
      <w:r>
        <w:rPr>
          <w:b/>
        </w:rPr>
        <w:t>VRK3 (Q9Y616)</w:t>
      </w:r>
      <w:r>
        <w:t xml:space="preserve"> and </w:t>
      </w:r>
      <w:r>
        <w:rPr>
          <w:b/>
        </w:rPr>
        <w:t>ILK (Q13418)</w:t>
      </w:r>
      <w:r>
        <w:t>.</w:t>
      </w:r>
    </w:p>
    <w:p>
      <w:pPr>
        <w:keepNext/>
        <w:spacing w:before="200" w:after="60"/>
        <w:jc w:val="left"/>
      </w:pPr>
      <w:r>
        <w:rPr>
          <w:rFonts w:ascii="Times New Roman" w:hAnsi="Times New Roman"/>
          <w:b/>
          <w:color w:val="1F4E79"/>
          <w:sz w:val="22"/>
        </w:rPr>
        <w:t>D. Evaluation Metrics and Mathematical Conventions</w:t>
      </w:r>
    </w:p>
    <w:p>
      <w:pPr>
        <w:spacing w:before="0" w:after="80" w:line="276" w:lineRule="auto"/>
        <w:jc w:val="both"/>
      </w:pPr>
      <w:r>
        <w:t>System predictions are evaluated against ground truth using standard binary classification metrics: True Positives (TP), False Positives (FP), True Negatives (TN), and False Negatives (FN). The mathematical formulations are defined as follows:</w:t>
      </w:r>
    </w:p>
    <w:p>
      <w:pPr>
        <w:spacing w:before="120" w:after="120"/>
        <w:jc w:val="center"/>
      </w:pPr>
      <w:r>
        <w:rPr>
          <w:rFonts w:ascii="Times New Roman" w:hAnsi="Times New Roman"/>
          <w:b w:val="0"/>
          <w:i/>
          <w:color w:val="0A0A32"/>
          <w:sz w:val="21"/>
        </w:rPr>
        <w:t>Precision = (TP / TP + FP),        Recall (Sensitivity) = (TP / TP + FN)</w:t>
      </w:r>
    </w:p>
    <w:p>
      <w:pPr>
        <w:spacing w:before="120" w:after="120"/>
        <w:jc w:val="center"/>
      </w:pPr>
      <w:r>
        <w:rPr>
          <w:rFonts w:ascii="Times New Roman" w:hAnsi="Times New Roman"/>
          <w:b w:val="0"/>
          <w:i/>
          <w:color w:val="0A0A32"/>
          <w:sz w:val="21"/>
        </w:rPr>
        <w:t>F_1-score = 2 × (Precision × Recall / Precision + Recall) = (2 · TP / 2 · TP + FP + FN)</w:t>
      </w:r>
    </w:p>
    <w:p>
      <w:pPr>
        <w:spacing w:before="120" w:after="120"/>
        <w:jc w:val="center"/>
      </w:pPr>
      <w:r>
        <w:rPr>
          <w:rFonts w:ascii="Times New Roman" w:hAnsi="Times New Roman"/>
          <w:b w:val="0"/>
          <w:i/>
          <w:color w:val="0A0A32"/>
          <w:sz w:val="21"/>
        </w:rPr>
        <w:t>Specificity = (TN / TN + FP),        Accuracy = (TP + TN / TP + FP + TN + FN)</w:t>
      </w:r>
    </w:p>
    <w:p>
      <w:pPr>
        <w:keepNext/>
        <w:spacing w:before="120" w:after="40"/>
        <w:jc w:val="left"/>
      </w:pPr>
      <w:r>
        <w:rPr>
          <w:rFonts w:ascii="Times New Roman" w:hAnsi="Times New Roman"/>
          <w:b/>
          <w:i/>
          <w:color w:val="3C3C3C"/>
          <w:sz w:val="21"/>
        </w:rPr>
        <w:t>Zero-Division and Undefined Handling Conventions</w:t>
      </w:r>
    </w:p>
    <w:p>
      <w:pPr>
        <w:spacing w:before="0" w:after="80" w:line="276" w:lineRule="auto"/>
        <w:jc w:val="both"/>
      </w:pPr>
      <w:r>
        <w:t>In bioinformatics benchmark evaluations where models exhibit extreme conservative behavior, situations arise where TP + FP = 0 (no positive predictions). In such instances, precision is mathematically indeterminate (0/0). Across our evaluation scripts and reporting tables:</w:t>
      </w:r>
    </w:p>
    <w:p>
      <w:pPr>
        <w:pStyle w:val="ListBullet"/>
        <w:spacing w:before="0" w:after="60" w:line="276" w:lineRule="auto"/>
      </w:pPr>
      <w:r>
        <w:t xml:space="preserve">If TP = 0 and FP = 0, precision is reported as </w:t>
      </w:r>
      <w:r>
        <w:rPr>
          <w:b/>
        </w:rPr>
        <w:t>Undefined</w:t>
      </w:r>
      <w:r>
        <w:t xml:space="preserve"> (or null in JSON artifacts), and F_1-score is mathematically </w:t>
      </w:r>
      <w:r>
        <w:rPr>
          <w:b/>
        </w:rPr>
        <w:t>Undefined</w:t>
      </w:r>
      <w:r>
        <w:t>.</w:t>
      </w:r>
    </w:p>
    <w:p>
      <w:pPr>
        <w:pStyle w:val="ListBullet"/>
        <w:spacing w:before="0" w:after="60" w:line="276" w:lineRule="auto"/>
      </w:pPr>
      <w:r>
        <w:t>If FP &gt; 0 but TP = 0 (as in Task 2 for ESM-2), Precision is strictly 0.0000, Recall is 0.0000, and F_1-score is strictly 0.0000.</w:t>
      </w:r>
    </w:p>
    <w:p>
      <w:pPr>
        <w:keepNext/>
        <w:spacing w:before="320" w:after="80"/>
        <w:jc w:val="left"/>
      </w:pPr>
      <w:r>
        <w:rPr>
          <w:rFonts w:ascii="Times New Roman" w:hAnsi="Times New Roman"/>
          <w:b/>
          <w:color w:val="102C57"/>
          <w:sz w:val="25"/>
        </w:rPr>
        <w:t>VI. Experimental Results and Diagnostic Evaluation</w:t>
      </w:r>
    </w:p>
    <w:p>
      <w:pPr>
        <w:spacing w:before="0" w:after="80" w:line="276" w:lineRule="auto"/>
        <w:jc w:val="both"/>
      </w:pPr>
      <w:r>
        <w:t>All reported numerical results were audited against machine-readable evaluation artifacts (</w:t>
      </w:r>
      <w:r>
        <w:rPr>
          <w:rFonts w:ascii="Consolas" w:hAnsi="Consolas"/>
          <w:color w:val="A02828"/>
          <w:sz w:val="19"/>
        </w:rPr>
        <w:t>artifacts/evaluation_report_v2.json</w:t>
      </w:r>
      <w:r>
        <w:t xml:space="preserve"> and </w:t>
      </w:r>
      <w:r>
        <w:rPr>
          <w:rFonts w:ascii="Consolas" w:hAnsi="Consolas"/>
          <w:color w:val="A02828"/>
          <w:sz w:val="19"/>
        </w:rPr>
        <w:t>artifacts/evaluation_summary_v2.csv</w:t>
      </w:r>
      <w:r>
        <w:t>) and verified through executable test suites (</w:t>
      </w:r>
      <w:r>
        <w:rPr>
          <w:rFonts w:ascii="Consolas" w:hAnsi="Consolas"/>
          <w:color w:val="A02828"/>
          <w:sz w:val="19"/>
        </w:rPr>
        <w:t>tests/test_evaluation_v2.py</w:t>
      </w:r>
      <w:r>
        <w:t>).</w:t>
      </w:r>
    </w:p>
    <w:p>
      <w:pPr>
        <w:keepNext/>
        <w:spacing w:before="200" w:after="60"/>
        <w:jc w:val="left"/>
      </w:pPr>
      <w:r>
        <w:rPr>
          <w:rFonts w:ascii="Times New Roman" w:hAnsi="Times New Roman"/>
          <w:b/>
          <w:color w:val="1F4E79"/>
          <w:sz w:val="22"/>
        </w:rPr>
        <w:t>A. Overall Independent Test Evaluation</w:t>
      </w:r>
    </w:p>
    <w:p>
      <w:pPr>
        <w:spacing w:before="0" w:after="80" w:line="276" w:lineRule="auto"/>
        <w:jc w:val="both"/>
      </w:pPr>
      <w:r>
        <w:t>The primary comparative evaluation was conducted on the independent test set (N=21: 12 ground-truth contradictions, 9 ground-truth controls). Component thresholds were fixed at values calibrated exclusively on the calibration set: τ_sim = 0.4000, τ_emb = 0.1814, τ_feat = 0.3000, and ensemble review priority cutoff τ_priority = 0.4000. The audited performance results are presented in Table II.</w:t>
      </w:r>
    </w:p>
    <w:p>
      <w:pPr>
        <w:keepNext/>
        <w:spacing w:before="240" w:after="40"/>
        <w:jc w:val="center"/>
      </w:pPr>
      <w:r>
        <w:rPr>
          <w:rFonts w:ascii="Times New Roman" w:hAnsi="Times New Roman"/>
          <w:b/>
          <w:color w:val="102C57"/>
          <w:sz w:val="20"/>
        </w:rPr>
        <w:t>TABLE II</w:t>
      </w:r>
    </w:p>
    <w:p>
      <w:pPr>
        <w:spacing w:before="0" w:after="80" w:line="276" w:lineRule="auto"/>
        <w:jc w:val="both"/>
      </w:pPr>
      <w:r>
        <w:t>AUDITED INDEPENDENT TEST PERFORMANCE (N = 21: 12 Positives, 9 Negatives)</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936"/>
        <w:gridCol w:w="936"/>
        <w:gridCol w:w="936"/>
        <w:gridCol w:w="936"/>
        <w:gridCol w:w="936"/>
        <w:gridCol w:w="936"/>
        <w:gridCol w:w="936"/>
        <w:gridCol w:w="936"/>
        <w:gridCol w:w="936"/>
        <w:gridCol w:w="936"/>
      </w:tblGrid>
      <w:tr>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Method / Modality</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TP</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FP</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TN</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FN</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Precision</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Recall</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F_1-Score</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Specificity</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Accuracy</w:t>
            </w:r>
          </w:p>
        </w:tc>
      </w:tr>
      <w:tr>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Sequence Similarity Baseline</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6</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2</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7</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6</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0.7500</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0.5000</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0.6000</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0.7778</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0.6190</w:t>
            </w:r>
          </w:p>
        </w:tc>
      </w:tr>
      <w:tr>
        <w:tc>
          <w:tcPr>
            <w:tcW w:type="dxa" w:w="936"/>
            <w:shd w:fill="F9FAFC"/>
            <w:tcMar>
              <w:top w:w="100" w:type="dxa"/>
              <w:bottom w:w="100" w:type="dxa"/>
              <w:left w:w="140" w:type="dxa"/>
              <w:right w:w="140" w:type="dxa"/>
            </w:tcMar>
            <w:vAlign w:val="center"/>
          </w:tcPr>
          <w:p>
            <w:pPr>
              <w:spacing w:after="0"/>
              <w:jc w:val="left"/>
            </w:pPr>
            <w:r>
              <w:rPr>
                <w:rFonts w:ascii="Times New Roman" w:hAnsi="Times New Roman"/>
                <w:sz w:val="18"/>
              </w:rPr>
              <w:t>ESM-2 Embedding Anomaly</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2</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1</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8</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10</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0.6667</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0.1667</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0.2667</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0.8889</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0.4762</w:t>
            </w:r>
          </w:p>
        </w:tc>
      </w:tr>
      <w:tr>
        <w:tc>
          <w:tcPr>
            <w:tcW w:type="dxa" w:w="936"/>
            <w:shd w:fill="FFFFFF"/>
            <w:tcMar>
              <w:top w:w="100" w:type="dxa"/>
              <w:bottom w:w="100" w:type="dxa"/>
              <w:left w:w="140" w:type="dxa"/>
              <w:right w:w="140" w:type="dxa"/>
            </w:tcMar>
            <w:vAlign w:val="center"/>
          </w:tcPr>
          <w:p>
            <w:pPr>
              <w:spacing w:after="0"/>
              <w:jc w:val="left"/>
            </w:pPr>
            <w:r>
              <w:rPr>
                <w:rFonts w:ascii="Times New Roman" w:hAnsi="Times New Roman"/>
                <w:sz w:val="18"/>
              </w:rPr>
              <w:t>Kinase Catalytic Features</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1</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0</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9</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11</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1.0000</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0.0833</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0.1538</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1.0000</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0.4762</w:t>
            </w:r>
          </w:p>
        </w:tc>
      </w:tr>
      <w:tr>
        <w:tc>
          <w:tcPr>
            <w:tcW w:type="dxa" w:w="936"/>
            <w:shd w:fill="F9FAFC"/>
            <w:tcMar>
              <w:top w:w="100" w:type="dxa"/>
              <w:bottom w:w="100" w:type="dxa"/>
              <w:left w:w="140" w:type="dxa"/>
              <w:right w:w="140" w:type="dxa"/>
            </w:tcMar>
            <w:vAlign w:val="center"/>
          </w:tcPr>
          <w:p>
            <w:pPr>
              <w:spacing w:after="0"/>
              <w:jc w:val="left"/>
            </w:pPr>
            <w:r>
              <w:rPr>
                <w:rFonts w:ascii="Times New Roman" w:hAnsi="Times New Roman"/>
                <w:b/>
                <w:sz w:val="18"/>
              </w:rPr>
              <w:t>Evidence-Aware Ensemble</w:t>
            </w:r>
          </w:p>
        </w:tc>
        <w:tc>
          <w:tcPr>
            <w:tcW w:type="dxa" w:w="936"/>
            <w:shd w:fill="F9FAFC"/>
            <w:tcMar>
              <w:top w:w="100" w:type="dxa"/>
              <w:bottom w:w="100" w:type="dxa"/>
              <w:left w:w="140" w:type="dxa"/>
              <w:right w:w="140" w:type="dxa"/>
            </w:tcMar>
            <w:vAlign w:val="center"/>
          </w:tcPr>
          <w:p>
            <w:pPr>
              <w:spacing w:after="0"/>
              <w:jc w:val="left"/>
            </w:pPr>
            <w:r>
              <w:rPr>
                <w:rFonts w:ascii="Times New Roman" w:hAnsi="Times New Roman"/>
                <w:b/>
                <w:sz w:val="18"/>
              </w:rPr>
              <w:t>2</w:t>
            </w:r>
          </w:p>
        </w:tc>
        <w:tc>
          <w:tcPr>
            <w:tcW w:type="dxa" w:w="936"/>
            <w:shd w:fill="F9FAFC"/>
            <w:tcMar>
              <w:top w:w="100" w:type="dxa"/>
              <w:bottom w:w="100" w:type="dxa"/>
              <w:left w:w="140" w:type="dxa"/>
              <w:right w:w="140" w:type="dxa"/>
            </w:tcMar>
            <w:vAlign w:val="center"/>
          </w:tcPr>
          <w:p>
            <w:pPr>
              <w:spacing w:after="0"/>
              <w:jc w:val="left"/>
            </w:pPr>
            <w:r>
              <w:rPr>
                <w:rFonts w:ascii="Times New Roman" w:hAnsi="Times New Roman"/>
                <w:b/>
                <w:sz w:val="18"/>
              </w:rPr>
              <w:t>1</w:t>
            </w:r>
          </w:p>
        </w:tc>
        <w:tc>
          <w:tcPr>
            <w:tcW w:type="dxa" w:w="936"/>
            <w:shd w:fill="F9FAFC"/>
            <w:tcMar>
              <w:top w:w="100" w:type="dxa"/>
              <w:bottom w:w="100" w:type="dxa"/>
              <w:left w:w="140" w:type="dxa"/>
              <w:right w:w="140" w:type="dxa"/>
            </w:tcMar>
            <w:vAlign w:val="center"/>
          </w:tcPr>
          <w:p>
            <w:pPr>
              <w:spacing w:after="0"/>
              <w:jc w:val="left"/>
            </w:pPr>
            <w:r>
              <w:rPr>
                <w:rFonts w:ascii="Times New Roman" w:hAnsi="Times New Roman"/>
                <w:b/>
                <w:sz w:val="18"/>
              </w:rPr>
              <w:t>8</w:t>
            </w:r>
          </w:p>
        </w:tc>
        <w:tc>
          <w:tcPr>
            <w:tcW w:type="dxa" w:w="936"/>
            <w:shd w:fill="F9FAFC"/>
            <w:tcMar>
              <w:top w:w="100" w:type="dxa"/>
              <w:bottom w:w="100" w:type="dxa"/>
              <w:left w:w="140" w:type="dxa"/>
              <w:right w:w="140" w:type="dxa"/>
            </w:tcMar>
            <w:vAlign w:val="center"/>
          </w:tcPr>
          <w:p>
            <w:pPr>
              <w:spacing w:after="0"/>
              <w:jc w:val="left"/>
            </w:pPr>
            <w:r>
              <w:rPr>
                <w:rFonts w:ascii="Times New Roman" w:hAnsi="Times New Roman"/>
                <w:b/>
                <w:sz w:val="18"/>
              </w:rPr>
              <w:t>10</w:t>
            </w:r>
          </w:p>
        </w:tc>
        <w:tc>
          <w:tcPr>
            <w:tcW w:type="dxa" w:w="936"/>
            <w:shd w:fill="F9FAFC"/>
            <w:tcMar>
              <w:top w:w="100" w:type="dxa"/>
              <w:bottom w:w="100" w:type="dxa"/>
              <w:left w:w="140" w:type="dxa"/>
              <w:right w:w="140" w:type="dxa"/>
            </w:tcMar>
            <w:vAlign w:val="center"/>
          </w:tcPr>
          <w:p>
            <w:pPr>
              <w:spacing w:after="0"/>
              <w:jc w:val="left"/>
            </w:pPr>
            <w:r>
              <w:rPr>
                <w:rFonts w:ascii="Times New Roman" w:hAnsi="Times New Roman"/>
                <w:b/>
                <w:sz w:val="18"/>
              </w:rPr>
              <w:t>0.6667</w:t>
            </w:r>
          </w:p>
        </w:tc>
        <w:tc>
          <w:tcPr>
            <w:tcW w:type="dxa" w:w="936"/>
            <w:shd w:fill="F9FAFC"/>
            <w:tcMar>
              <w:top w:w="100" w:type="dxa"/>
              <w:bottom w:w="100" w:type="dxa"/>
              <w:left w:w="140" w:type="dxa"/>
              <w:right w:w="140" w:type="dxa"/>
            </w:tcMar>
            <w:vAlign w:val="center"/>
          </w:tcPr>
          <w:p>
            <w:pPr>
              <w:spacing w:after="0"/>
              <w:jc w:val="left"/>
            </w:pPr>
            <w:r>
              <w:rPr>
                <w:rFonts w:ascii="Times New Roman" w:hAnsi="Times New Roman"/>
                <w:b/>
                <w:sz w:val="18"/>
              </w:rPr>
              <w:t>0.1667</w:t>
            </w:r>
          </w:p>
        </w:tc>
        <w:tc>
          <w:tcPr>
            <w:tcW w:type="dxa" w:w="936"/>
            <w:shd w:fill="F9FAFC"/>
            <w:tcMar>
              <w:top w:w="100" w:type="dxa"/>
              <w:bottom w:w="100" w:type="dxa"/>
              <w:left w:w="140" w:type="dxa"/>
              <w:right w:w="140" w:type="dxa"/>
            </w:tcMar>
            <w:vAlign w:val="center"/>
          </w:tcPr>
          <w:p>
            <w:pPr>
              <w:spacing w:after="0"/>
              <w:jc w:val="left"/>
            </w:pPr>
            <w:r>
              <w:rPr>
                <w:rFonts w:ascii="Times New Roman" w:hAnsi="Times New Roman"/>
                <w:b/>
                <w:sz w:val="18"/>
              </w:rPr>
              <w:t>0.2667</w:t>
            </w:r>
          </w:p>
        </w:tc>
        <w:tc>
          <w:tcPr>
            <w:tcW w:type="dxa" w:w="936"/>
            <w:shd w:fill="F9FAFC"/>
            <w:tcMar>
              <w:top w:w="100" w:type="dxa"/>
              <w:bottom w:w="100" w:type="dxa"/>
              <w:left w:w="140" w:type="dxa"/>
              <w:right w:w="140" w:type="dxa"/>
            </w:tcMar>
            <w:vAlign w:val="center"/>
          </w:tcPr>
          <w:p>
            <w:pPr>
              <w:spacing w:after="0"/>
              <w:jc w:val="left"/>
            </w:pPr>
            <w:r>
              <w:rPr>
                <w:rFonts w:ascii="Times New Roman" w:hAnsi="Times New Roman"/>
                <w:b/>
                <w:sz w:val="18"/>
              </w:rPr>
              <w:t>0.8889</w:t>
            </w:r>
          </w:p>
        </w:tc>
        <w:tc>
          <w:tcPr>
            <w:tcW w:type="dxa" w:w="936"/>
            <w:shd w:fill="F9FAFC"/>
            <w:tcMar>
              <w:top w:w="100" w:type="dxa"/>
              <w:bottom w:w="100" w:type="dxa"/>
              <w:left w:w="140" w:type="dxa"/>
              <w:right w:w="140" w:type="dxa"/>
            </w:tcMar>
            <w:vAlign w:val="center"/>
          </w:tcPr>
          <w:p>
            <w:pPr>
              <w:spacing w:after="0"/>
              <w:jc w:val="left"/>
            </w:pPr>
            <w:r>
              <w:rPr>
                <w:rFonts w:ascii="Times New Roman" w:hAnsi="Times New Roman"/>
                <w:b/>
                <w:sz w:val="18"/>
              </w:rPr>
              <w:t>0.4762</w:t>
            </w:r>
          </w:p>
        </w:tc>
      </w:tr>
    </w:tbl>
    <w:p>
      <w:pPr>
        <w:spacing w:after="120" w:line="240" w:lineRule="auto"/>
      </w:pPr>
    </w:p>
    <w:p>
      <w:pPr>
        <w:keepNext/>
        <w:spacing w:before="120" w:after="40"/>
        <w:jc w:val="left"/>
      </w:pPr>
      <w:r>
        <w:rPr>
          <w:rFonts w:ascii="Times New Roman" w:hAnsi="Times New Roman"/>
          <w:b/>
          <w:i/>
          <w:color w:val="3C3C3C"/>
          <w:sz w:val="21"/>
        </w:rPr>
        <w:t>Key Empirical Finding</w:t>
      </w:r>
    </w:p>
    <w:p>
      <w:pPr>
        <w:spacing w:before="0" w:after="80" w:line="276" w:lineRule="auto"/>
        <w:jc w:val="both"/>
      </w:pPr>
      <w:r>
        <w:t>The global sequence similarity baseline achieved the highest overall F_1-score (0.6000), markedly outperforming the multi-evidence ensemble (F_1 = 0.2667) and the ESM-2 transformer (F_1 = 0.2667). While the kinase catalytic feature modality achieved perfect precision (1.0000) and perfect specificity (1.0000), its recall was severely restricted (0.0833), detecting only 1 out of 12 true contradictions.</w:t>
      </w:r>
    </w:p>
    <w:p>
      <w:pPr>
        <w:keepNext/>
        <w:spacing w:before="200" w:after="60"/>
        <w:jc w:val="left"/>
      </w:pPr>
      <w:r>
        <w:rPr>
          <w:rFonts w:ascii="Times New Roman" w:hAnsi="Times New Roman"/>
          <w:b/>
          <w:color w:val="1F4E79"/>
          <w:sz w:val="22"/>
        </w:rPr>
        <w:t>B. Task 1: Synthetic Label Contradiction Detection</w:t>
      </w:r>
    </w:p>
    <w:p>
      <w:pPr>
        <w:spacing w:before="0" w:after="80" w:line="276" w:lineRule="auto"/>
        <w:jc w:val="both"/>
      </w:pPr>
      <w:r>
        <w:t>Task 1 evaluated the detection of swapped kinase functional classifications (N=13: 4 label swaps, 9 negative controls). Results are detailed in Table III.</w:t>
      </w:r>
    </w:p>
    <w:p>
      <w:pPr>
        <w:keepNext/>
        <w:spacing w:before="240" w:after="40"/>
        <w:jc w:val="center"/>
      </w:pPr>
      <w:r>
        <w:rPr>
          <w:rFonts w:ascii="Times New Roman" w:hAnsi="Times New Roman"/>
          <w:b/>
          <w:color w:val="102C57"/>
          <w:sz w:val="20"/>
        </w:rPr>
        <w:t>TABLE III</w:t>
      </w:r>
    </w:p>
    <w:p>
      <w:pPr>
        <w:spacing w:before="0" w:after="80" w:line="276" w:lineRule="auto"/>
        <w:jc w:val="both"/>
      </w:pPr>
      <w:r>
        <w:t>TASK 1 INDEPENDENT PERFORMANCE: LABEL CONTRADICTIONS (N = 13: 4 Swaps, 9 Controls)</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936"/>
        <w:gridCol w:w="936"/>
        <w:gridCol w:w="936"/>
        <w:gridCol w:w="936"/>
        <w:gridCol w:w="936"/>
        <w:gridCol w:w="936"/>
        <w:gridCol w:w="936"/>
        <w:gridCol w:w="936"/>
        <w:gridCol w:w="936"/>
        <w:gridCol w:w="936"/>
      </w:tblGrid>
      <w:tr>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Method / Modality</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TP</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FP</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TN</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FN</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Precision</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Recall</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F_1-Score</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Specificity</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Accuracy</w:t>
            </w:r>
          </w:p>
        </w:tc>
      </w:tr>
      <w:tr>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Sequence Similarity</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3</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2</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7</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1</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0.6000</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0.7500</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0.6667</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0.7778</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0.7692</w:t>
            </w:r>
          </w:p>
        </w:tc>
      </w:tr>
      <w:tr>
        <w:tc>
          <w:tcPr>
            <w:tcW w:type="dxa" w:w="936"/>
            <w:shd w:fill="F9FAFC"/>
            <w:tcMar>
              <w:top w:w="100" w:type="dxa"/>
              <w:bottom w:w="100" w:type="dxa"/>
              <w:left w:w="140" w:type="dxa"/>
              <w:right w:w="140" w:type="dxa"/>
            </w:tcMar>
            <w:vAlign w:val="center"/>
          </w:tcPr>
          <w:p>
            <w:pPr>
              <w:spacing w:after="0"/>
              <w:jc w:val="left"/>
            </w:pPr>
            <w:r>
              <w:rPr>
                <w:rFonts w:ascii="Times New Roman" w:hAnsi="Times New Roman"/>
                <w:sz w:val="18"/>
              </w:rPr>
              <w:t>ESM-2 Embedding Anomaly</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2</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1</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8</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2</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0.6667</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0.5000</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0.5714</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0.8889</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0.7692</w:t>
            </w:r>
          </w:p>
        </w:tc>
      </w:tr>
      <w:tr>
        <w:tc>
          <w:tcPr>
            <w:tcW w:type="dxa" w:w="936"/>
            <w:shd w:fill="FFFFFF"/>
            <w:tcMar>
              <w:top w:w="100" w:type="dxa"/>
              <w:bottom w:w="100" w:type="dxa"/>
              <w:left w:w="140" w:type="dxa"/>
              <w:right w:w="140" w:type="dxa"/>
            </w:tcMar>
            <w:vAlign w:val="center"/>
          </w:tcPr>
          <w:p>
            <w:pPr>
              <w:spacing w:after="0"/>
              <w:jc w:val="left"/>
            </w:pPr>
            <w:r>
              <w:rPr>
                <w:rFonts w:ascii="Times New Roman" w:hAnsi="Times New Roman"/>
                <w:sz w:val="18"/>
              </w:rPr>
              <w:t>Kinase Catalytic Features</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0</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0</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9</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4</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sz w:val="18"/>
              </w:rPr>
              <w:t>Undefined</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0.0000</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sz w:val="18"/>
              </w:rPr>
              <w:t>Undefined</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1.0000</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0.6923</w:t>
            </w:r>
          </w:p>
        </w:tc>
      </w:tr>
      <w:tr>
        <w:tc>
          <w:tcPr>
            <w:tcW w:type="dxa" w:w="936"/>
            <w:shd w:fill="F9FAFC"/>
            <w:tcMar>
              <w:top w:w="100" w:type="dxa"/>
              <w:bottom w:w="100" w:type="dxa"/>
              <w:left w:w="140" w:type="dxa"/>
              <w:right w:w="140" w:type="dxa"/>
            </w:tcMar>
            <w:vAlign w:val="center"/>
          </w:tcPr>
          <w:p>
            <w:pPr>
              <w:spacing w:after="0"/>
              <w:jc w:val="left"/>
            </w:pPr>
            <w:r>
              <w:rPr>
                <w:rFonts w:ascii="Times New Roman" w:hAnsi="Times New Roman"/>
                <w:sz w:val="18"/>
              </w:rPr>
              <w:t>Evidence-Aware Ensemble</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1</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8</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4</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0.0000</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0.0000</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0.0000</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0.8889</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0.6154</w:t>
            </w:r>
          </w:p>
        </w:tc>
      </w:tr>
    </w:tbl>
    <w:p>
      <w:pPr>
        <w:spacing w:after="120" w:line="240" w:lineRule="auto"/>
      </w:pPr>
    </w:p>
    <w:p>
      <w:pPr>
        <w:spacing w:before="0" w:after="80" w:line="276" w:lineRule="auto"/>
        <w:jc w:val="both"/>
      </w:pPr>
      <w:r>
        <w:t>In Task 1, sequence similarity achieved the highest recall (0.7500) and F_1-score (0.6667). ESM-2 embedding anomaly scoring showed moderate efficacy (F_1 = 0.5714, detecting 2 of 4 swaps with 1 false positive). Crucially, the Kinase Features modality correctly predicted zero positives (TP=0, FP=0): because label swaps alter functional annotations without corrupting catalytic sequence motifs, the motif engine appropriately identified all 9 controls and all 4 swapped sequences as structurally intact, resulting in mathematically undefined precision and F_1. The ensemble failed to flag any label swaps (TP=0, FN=4) because intact motif scores (A_{feat} ≈ 0.0) and high experimental provenance diluted the total score below the 0.40 priority threshold.</w:t>
      </w:r>
    </w:p>
    <w:p>
      <w:pPr>
        <w:keepNext/>
        <w:spacing w:before="200" w:after="60"/>
        <w:jc w:val="left"/>
      </w:pPr>
      <w:r>
        <w:rPr>
          <w:rFonts w:ascii="Times New Roman" w:hAnsi="Times New Roman"/>
          <w:b/>
          <w:color w:val="1F4E79"/>
          <w:sz w:val="22"/>
        </w:rPr>
        <w:t>C. Task 2: Sequence Perturbation and Motif Knockout Detection</w:t>
      </w:r>
    </w:p>
    <w:p>
      <w:pPr>
        <w:spacing w:before="0" w:after="80" w:line="276" w:lineRule="auto"/>
        <w:jc w:val="both"/>
      </w:pPr>
      <w:r>
        <w:t>Task 2 evaluated sensitivity to localized catalytic active-site corruptions (N=17: 8 motif knockouts, 9 negative controls). Results are detailed in Table IV.</w:t>
      </w:r>
    </w:p>
    <w:p>
      <w:pPr>
        <w:keepNext/>
        <w:spacing w:before="240" w:after="40"/>
        <w:jc w:val="center"/>
      </w:pPr>
      <w:r>
        <w:rPr>
          <w:rFonts w:ascii="Times New Roman" w:hAnsi="Times New Roman"/>
          <w:b/>
          <w:color w:val="102C57"/>
          <w:sz w:val="20"/>
        </w:rPr>
        <w:t>TABLE IV</w:t>
      </w:r>
    </w:p>
    <w:p>
      <w:pPr>
        <w:spacing w:before="0" w:after="80" w:line="276" w:lineRule="auto"/>
        <w:jc w:val="both"/>
      </w:pPr>
      <w:r>
        <w:t>TASK 2 INDEPENDENT PERFORMANCE: SEQUENCE PERTURBATIONS (N = 17: 8 Knockouts, 9 Controls)</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936"/>
        <w:gridCol w:w="936"/>
        <w:gridCol w:w="936"/>
        <w:gridCol w:w="936"/>
        <w:gridCol w:w="936"/>
        <w:gridCol w:w="936"/>
        <w:gridCol w:w="936"/>
        <w:gridCol w:w="936"/>
        <w:gridCol w:w="936"/>
        <w:gridCol w:w="936"/>
      </w:tblGrid>
      <w:tr>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Method / Modality</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TP</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FP</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TN</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FN</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Precision</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Recall</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F_1-Score</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Specificity</w:t>
            </w:r>
          </w:p>
        </w:tc>
        <w:tc>
          <w:tcPr>
            <w:tcW w:type="dxa" w:w="936"/>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Accuracy</w:t>
            </w:r>
          </w:p>
        </w:tc>
      </w:tr>
      <w:tr>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Sequence Similarity</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3</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2</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7</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5</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0.6000</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0.3750</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0.4615</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0.7778</w:t>
            </w:r>
          </w:p>
        </w:tc>
        <w:tc>
          <w:tcPr>
            <w:tcW w:type="dxa" w:w="936"/>
            <w:shd w:fill="FFFFFF"/>
            <w:tcMar>
              <w:top w:w="100" w:type="dxa"/>
              <w:bottom w:w="100" w:type="dxa"/>
              <w:left w:w="140" w:type="dxa"/>
              <w:right w:w="140" w:type="dxa"/>
            </w:tcMar>
            <w:vAlign w:val="center"/>
          </w:tcPr>
          <w:p>
            <w:pPr>
              <w:spacing w:after="0"/>
              <w:jc w:val="left"/>
            </w:pPr>
            <w:r>
              <w:rPr>
                <w:rFonts w:ascii="Times New Roman" w:hAnsi="Times New Roman"/>
                <w:b/>
                <w:sz w:val="18"/>
              </w:rPr>
              <w:t>0.5882</w:t>
            </w:r>
          </w:p>
        </w:tc>
      </w:tr>
      <w:tr>
        <w:tc>
          <w:tcPr>
            <w:tcW w:type="dxa" w:w="936"/>
            <w:shd w:fill="F9FAFC"/>
            <w:tcMar>
              <w:top w:w="100" w:type="dxa"/>
              <w:bottom w:w="100" w:type="dxa"/>
              <w:left w:w="140" w:type="dxa"/>
              <w:right w:w="140" w:type="dxa"/>
            </w:tcMar>
            <w:vAlign w:val="center"/>
          </w:tcPr>
          <w:p>
            <w:pPr>
              <w:spacing w:after="0"/>
              <w:jc w:val="left"/>
            </w:pPr>
            <w:r>
              <w:rPr>
                <w:rFonts w:ascii="Times New Roman" w:hAnsi="Times New Roman"/>
                <w:sz w:val="18"/>
              </w:rPr>
              <w:t>Evidence-Aware Ensemble</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2</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1</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8</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6</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0.6667</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0.2500</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0.3636</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0.8889</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0.5882</w:t>
            </w:r>
          </w:p>
        </w:tc>
      </w:tr>
      <w:tr>
        <w:tc>
          <w:tcPr>
            <w:tcW w:type="dxa" w:w="936"/>
            <w:shd w:fill="FFFFFF"/>
            <w:tcMar>
              <w:top w:w="100" w:type="dxa"/>
              <w:bottom w:w="100" w:type="dxa"/>
              <w:left w:w="140" w:type="dxa"/>
              <w:right w:w="140" w:type="dxa"/>
            </w:tcMar>
            <w:vAlign w:val="center"/>
          </w:tcPr>
          <w:p>
            <w:pPr>
              <w:spacing w:after="0"/>
              <w:jc w:val="left"/>
            </w:pPr>
            <w:r>
              <w:rPr>
                <w:rFonts w:ascii="Times New Roman" w:hAnsi="Times New Roman"/>
                <w:sz w:val="18"/>
              </w:rPr>
              <w:t>Kinase Catalytic Features</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1</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0</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9</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7</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1.0000</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0.1250</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0.2222</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1.0000</w:t>
            </w:r>
          </w:p>
        </w:tc>
        <w:tc>
          <w:tcPr>
            <w:tcW w:type="dxa" w:w="936"/>
            <w:shd w:fill="FFFFFF"/>
            <w:tcMar>
              <w:top w:w="100" w:type="dxa"/>
              <w:bottom w:w="100" w:type="dxa"/>
              <w:left w:w="140" w:type="dxa"/>
              <w:right w:w="140" w:type="dxa"/>
            </w:tcMar>
            <w:vAlign w:val="center"/>
          </w:tcPr>
          <w:p>
            <w:pPr>
              <w:spacing w:after="0"/>
              <w:jc w:val="center"/>
            </w:pPr>
            <w:r>
              <w:rPr>
                <w:rFonts w:ascii="Times New Roman" w:hAnsi="Times New Roman"/>
                <w:sz w:val="18"/>
              </w:rPr>
              <w:t>0.5294</w:t>
            </w:r>
          </w:p>
        </w:tc>
      </w:tr>
      <w:tr>
        <w:tc>
          <w:tcPr>
            <w:tcW w:type="dxa" w:w="936"/>
            <w:shd w:fill="F9FAFC"/>
            <w:tcMar>
              <w:top w:w="100" w:type="dxa"/>
              <w:bottom w:w="100" w:type="dxa"/>
              <w:left w:w="140" w:type="dxa"/>
              <w:right w:w="140" w:type="dxa"/>
            </w:tcMar>
            <w:vAlign w:val="center"/>
          </w:tcPr>
          <w:p>
            <w:pPr>
              <w:spacing w:after="0"/>
              <w:jc w:val="left"/>
            </w:pPr>
            <w:r>
              <w:rPr>
                <w:rFonts w:ascii="Times New Roman" w:hAnsi="Times New Roman"/>
                <w:sz w:val="18"/>
              </w:rPr>
              <w:t>ESM-2 Embedding Anomaly</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1</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8</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8</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0.0000</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0.0000</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0.0000</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0.8889</w:t>
            </w:r>
          </w:p>
        </w:tc>
        <w:tc>
          <w:tcPr>
            <w:tcW w:type="dxa" w:w="936"/>
            <w:shd w:fill="F9FAFC"/>
            <w:tcMar>
              <w:top w:w="100" w:type="dxa"/>
              <w:bottom w:w="100" w:type="dxa"/>
              <w:left w:w="140" w:type="dxa"/>
              <w:right w:w="140" w:type="dxa"/>
            </w:tcMar>
            <w:vAlign w:val="center"/>
          </w:tcPr>
          <w:p>
            <w:pPr>
              <w:spacing w:after="0"/>
              <w:jc w:val="center"/>
            </w:pPr>
            <w:r>
              <w:rPr>
                <w:rFonts w:ascii="Times New Roman" w:hAnsi="Times New Roman"/>
                <w:sz w:val="18"/>
              </w:rPr>
              <w:t>0.4706</w:t>
            </w:r>
          </w:p>
        </w:tc>
      </w:tr>
    </w:tbl>
    <w:p>
      <w:pPr>
        <w:spacing w:after="120" w:line="240" w:lineRule="auto"/>
      </w:pPr>
    </w:p>
    <w:p>
      <w:pPr>
        <w:spacing w:before="0" w:after="80" w:line="276" w:lineRule="auto"/>
        <w:jc w:val="both"/>
      </w:pPr>
      <w:r>
        <w:t xml:space="preserve">In Task 2, sequence similarity again achieved the highest F_1-score (0.4615), followed by the ensemble (F_1 = 0.3636). Most notably, ESM-2 anomaly scoring yielded </w:t>
      </w:r>
      <w:r>
        <w:rPr>
          <w:b/>
        </w:rPr>
        <w:t>zero true positives</w:t>
      </w:r>
      <w:r>
        <w:t xml:space="preserve"> (TP=0, FN=8) alongside 1 false positive, resulting in a precision, recall, and F_1-score of exactly 0.0000.</w:t>
      </w:r>
    </w:p>
    <w:p>
      <w:pPr>
        <w:keepNext/>
        <w:spacing w:before="200" w:after="60"/>
        <w:jc w:val="left"/>
      </w:pPr>
      <w:r>
        <w:rPr>
          <w:rFonts w:ascii="Times New Roman" w:hAnsi="Times New Roman"/>
          <w:b/>
          <w:color w:val="1F4E79"/>
          <w:sz w:val="22"/>
        </w:rPr>
        <w:t>D. ESM-2 Diagnostic Sweep and Sensitivity Analysis</w:t>
      </w:r>
    </w:p>
    <w:p>
      <w:pPr>
        <w:spacing w:before="0" w:after="80" w:line="276" w:lineRule="auto"/>
        <w:jc w:val="both"/>
      </w:pPr>
      <w:r>
        <w:t>To investigate why ESM-2 failed to detect localized motif knockouts in Task 2, we conducted a diagnostic threshold sweep across the independent test partition. The empirical results are presented in Table V.</w:t>
      </w:r>
    </w:p>
    <w:p>
      <w:pPr>
        <w:keepNext/>
        <w:spacing w:before="240" w:after="40"/>
        <w:jc w:val="center"/>
      </w:pPr>
      <w:r>
        <w:rPr>
          <w:rFonts w:ascii="Times New Roman" w:hAnsi="Times New Roman"/>
          <w:b/>
          <w:color w:val="102C57"/>
          <w:sz w:val="20"/>
        </w:rPr>
        <w:t>TABLE V</w:t>
      </w:r>
    </w:p>
    <w:p>
      <w:pPr>
        <w:spacing w:before="0" w:after="80" w:line="276" w:lineRule="auto"/>
        <w:jc w:val="both"/>
      </w:pPr>
      <w:r>
        <w:t>ESM-2 INDEPENDENT TEST DIAGNOSTIC SWEEP ACROSS ANOMALY THRESHOLDS (τ)</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1040"/>
        <w:gridCol w:w="1040"/>
        <w:gridCol w:w="1040"/>
        <w:gridCol w:w="1040"/>
        <w:gridCol w:w="1040"/>
        <w:gridCol w:w="1040"/>
        <w:gridCol w:w="1040"/>
        <w:gridCol w:w="1040"/>
        <w:gridCol w:w="1040"/>
      </w:tblGrid>
      <w:tr>
        <w:tc>
          <w:tcPr>
            <w:tcW w:type="dxa" w:w="1040"/>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Threshold (τ)</w:t>
            </w:r>
          </w:p>
        </w:tc>
        <w:tc>
          <w:tcPr>
            <w:tcW w:type="dxa" w:w="1040"/>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Positive Predictions (TP+FP)</w:t>
            </w:r>
          </w:p>
        </w:tc>
        <w:tc>
          <w:tcPr>
            <w:tcW w:type="dxa" w:w="1040"/>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TP</w:t>
            </w:r>
          </w:p>
        </w:tc>
        <w:tc>
          <w:tcPr>
            <w:tcW w:type="dxa" w:w="1040"/>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FP</w:t>
            </w:r>
          </w:p>
        </w:tc>
        <w:tc>
          <w:tcPr>
            <w:tcW w:type="dxa" w:w="1040"/>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TN</w:t>
            </w:r>
          </w:p>
        </w:tc>
        <w:tc>
          <w:tcPr>
            <w:tcW w:type="dxa" w:w="1040"/>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FN</w:t>
            </w:r>
          </w:p>
        </w:tc>
        <w:tc>
          <w:tcPr>
            <w:tcW w:type="dxa" w:w="1040"/>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Precision</w:t>
            </w:r>
          </w:p>
        </w:tc>
        <w:tc>
          <w:tcPr>
            <w:tcW w:type="dxa" w:w="1040"/>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Recall</w:t>
            </w:r>
          </w:p>
        </w:tc>
        <w:tc>
          <w:tcPr>
            <w:tcW w:type="dxa" w:w="1040"/>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F_1-Score</w:t>
            </w:r>
          </w:p>
        </w:tc>
      </w:tr>
      <w:tr>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0.1000</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18</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10</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8</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1</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2</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0.5556</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0.8333</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0.6667</w:t>
            </w:r>
          </w:p>
        </w:tc>
      </w:tr>
      <w:tr>
        <w:tc>
          <w:tcPr>
            <w:tcW w:type="dxa" w:w="1040"/>
            <w:shd w:fill="F9FAFC"/>
            <w:tcMar>
              <w:top w:w="100" w:type="dxa"/>
              <w:bottom w:w="100" w:type="dxa"/>
              <w:left w:w="140" w:type="dxa"/>
              <w:right w:w="140" w:type="dxa"/>
            </w:tcMar>
            <w:vAlign w:val="center"/>
          </w:tcPr>
          <w:p>
            <w:pPr>
              <w:spacing w:after="0"/>
              <w:jc w:val="left"/>
            </w:pPr>
            <w:r>
              <w:rPr>
                <w:rFonts w:ascii="Times New Roman" w:hAnsi="Times New Roman"/>
                <w:b/>
                <w:sz w:val="18"/>
              </w:rPr>
              <w:t>0.1814 (Calibrated)</w:t>
            </w:r>
          </w:p>
        </w:tc>
        <w:tc>
          <w:tcPr>
            <w:tcW w:type="dxa" w:w="1040"/>
            <w:shd w:fill="F9FAFC"/>
            <w:tcMar>
              <w:top w:w="100" w:type="dxa"/>
              <w:bottom w:w="100" w:type="dxa"/>
              <w:left w:w="140" w:type="dxa"/>
              <w:right w:w="140" w:type="dxa"/>
            </w:tcMar>
            <w:vAlign w:val="center"/>
          </w:tcPr>
          <w:p>
            <w:pPr>
              <w:spacing w:after="0"/>
              <w:jc w:val="left"/>
            </w:pPr>
            <w:r>
              <w:rPr>
                <w:rFonts w:ascii="Times New Roman" w:hAnsi="Times New Roman"/>
                <w:b/>
                <w:sz w:val="18"/>
              </w:rPr>
              <w:t>3</w:t>
            </w:r>
          </w:p>
        </w:tc>
        <w:tc>
          <w:tcPr>
            <w:tcW w:type="dxa" w:w="1040"/>
            <w:shd w:fill="F9FAFC"/>
            <w:tcMar>
              <w:top w:w="100" w:type="dxa"/>
              <w:bottom w:w="100" w:type="dxa"/>
              <w:left w:w="140" w:type="dxa"/>
              <w:right w:w="140" w:type="dxa"/>
            </w:tcMar>
            <w:vAlign w:val="center"/>
          </w:tcPr>
          <w:p>
            <w:pPr>
              <w:spacing w:after="0"/>
              <w:jc w:val="left"/>
            </w:pPr>
            <w:r>
              <w:rPr>
                <w:rFonts w:ascii="Times New Roman" w:hAnsi="Times New Roman"/>
                <w:b/>
                <w:sz w:val="18"/>
              </w:rPr>
              <w:t>2</w:t>
            </w:r>
          </w:p>
        </w:tc>
        <w:tc>
          <w:tcPr>
            <w:tcW w:type="dxa" w:w="1040"/>
            <w:shd w:fill="F9FAFC"/>
            <w:tcMar>
              <w:top w:w="100" w:type="dxa"/>
              <w:bottom w:w="100" w:type="dxa"/>
              <w:left w:w="140" w:type="dxa"/>
              <w:right w:w="140" w:type="dxa"/>
            </w:tcMar>
            <w:vAlign w:val="center"/>
          </w:tcPr>
          <w:p>
            <w:pPr>
              <w:spacing w:after="0"/>
              <w:jc w:val="left"/>
            </w:pPr>
            <w:r>
              <w:rPr>
                <w:rFonts w:ascii="Times New Roman" w:hAnsi="Times New Roman"/>
                <w:b/>
                <w:sz w:val="18"/>
              </w:rPr>
              <w:t>1</w:t>
            </w:r>
          </w:p>
        </w:tc>
        <w:tc>
          <w:tcPr>
            <w:tcW w:type="dxa" w:w="1040"/>
            <w:shd w:fill="F9FAFC"/>
            <w:tcMar>
              <w:top w:w="100" w:type="dxa"/>
              <w:bottom w:w="100" w:type="dxa"/>
              <w:left w:w="140" w:type="dxa"/>
              <w:right w:w="140" w:type="dxa"/>
            </w:tcMar>
            <w:vAlign w:val="center"/>
          </w:tcPr>
          <w:p>
            <w:pPr>
              <w:spacing w:after="0"/>
              <w:jc w:val="left"/>
            </w:pPr>
            <w:r>
              <w:rPr>
                <w:rFonts w:ascii="Times New Roman" w:hAnsi="Times New Roman"/>
                <w:b/>
                <w:sz w:val="18"/>
              </w:rPr>
              <w:t>8</w:t>
            </w:r>
          </w:p>
        </w:tc>
        <w:tc>
          <w:tcPr>
            <w:tcW w:type="dxa" w:w="1040"/>
            <w:shd w:fill="F9FAFC"/>
            <w:tcMar>
              <w:top w:w="100" w:type="dxa"/>
              <w:bottom w:w="100" w:type="dxa"/>
              <w:left w:w="140" w:type="dxa"/>
              <w:right w:w="140" w:type="dxa"/>
            </w:tcMar>
            <w:vAlign w:val="center"/>
          </w:tcPr>
          <w:p>
            <w:pPr>
              <w:spacing w:after="0"/>
              <w:jc w:val="left"/>
            </w:pPr>
            <w:r>
              <w:rPr>
                <w:rFonts w:ascii="Times New Roman" w:hAnsi="Times New Roman"/>
                <w:b/>
                <w:sz w:val="18"/>
              </w:rPr>
              <w:t>10</w:t>
            </w:r>
          </w:p>
        </w:tc>
        <w:tc>
          <w:tcPr>
            <w:tcW w:type="dxa" w:w="1040"/>
            <w:shd w:fill="F9FAFC"/>
            <w:tcMar>
              <w:top w:w="100" w:type="dxa"/>
              <w:bottom w:w="100" w:type="dxa"/>
              <w:left w:w="140" w:type="dxa"/>
              <w:right w:w="140" w:type="dxa"/>
            </w:tcMar>
            <w:vAlign w:val="center"/>
          </w:tcPr>
          <w:p>
            <w:pPr>
              <w:spacing w:after="0"/>
              <w:jc w:val="left"/>
            </w:pPr>
            <w:r>
              <w:rPr>
                <w:rFonts w:ascii="Times New Roman" w:hAnsi="Times New Roman"/>
                <w:b/>
                <w:sz w:val="18"/>
              </w:rPr>
              <w:t>0.6667</w:t>
            </w:r>
          </w:p>
        </w:tc>
        <w:tc>
          <w:tcPr>
            <w:tcW w:type="dxa" w:w="1040"/>
            <w:shd w:fill="F9FAFC"/>
            <w:tcMar>
              <w:top w:w="100" w:type="dxa"/>
              <w:bottom w:w="100" w:type="dxa"/>
              <w:left w:w="140" w:type="dxa"/>
              <w:right w:w="140" w:type="dxa"/>
            </w:tcMar>
            <w:vAlign w:val="center"/>
          </w:tcPr>
          <w:p>
            <w:pPr>
              <w:spacing w:after="0"/>
              <w:jc w:val="left"/>
            </w:pPr>
            <w:r>
              <w:rPr>
                <w:rFonts w:ascii="Times New Roman" w:hAnsi="Times New Roman"/>
                <w:b/>
                <w:sz w:val="18"/>
              </w:rPr>
              <w:t>0.1667</w:t>
            </w:r>
          </w:p>
        </w:tc>
        <w:tc>
          <w:tcPr>
            <w:tcW w:type="dxa" w:w="1040"/>
            <w:shd w:fill="F9FAFC"/>
            <w:tcMar>
              <w:top w:w="100" w:type="dxa"/>
              <w:bottom w:w="100" w:type="dxa"/>
              <w:left w:w="140" w:type="dxa"/>
              <w:right w:w="140" w:type="dxa"/>
            </w:tcMar>
            <w:vAlign w:val="center"/>
          </w:tcPr>
          <w:p>
            <w:pPr>
              <w:spacing w:after="0"/>
              <w:jc w:val="left"/>
            </w:pPr>
            <w:r>
              <w:rPr>
                <w:rFonts w:ascii="Times New Roman" w:hAnsi="Times New Roman"/>
                <w:b/>
                <w:sz w:val="18"/>
              </w:rPr>
              <w:t>0.2667</w:t>
            </w:r>
          </w:p>
        </w:tc>
      </w:tr>
      <w:tr>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0.2000</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2</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1</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1</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8</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11</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0.5000</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0.0833</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0.1429</w:t>
            </w:r>
          </w:p>
        </w:tc>
      </w:tr>
      <w:tr>
        <w:tc>
          <w:tcPr>
            <w:tcW w:type="dxa" w:w="1040"/>
            <w:shd w:fill="F9FAFC"/>
            <w:tcMar>
              <w:top w:w="100" w:type="dxa"/>
              <w:bottom w:w="100" w:type="dxa"/>
              <w:left w:w="140" w:type="dxa"/>
              <w:right w:w="140" w:type="dxa"/>
            </w:tcMar>
            <w:vAlign w:val="center"/>
          </w:tcPr>
          <w:p>
            <w:pPr>
              <w:spacing w:after="0"/>
              <w:jc w:val="center"/>
            </w:pPr>
            <w:r>
              <w:rPr>
                <w:rFonts w:ascii="Times New Roman" w:hAnsi="Times New Roman"/>
                <w:sz w:val="18"/>
              </w:rPr>
              <w:t>0.3000</w:t>
            </w:r>
          </w:p>
        </w:tc>
        <w:tc>
          <w:tcPr>
            <w:tcW w:type="dxa" w:w="1040"/>
            <w:shd w:fill="F9FAFC"/>
            <w:tcMar>
              <w:top w:w="100" w:type="dxa"/>
              <w:bottom w:w="100" w:type="dxa"/>
              <w:left w:w="140" w:type="dxa"/>
              <w:right w:w="140" w:type="dxa"/>
            </w:tcMar>
            <w:vAlign w:val="center"/>
          </w:tcPr>
          <w:p>
            <w:pPr>
              <w:spacing w:after="0"/>
              <w:jc w:val="center"/>
            </w:pPr>
            <w:r>
              <w:rPr>
                <w:rFonts w:ascii="Times New Roman" w:hAnsi="Times New Roman"/>
                <w:sz w:val="18"/>
              </w:rPr>
              <w:t>1</w:t>
            </w:r>
          </w:p>
        </w:tc>
        <w:tc>
          <w:tcPr>
            <w:tcW w:type="dxa" w:w="1040"/>
            <w:shd w:fill="F9FAFC"/>
            <w:tcMar>
              <w:top w:w="100" w:type="dxa"/>
              <w:bottom w:w="100" w:type="dxa"/>
              <w:left w:w="140" w:type="dxa"/>
              <w:right w:w="140" w:type="dxa"/>
            </w:tcMar>
            <w:vAlign w:val="center"/>
          </w:tcPr>
          <w:p>
            <w:pPr>
              <w:spacing w:after="0"/>
              <w:jc w:val="center"/>
            </w:pPr>
            <w:r>
              <w:rPr>
                <w:rFonts w:ascii="Times New Roman" w:hAnsi="Times New Roman"/>
                <w:sz w:val="18"/>
              </w:rPr>
              <w:t>0</w:t>
            </w:r>
          </w:p>
        </w:tc>
        <w:tc>
          <w:tcPr>
            <w:tcW w:type="dxa" w:w="1040"/>
            <w:shd w:fill="F9FAFC"/>
            <w:tcMar>
              <w:top w:w="100" w:type="dxa"/>
              <w:bottom w:w="100" w:type="dxa"/>
              <w:left w:w="140" w:type="dxa"/>
              <w:right w:w="140" w:type="dxa"/>
            </w:tcMar>
            <w:vAlign w:val="center"/>
          </w:tcPr>
          <w:p>
            <w:pPr>
              <w:spacing w:after="0"/>
              <w:jc w:val="center"/>
            </w:pPr>
            <w:r>
              <w:rPr>
                <w:rFonts w:ascii="Times New Roman" w:hAnsi="Times New Roman"/>
                <w:sz w:val="18"/>
              </w:rPr>
              <w:t>1</w:t>
            </w:r>
          </w:p>
        </w:tc>
        <w:tc>
          <w:tcPr>
            <w:tcW w:type="dxa" w:w="1040"/>
            <w:shd w:fill="F9FAFC"/>
            <w:tcMar>
              <w:top w:w="100" w:type="dxa"/>
              <w:bottom w:w="100" w:type="dxa"/>
              <w:left w:w="140" w:type="dxa"/>
              <w:right w:w="140" w:type="dxa"/>
            </w:tcMar>
            <w:vAlign w:val="center"/>
          </w:tcPr>
          <w:p>
            <w:pPr>
              <w:spacing w:after="0"/>
              <w:jc w:val="center"/>
            </w:pPr>
            <w:r>
              <w:rPr>
                <w:rFonts w:ascii="Times New Roman" w:hAnsi="Times New Roman"/>
                <w:sz w:val="18"/>
              </w:rPr>
              <w:t>8</w:t>
            </w:r>
          </w:p>
        </w:tc>
        <w:tc>
          <w:tcPr>
            <w:tcW w:type="dxa" w:w="1040"/>
            <w:shd w:fill="F9FAFC"/>
            <w:tcMar>
              <w:top w:w="100" w:type="dxa"/>
              <w:bottom w:w="100" w:type="dxa"/>
              <w:left w:w="140" w:type="dxa"/>
              <w:right w:w="140" w:type="dxa"/>
            </w:tcMar>
            <w:vAlign w:val="center"/>
          </w:tcPr>
          <w:p>
            <w:pPr>
              <w:spacing w:after="0"/>
              <w:jc w:val="center"/>
            </w:pPr>
            <w:r>
              <w:rPr>
                <w:rFonts w:ascii="Times New Roman" w:hAnsi="Times New Roman"/>
                <w:sz w:val="18"/>
              </w:rPr>
              <w:t>12</w:t>
            </w:r>
          </w:p>
        </w:tc>
        <w:tc>
          <w:tcPr>
            <w:tcW w:type="dxa" w:w="1040"/>
            <w:shd w:fill="F9FAFC"/>
            <w:tcMar>
              <w:top w:w="100" w:type="dxa"/>
              <w:bottom w:w="100" w:type="dxa"/>
              <w:left w:w="140" w:type="dxa"/>
              <w:right w:w="140" w:type="dxa"/>
            </w:tcMar>
            <w:vAlign w:val="center"/>
          </w:tcPr>
          <w:p>
            <w:pPr>
              <w:spacing w:after="0"/>
              <w:jc w:val="center"/>
            </w:pPr>
            <w:r>
              <w:rPr>
                <w:rFonts w:ascii="Times New Roman" w:hAnsi="Times New Roman"/>
                <w:sz w:val="18"/>
              </w:rPr>
              <w:t>0.0000</w:t>
            </w:r>
          </w:p>
        </w:tc>
        <w:tc>
          <w:tcPr>
            <w:tcW w:type="dxa" w:w="1040"/>
            <w:shd w:fill="F9FAFC"/>
            <w:tcMar>
              <w:top w:w="100" w:type="dxa"/>
              <w:bottom w:w="100" w:type="dxa"/>
              <w:left w:w="140" w:type="dxa"/>
              <w:right w:w="140" w:type="dxa"/>
            </w:tcMar>
            <w:vAlign w:val="center"/>
          </w:tcPr>
          <w:p>
            <w:pPr>
              <w:spacing w:after="0"/>
              <w:jc w:val="center"/>
            </w:pPr>
            <w:r>
              <w:rPr>
                <w:rFonts w:ascii="Times New Roman" w:hAnsi="Times New Roman"/>
                <w:sz w:val="18"/>
              </w:rPr>
              <w:t>0.0000</w:t>
            </w:r>
          </w:p>
        </w:tc>
        <w:tc>
          <w:tcPr>
            <w:tcW w:type="dxa" w:w="1040"/>
            <w:shd w:fill="F9FAFC"/>
            <w:tcMar>
              <w:top w:w="100" w:type="dxa"/>
              <w:bottom w:w="100" w:type="dxa"/>
              <w:left w:w="140" w:type="dxa"/>
              <w:right w:w="140" w:type="dxa"/>
            </w:tcMar>
            <w:vAlign w:val="center"/>
          </w:tcPr>
          <w:p>
            <w:pPr>
              <w:spacing w:after="0"/>
              <w:jc w:val="center"/>
            </w:pPr>
            <w:r>
              <w:rPr>
                <w:rFonts w:ascii="Times New Roman" w:hAnsi="Times New Roman"/>
                <w:sz w:val="18"/>
              </w:rPr>
              <w:t>0.0000</w:t>
            </w:r>
          </w:p>
        </w:tc>
      </w:tr>
      <w:tr>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0.4000</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0</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0</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0</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9</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12</w:t>
            </w:r>
          </w:p>
        </w:tc>
        <w:tc>
          <w:tcPr>
            <w:tcW w:type="dxa" w:w="1040"/>
            <w:shd w:fill="FFFFFF"/>
            <w:tcMar>
              <w:top w:w="100" w:type="dxa"/>
              <w:bottom w:w="100" w:type="dxa"/>
              <w:left w:w="140" w:type="dxa"/>
              <w:right w:w="140" w:type="dxa"/>
            </w:tcMar>
            <w:vAlign w:val="center"/>
          </w:tcPr>
          <w:p>
            <w:pPr>
              <w:spacing w:after="0"/>
              <w:jc w:val="left"/>
            </w:pPr>
            <w:r>
              <w:rPr>
                <w:rFonts w:ascii="Times New Roman" w:hAnsi="Times New Roman"/>
                <w:sz w:val="18"/>
              </w:rPr>
              <w:t>Undefined</w:t>
            </w:r>
          </w:p>
        </w:tc>
        <w:tc>
          <w:tcPr>
            <w:tcW w:type="dxa" w:w="1040"/>
            <w:shd w:fill="FFFFFF"/>
            <w:tcMar>
              <w:top w:w="100" w:type="dxa"/>
              <w:bottom w:w="100" w:type="dxa"/>
              <w:left w:w="140" w:type="dxa"/>
              <w:right w:w="140" w:type="dxa"/>
            </w:tcMar>
            <w:vAlign w:val="center"/>
          </w:tcPr>
          <w:p>
            <w:pPr>
              <w:spacing w:after="0"/>
              <w:jc w:val="center"/>
            </w:pPr>
            <w:r>
              <w:rPr>
                <w:rFonts w:ascii="Times New Roman" w:hAnsi="Times New Roman"/>
                <w:sz w:val="18"/>
              </w:rPr>
              <w:t>0.0000</w:t>
            </w:r>
          </w:p>
        </w:tc>
        <w:tc>
          <w:tcPr>
            <w:tcW w:type="dxa" w:w="1040"/>
            <w:shd w:fill="FFFFFF"/>
            <w:tcMar>
              <w:top w:w="100" w:type="dxa"/>
              <w:bottom w:w="100" w:type="dxa"/>
              <w:left w:w="140" w:type="dxa"/>
              <w:right w:w="140" w:type="dxa"/>
            </w:tcMar>
            <w:vAlign w:val="center"/>
          </w:tcPr>
          <w:p>
            <w:pPr>
              <w:spacing w:after="0"/>
              <w:jc w:val="left"/>
            </w:pPr>
            <w:r>
              <w:rPr>
                <w:rFonts w:ascii="Times New Roman" w:hAnsi="Times New Roman"/>
                <w:sz w:val="18"/>
              </w:rPr>
              <w:t>Undefined</w:t>
            </w:r>
          </w:p>
        </w:tc>
      </w:tr>
      <w:tr>
        <w:tc>
          <w:tcPr>
            <w:tcW w:type="dxa" w:w="1040"/>
            <w:shd w:fill="F9FAFC"/>
            <w:tcMar>
              <w:top w:w="100" w:type="dxa"/>
              <w:bottom w:w="100" w:type="dxa"/>
              <w:left w:w="140" w:type="dxa"/>
              <w:right w:w="140" w:type="dxa"/>
            </w:tcMar>
            <w:vAlign w:val="center"/>
          </w:tcPr>
          <w:p>
            <w:pPr>
              <w:spacing w:after="0"/>
              <w:jc w:val="center"/>
            </w:pPr>
            <w:r>
              <w:rPr>
                <w:rFonts w:ascii="Times New Roman" w:hAnsi="Times New Roman"/>
                <w:sz w:val="18"/>
              </w:rPr>
              <w:t>0.5000</w:t>
            </w:r>
          </w:p>
        </w:tc>
        <w:tc>
          <w:tcPr>
            <w:tcW w:type="dxa" w:w="1040"/>
            <w:shd w:fill="F9FAFC"/>
            <w:tcMar>
              <w:top w:w="100" w:type="dxa"/>
              <w:bottom w:w="100" w:type="dxa"/>
              <w:left w:w="140" w:type="dxa"/>
              <w:right w:w="140" w:type="dxa"/>
            </w:tcMar>
            <w:vAlign w:val="center"/>
          </w:tcPr>
          <w:p>
            <w:pPr>
              <w:spacing w:after="0"/>
              <w:jc w:val="center"/>
            </w:pPr>
            <w:r>
              <w:rPr>
                <w:rFonts w:ascii="Times New Roman" w:hAnsi="Times New Roman"/>
                <w:sz w:val="18"/>
              </w:rPr>
              <w:t>0</w:t>
            </w:r>
          </w:p>
        </w:tc>
        <w:tc>
          <w:tcPr>
            <w:tcW w:type="dxa" w:w="1040"/>
            <w:shd w:fill="F9FAFC"/>
            <w:tcMar>
              <w:top w:w="100" w:type="dxa"/>
              <w:bottom w:w="100" w:type="dxa"/>
              <w:left w:w="140" w:type="dxa"/>
              <w:right w:w="140" w:type="dxa"/>
            </w:tcMar>
            <w:vAlign w:val="center"/>
          </w:tcPr>
          <w:p>
            <w:pPr>
              <w:spacing w:after="0"/>
              <w:jc w:val="center"/>
            </w:pPr>
            <w:r>
              <w:rPr>
                <w:rFonts w:ascii="Times New Roman" w:hAnsi="Times New Roman"/>
                <w:sz w:val="18"/>
              </w:rPr>
              <w:t>0</w:t>
            </w:r>
          </w:p>
        </w:tc>
        <w:tc>
          <w:tcPr>
            <w:tcW w:type="dxa" w:w="1040"/>
            <w:shd w:fill="F9FAFC"/>
            <w:tcMar>
              <w:top w:w="100" w:type="dxa"/>
              <w:bottom w:w="100" w:type="dxa"/>
              <w:left w:w="140" w:type="dxa"/>
              <w:right w:w="140" w:type="dxa"/>
            </w:tcMar>
            <w:vAlign w:val="center"/>
          </w:tcPr>
          <w:p>
            <w:pPr>
              <w:spacing w:after="0"/>
              <w:jc w:val="center"/>
            </w:pPr>
            <w:r>
              <w:rPr>
                <w:rFonts w:ascii="Times New Roman" w:hAnsi="Times New Roman"/>
                <w:sz w:val="18"/>
              </w:rPr>
              <w:t>0</w:t>
            </w:r>
          </w:p>
        </w:tc>
        <w:tc>
          <w:tcPr>
            <w:tcW w:type="dxa" w:w="1040"/>
            <w:shd w:fill="F9FAFC"/>
            <w:tcMar>
              <w:top w:w="100" w:type="dxa"/>
              <w:bottom w:w="100" w:type="dxa"/>
              <w:left w:w="140" w:type="dxa"/>
              <w:right w:w="140" w:type="dxa"/>
            </w:tcMar>
            <w:vAlign w:val="center"/>
          </w:tcPr>
          <w:p>
            <w:pPr>
              <w:spacing w:after="0"/>
              <w:jc w:val="center"/>
            </w:pPr>
            <w:r>
              <w:rPr>
                <w:rFonts w:ascii="Times New Roman" w:hAnsi="Times New Roman"/>
                <w:sz w:val="18"/>
              </w:rPr>
              <w:t>9</w:t>
            </w:r>
          </w:p>
        </w:tc>
        <w:tc>
          <w:tcPr>
            <w:tcW w:type="dxa" w:w="1040"/>
            <w:shd w:fill="F9FAFC"/>
            <w:tcMar>
              <w:top w:w="100" w:type="dxa"/>
              <w:bottom w:w="100" w:type="dxa"/>
              <w:left w:w="140" w:type="dxa"/>
              <w:right w:w="140" w:type="dxa"/>
            </w:tcMar>
            <w:vAlign w:val="center"/>
          </w:tcPr>
          <w:p>
            <w:pPr>
              <w:spacing w:after="0"/>
              <w:jc w:val="center"/>
            </w:pPr>
            <w:r>
              <w:rPr>
                <w:rFonts w:ascii="Times New Roman" w:hAnsi="Times New Roman"/>
                <w:sz w:val="18"/>
              </w:rPr>
              <w:t>12</w:t>
            </w:r>
          </w:p>
        </w:tc>
        <w:tc>
          <w:tcPr>
            <w:tcW w:type="dxa" w:w="1040"/>
            <w:shd w:fill="F9FAFC"/>
            <w:tcMar>
              <w:top w:w="100" w:type="dxa"/>
              <w:bottom w:w="100" w:type="dxa"/>
              <w:left w:w="140" w:type="dxa"/>
              <w:right w:w="140" w:type="dxa"/>
            </w:tcMar>
            <w:vAlign w:val="center"/>
          </w:tcPr>
          <w:p>
            <w:pPr>
              <w:spacing w:after="0"/>
              <w:jc w:val="left"/>
            </w:pPr>
            <w:r>
              <w:rPr>
                <w:rFonts w:ascii="Times New Roman" w:hAnsi="Times New Roman"/>
                <w:sz w:val="18"/>
              </w:rPr>
              <w:t>Undefined</w:t>
            </w:r>
          </w:p>
        </w:tc>
        <w:tc>
          <w:tcPr>
            <w:tcW w:type="dxa" w:w="1040"/>
            <w:shd w:fill="F9FAFC"/>
            <w:tcMar>
              <w:top w:w="100" w:type="dxa"/>
              <w:bottom w:w="100" w:type="dxa"/>
              <w:left w:w="140" w:type="dxa"/>
              <w:right w:w="140" w:type="dxa"/>
            </w:tcMar>
            <w:vAlign w:val="center"/>
          </w:tcPr>
          <w:p>
            <w:pPr>
              <w:spacing w:after="0"/>
              <w:jc w:val="center"/>
            </w:pPr>
            <w:r>
              <w:rPr>
                <w:rFonts w:ascii="Times New Roman" w:hAnsi="Times New Roman"/>
                <w:sz w:val="18"/>
              </w:rPr>
              <w:t>0.0000</w:t>
            </w:r>
          </w:p>
        </w:tc>
        <w:tc>
          <w:tcPr>
            <w:tcW w:type="dxa" w:w="1040"/>
            <w:shd w:fill="F9FAFC"/>
            <w:tcMar>
              <w:top w:w="100" w:type="dxa"/>
              <w:bottom w:w="100" w:type="dxa"/>
              <w:left w:w="140" w:type="dxa"/>
              <w:right w:w="140" w:type="dxa"/>
            </w:tcMar>
            <w:vAlign w:val="center"/>
          </w:tcPr>
          <w:p>
            <w:pPr>
              <w:spacing w:after="0"/>
              <w:jc w:val="left"/>
            </w:pPr>
            <w:r>
              <w:rPr>
                <w:rFonts w:ascii="Times New Roman" w:hAnsi="Times New Roman"/>
                <w:sz w:val="18"/>
              </w:rPr>
              <w:t>Undefined</w:t>
            </w:r>
          </w:p>
        </w:tc>
      </w:tr>
    </w:tbl>
    <w:p>
      <w:pPr>
        <w:spacing w:after="120" w:line="240" w:lineRule="auto"/>
      </w:pPr>
    </w:p>
    <w:p>
      <w:pPr>
        <w:spacing w:before="0" w:after="80" w:line="276" w:lineRule="auto"/>
        <w:jc w:val="both"/>
      </w:pPr>
      <w:r>
        <w:t>The diagnostic sweep reveals three critical operational characteristics:</w:t>
      </w:r>
    </w:p>
    <w:p>
      <w:pPr>
        <w:spacing w:before="20" w:after="60" w:line="269" w:lineRule="auto"/>
        <w:ind w:left="432" w:hanging="432"/>
      </w:pPr>
      <w:r>
        <w:rPr>
          <w:rFonts w:ascii="Times New Roman" w:hAnsi="Times New Roman"/>
          <w:b/>
          <w:sz w:val="20"/>
        </w:rPr>
        <w:t xml:space="preserve">[1]  </w:t>
      </w:r>
      <w:r>
        <w:rPr>
          <w:b/>
        </w:rPr>
        <w:t>The Calibrated Threshold (τ = 0.1814) Does Not Eliminate False Positives:</w:t>
      </w:r>
      <w:r>
        <w:t xml:space="preserve"> At τ = 0.1814, the model produces 1 false positive alongside 2 true positives. Prior claims that this threshold captures discordances "without inflating false positives" must be revised to reflect this empirical reality.</w:t>
      </w:r>
    </w:p>
    <w:p>
      <w:pPr>
        <w:spacing w:before="20" w:after="60" w:line="269" w:lineRule="auto"/>
        <w:ind w:left="432" w:hanging="432"/>
      </w:pPr>
      <w:r>
        <w:rPr>
          <w:rFonts w:ascii="Times New Roman" w:hAnsi="Times New Roman"/>
          <w:b/>
          <w:sz w:val="20"/>
        </w:rPr>
        <w:t xml:space="preserve">[2]  </w:t>
      </w:r>
      <w:r>
        <w:rPr>
          <w:b/>
        </w:rPr>
        <w:t>Extreme Attrition at Moderate Cutoffs:</w:t>
      </w:r>
      <w:r>
        <w:t xml:space="preserve"> As the anomaly cutoff increases, positive predictions collapse rapidly. At thresholds τ ≥ 0.4000, ESM-2 produces </w:t>
      </w:r>
      <w:r>
        <w:rPr>
          <w:b/>
        </w:rPr>
        <w:t>zero positive predictions</w:t>
      </w:r>
      <w:r>
        <w:t xml:space="preserve"> across the entire test set.</w:t>
      </w:r>
    </w:p>
    <w:p>
      <w:pPr>
        <w:spacing w:before="20" w:after="60" w:line="269" w:lineRule="auto"/>
        <w:ind w:left="432" w:hanging="432"/>
      </w:pPr>
      <w:r>
        <w:rPr>
          <w:rFonts w:ascii="Times New Roman" w:hAnsi="Times New Roman"/>
          <w:b/>
          <w:sz w:val="20"/>
        </w:rPr>
        <w:t xml:space="preserve">[3]  </w:t>
      </w:r>
      <w:r>
        <w:rPr>
          <w:b/>
        </w:rPr>
        <w:t>Current Evaluation Precludes Autonomous Error Detection:</w:t>
      </w:r>
      <w:r>
        <w:t xml:space="preserve"> The combination of low sensitivity (16.67\%) and a non-zero false positive rate demonstrates that off-the-shelf ESM-2 anomaly scoring cannot function as an autonomous misannotation classifier without localized attention pooling or active fine-tuning.</w:t>
      </w:r>
    </w:p>
    <w:p>
      <w:pPr>
        <w:keepNext/>
        <w:spacing w:before="200" w:after="60"/>
        <w:jc w:val="left"/>
      </w:pPr>
      <w:r>
        <w:rPr>
          <w:rFonts w:ascii="Times New Roman" w:hAnsi="Times New Roman"/>
          <w:b/>
          <w:color w:val="1F4E79"/>
          <w:sz w:val="22"/>
        </w:rPr>
        <w:t>E. Task 3: Natural Biological Exception Characterization</w:t>
      </w:r>
    </w:p>
    <w:p>
      <w:pPr>
        <w:spacing w:before="0" w:after="80" w:line="276" w:lineRule="auto"/>
        <w:jc w:val="both"/>
      </w:pPr>
      <w:r>
        <w:t>The evaluation of human pseudokinases VRK3 and ILK demonstrated the necessity of domain-specific exception handling:</w:t>
      </w:r>
    </w:p>
    <w:p>
      <w:pPr>
        <w:pStyle w:val="ListBullet"/>
        <w:spacing w:before="0" w:after="60" w:line="276" w:lineRule="auto"/>
      </w:pPr>
      <w:r>
        <w:rPr>
          <w:b/>
        </w:rPr>
        <w:t>VRK3 (Q9Y616):</w:t>
      </w:r>
      <w:r>
        <w:t xml:space="preserve"> Assigned a diagnostic discordance score of 0.4537 (</w:t>
      </w:r>
      <w:r>
        <w:rPr>
          <w:rFonts w:ascii="Consolas" w:hAnsi="Consolas"/>
          <w:color w:val="A02828"/>
          <w:sz w:val="19"/>
        </w:rPr>
        <w:t>MODERATE</w:t>
      </w:r>
      <w:r>
        <w:t xml:space="preserve"> review priority). The motif engine identified a non-canonical HRD variant (H-G-A) and non-canonical DFG variant (S-S-G), while global alignment confirmed kinase fold conservation.</w:t>
      </w:r>
    </w:p>
    <w:p>
      <w:pPr>
        <w:pStyle w:val="ListBullet"/>
        <w:spacing w:before="0" w:after="60" w:line="276" w:lineRule="auto"/>
      </w:pPr>
      <w:r>
        <w:rPr>
          <w:b/>
        </w:rPr>
        <w:t>ILK (Q13418):</w:t>
      </w:r>
      <w:r>
        <w:t xml:space="preserve"> Assigned a diagnostic discordance score of 0.7167 (</w:t>
      </w:r>
      <w:r>
        <w:rPr>
          <w:rFonts w:ascii="Consolas" w:hAnsi="Consolas"/>
          <w:color w:val="A02828"/>
          <w:sz w:val="19"/>
        </w:rPr>
        <w:t>HIGH</w:t>
      </w:r>
      <w:r>
        <w:t xml:space="preserve"> review priority). The motif engine detected variant HRD (F-K-K) and DFG (D-F-F) motifs.</w:t>
      </w:r>
    </w:p>
    <w:p>
      <w:pPr>
        <w:spacing w:before="0" w:after="80" w:line="276" w:lineRule="auto"/>
        <w:jc w:val="both"/>
      </w:pPr>
      <w:r>
        <w:t xml:space="preserve">Under naive triage implementations, ILK would appear in the high-priority queue as an egregious annotation error. Within our redesigned framework, both proteins are automatically routed to the dedicated </w:t>
      </w:r>
      <w:r>
        <w:rPr>
          <w:i/>
        </w:rPr>
        <w:t>Natural Biological Exceptions</w:t>
      </w:r>
      <w:r>
        <w:t xml:space="preserve"> panel, where their diagnostic scores are preserved to quantify structural divergence while preventing curators from mistakenly purging legitimate biological records.</w:t>
      </w:r>
    </w:p>
    <w:p>
      <w:pPr>
        <w:keepNext/>
        <w:spacing w:before="320" w:after="80"/>
        <w:jc w:val="left"/>
      </w:pPr>
      <w:r>
        <w:rPr>
          <w:rFonts w:ascii="Times New Roman" w:hAnsi="Times New Roman"/>
          <w:b/>
          <w:color w:val="102C57"/>
          <w:sz w:val="25"/>
        </w:rPr>
        <w:t>VII. In-Depth Discussion and Mechanistic Analysis</w:t>
      </w:r>
    </w:p>
    <w:p>
      <w:pPr>
        <w:keepNext/>
        <w:spacing w:before="200" w:after="60"/>
        <w:jc w:val="left"/>
      </w:pPr>
      <w:r>
        <w:rPr>
          <w:rFonts w:ascii="Times New Roman" w:hAnsi="Times New Roman"/>
          <w:b/>
          <w:color w:val="1F4E79"/>
          <w:sz w:val="22"/>
        </w:rPr>
        <w:t>A. Why Sequence Similarity Outperformed Deep Language Representations</w:t>
      </w:r>
    </w:p>
    <w:p>
      <w:pPr>
        <w:spacing w:before="0" w:after="80" w:line="276" w:lineRule="auto"/>
        <w:jc w:val="both"/>
      </w:pPr>
      <w:r>
        <w:t>A central, unexpected outcome of this study is that standard pairwise sequence alignment and k-mer overlap (F_1 = 0.6000) substantially outperformed both dense ESM-2 embeddings (F_1 = 0.2667) and the multi-evidence ensemble (F_1 = 0.2667). Understanding the mechanistic basis of this performance discrepancy provides valuable insights for biological machine learning:</w:t>
      </w:r>
    </w:p>
    <w:p>
      <w:pPr>
        <w:spacing w:before="20" w:after="60" w:line="269" w:lineRule="auto"/>
        <w:ind w:left="432" w:hanging="432"/>
      </w:pPr>
      <w:r>
        <w:rPr>
          <w:rFonts w:ascii="Times New Roman" w:hAnsi="Times New Roman"/>
          <w:b/>
          <w:sz w:val="20"/>
        </w:rPr>
        <w:t xml:space="preserve">[1]  </w:t>
      </w:r>
      <w:r>
        <w:rPr>
          <w:b/>
        </w:rPr>
        <w:t>The Dilution Problem of Global Mean Pooling:</w:t>
      </w:r>
      <w:r>
        <w:t xml:space="preserve"> The transformer architecture computes contextual representations for individual residues, but downstream anomaly scoring averages these vectors across all sequence positions (v = (1 / |T|) ∑ h_t). In a human kinase of 450 to 900 amino acids, an </w:t>
      </w:r>
      <w:r>
        <w:rPr>
          <w:i/>
        </w:rPr>
        <w:t>in silico</w:t>
      </w:r>
      <w:r>
        <w:t xml:space="preserve"> catalytic knockout (e.g., mutating Asp166 → Ala) alters 1 to 3 residues—less than 0.5\% of the total sequence length. Because the remaining 99.5% of the sequence preserves the overall kinase fold, the global cosine distance between wild-type and mutant embeddings shifts by only 0.02 to 0.05. At a calibrated threshold of 0.1814, this shift is insufficient to trigger an anomaly flag, explaining why ESM-2 achieved 0.0\% recall in Task 2.</w:t>
      </w:r>
    </w:p>
    <w:p>
      <w:pPr>
        <w:spacing w:before="20" w:after="60" w:line="269" w:lineRule="auto"/>
        <w:ind w:left="432" w:hanging="432"/>
      </w:pPr>
      <w:r>
        <w:rPr>
          <w:rFonts w:ascii="Times New Roman" w:hAnsi="Times New Roman"/>
          <w:b/>
          <w:sz w:val="20"/>
        </w:rPr>
        <w:t xml:space="preserve">[2]  </w:t>
      </w:r>
      <w:r>
        <w:rPr>
          <w:b/>
        </w:rPr>
        <w:t>Direct Lexical Sensitivity of Alignment Scoring:</w:t>
      </w:r>
      <w:r>
        <w:t xml:space="preserve"> In contrast to global vector averaging, Needleman-Wunsch alignment and 3-mer Jaccard scoring directly penalize mismatched substrings. When a key functional region is corrupted, the local alignment score drops immediately, and unshared 3-mers directly reduce the Jaccard coefficient J_{kmer}.</w:t>
      </w:r>
    </w:p>
    <w:p>
      <w:pPr>
        <w:spacing w:before="20" w:after="60" w:line="269" w:lineRule="auto"/>
        <w:ind w:left="432" w:hanging="432"/>
      </w:pPr>
      <w:r>
        <w:rPr>
          <w:rFonts w:ascii="Times New Roman" w:hAnsi="Times New Roman"/>
          <w:b/>
          <w:sz w:val="20"/>
        </w:rPr>
        <w:t xml:space="preserve">[3]  </w:t>
      </w:r>
      <w:r>
        <w:rPr>
          <w:b/>
        </w:rPr>
        <w:t>Reference Panel Sparsity:</w:t>
      </w:r>
      <w:r>
        <w:t xml:space="preserve"> Our reference panels comprised 20 to 40 curated kinase exemplars. While sufficient for global homology matching, estimating high-dimensional (320-D) Gaussian or k-NN reference manifolds from small sample sizes leads to substantial variance at distribution boundaries.</w:t>
      </w:r>
    </w:p>
    <w:p>
      <w:pPr>
        <w:keepNext/>
        <w:spacing w:before="200" w:after="60"/>
        <w:jc w:val="left"/>
      </w:pPr>
      <w:r>
        <w:rPr>
          <w:rFonts w:ascii="Times New Roman" w:hAnsi="Times New Roman"/>
          <w:b/>
          <w:color w:val="1F4E79"/>
          <w:sz w:val="22"/>
        </w:rPr>
        <w:t>B. Pathology of Naive Ensemble Weighting</w:t>
      </w:r>
    </w:p>
    <w:p>
      <w:pPr>
        <w:spacing w:before="0" w:after="80" w:line="276" w:lineRule="auto"/>
        <w:jc w:val="both"/>
      </w:pPr>
      <w:r>
        <w:t>The multi-evidence ensemble failed to improve upon the sequence similarity baseline because fixed linear combination behaves as an unweighted compromise. When a candidate exhibits a subtle contradiction:</w:t>
      </w:r>
    </w:p>
    <w:p>
      <w:pPr>
        <w:pStyle w:val="ListBullet"/>
        <w:spacing w:before="0" w:after="60" w:line="276" w:lineRule="auto"/>
      </w:pPr>
      <w:r>
        <w:t>In Task 1 (Label Swaps), the sequence similarity module flagged high discordance (A_{sim} ≈ 0.60), but the kinase feature module registered A_{feat} ≈ 0.00 (since catalytic motifs were unaltered) and provenance penalty was minimal (P_{prov} ≈ 0.05). The resulting weighted sum remained below the 0.40 threshold, suppressing the alarm.</w:t>
      </w:r>
    </w:p>
    <w:p>
      <w:pPr>
        <w:pStyle w:val="ListBullet"/>
        <w:spacing w:before="0" w:after="60" w:line="276" w:lineRule="auto"/>
      </w:pPr>
      <w:r>
        <w:t>In Task 2 (Sequence Perturbations), kinase features registered high discordance, but ESM-2 registered low discordance, once again pulling the composite score below the threshold.</w:t>
      </w:r>
    </w:p>
    <w:p>
      <w:pPr>
        <w:spacing w:before="0" w:after="80" w:line="276" w:lineRule="auto"/>
        <w:jc w:val="both"/>
      </w:pPr>
      <w:r>
        <w:t xml:space="preserve">This demonstrates that linear ensemble models are fundamentally ill-suited for multi-modal contradiction triage; rather, triage systems require </w:t>
      </w:r>
      <w:r>
        <w:rPr>
          <w:b/>
        </w:rPr>
        <w:t>asymmetric logical disjunctions</w:t>
      </w:r>
      <w:r>
        <w:t xml:space="preserve"> (e.g., flagging an entry if </w:t>
      </w:r>
      <w:r>
        <w:rPr>
          <w:i/>
        </w:rPr>
        <w:t>either</w:t>
      </w:r>
      <w:r>
        <w:t xml:space="preserve"> motif integrity </w:t>
      </w:r>
      <w:r>
        <w:rPr>
          <w:i/>
        </w:rPr>
        <w:t>or</w:t>
      </w:r>
      <w:r>
        <w:t xml:space="preserve"> sequence classification fails decisively, conditioned on provenance).</w:t>
      </w:r>
    </w:p>
    <w:p>
      <w:pPr>
        <w:keepNext/>
        <w:spacing w:before="200" w:after="60"/>
        <w:jc w:val="left"/>
      </w:pPr>
      <w:r>
        <w:rPr>
          <w:rFonts w:ascii="Times New Roman" w:hAnsi="Times New Roman"/>
          <w:b/>
          <w:color w:val="1F4E79"/>
          <w:sz w:val="22"/>
        </w:rPr>
        <w:t>C. The Biocuration Triage Paradigm</w:t>
      </w:r>
    </w:p>
    <w:p>
      <w:pPr>
        <w:spacing w:before="0" w:after="80" w:line="276" w:lineRule="auto"/>
        <w:jc w:val="both"/>
      </w:pPr>
      <w:r>
        <w:t xml:space="preserve">Our results reinforce the conceptual boundary between </w:t>
      </w:r>
      <w:r>
        <w:rPr>
          <w:i/>
        </w:rPr>
        <w:t>computational anomaly detection</w:t>
      </w:r>
      <w:r>
        <w:t xml:space="preserve"> and </w:t>
      </w:r>
      <w:r>
        <w:rPr>
          <w:i/>
        </w:rPr>
        <w:t>biocuration triage</w:t>
      </w:r>
      <w:r>
        <w:t xml:space="preserve">. In traditional machine learning, false positives are treated as statistical errors to be eliminated. In biocuration, a high anomaly score is simply a flag indicating that an entry deviates from established reference norms. As demonstrated by pseudokinases VRK3 and ILK, high discordance can signify either an error </w:t>
      </w:r>
      <w:r>
        <w:rPr>
          <w:i/>
        </w:rPr>
        <w:t>or</w:t>
      </w:r>
      <w:r>
        <w:t xml:space="preserve"> an extraordinary biological adaptation. By decoupling these cases into dedicated interface views, the Annotation Contradiction Atlas preserves the diagnostic value of computational models without corrupting database integrity.</w:t>
      </w:r>
    </w:p>
    <w:p>
      <w:pPr>
        <w:keepNext/>
        <w:spacing w:before="320" w:after="80"/>
        <w:jc w:val="left"/>
      </w:pPr>
      <w:r>
        <w:rPr>
          <w:rFonts w:ascii="Times New Roman" w:hAnsi="Times New Roman"/>
          <w:b/>
          <w:color w:val="102C57"/>
          <w:sz w:val="25"/>
        </w:rPr>
        <w:t>VIII. Limitations and Threats to Validity</w:t>
      </w:r>
    </w:p>
    <w:p>
      <w:pPr>
        <w:spacing w:before="0" w:after="80" w:line="276" w:lineRule="auto"/>
        <w:jc w:val="both"/>
      </w:pPr>
      <w:r>
        <w:t>To ensure complete transparency and scientific rigor, we explicitly outline five principal limitations of this study:</w:t>
      </w:r>
    </w:p>
    <w:p>
      <w:pPr>
        <w:spacing w:before="20" w:after="60" w:line="269" w:lineRule="auto"/>
        <w:ind w:left="432" w:hanging="432"/>
      </w:pPr>
      <w:r>
        <w:rPr>
          <w:rFonts w:ascii="Times New Roman" w:hAnsi="Times New Roman"/>
          <w:b/>
          <w:sz w:val="20"/>
        </w:rPr>
        <w:t xml:space="preserve">[1]  </w:t>
      </w:r>
      <w:r>
        <w:rPr>
          <w:b/>
        </w:rPr>
        <w:t>Restricted Kinome Subsetting:</w:t>
      </w:r>
      <w:r>
        <w:t xml:space="preserve"> The current database is populated with 500 reviewed human protein kinases from Swiss-Prot. It does not yet encompass the non-human kinomes (e.g., mouse, zebrafish, yeast) or unreviewed TrEMBL entries where annotation contradictions are hypothesized to occur at substantially higher frequencies.</w:t>
      </w:r>
    </w:p>
    <w:p>
      <w:pPr>
        <w:spacing w:before="20" w:after="60" w:line="269" w:lineRule="auto"/>
        <w:ind w:left="432" w:hanging="432"/>
      </w:pPr>
      <w:r>
        <w:rPr>
          <w:rFonts w:ascii="Times New Roman" w:hAnsi="Times New Roman"/>
          <w:b/>
          <w:sz w:val="20"/>
        </w:rPr>
        <w:t xml:space="preserve">[2]  </w:t>
      </w:r>
      <w:r>
        <w:rPr>
          <w:b/>
        </w:rPr>
        <w:t>Small Reference Panel Dimensions:</w:t>
      </w:r>
      <w:r>
        <w:t xml:space="preserve"> Reference panels utilized for k-NN distance calculations contained between 20 and 40 sequences. In outlier kinases such as ANKK1 (Q8NFD2), the nearest available reference match in the panel exhibited low baseline sequence identity (3.4\%). Future iterations must scale reference panels to encompass all known subfamilies within the human kinome.</w:t>
      </w:r>
    </w:p>
    <w:p>
      <w:pPr>
        <w:spacing w:before="20" w:after="60" w:line="269" w:lineRule="auto"/>
        <w:ind w:left="432" w:hanging="432"/>
      </w:pPr>
      <w:r>
        <w:rPr>
          <w:rFonts w:ascii="Times New Roman" w:hAnsi="Times New Roman"/>
          <w:b/>
          <w:sz w:val="20"/>
        </w:rPr>
        <w:t xml:space="preserve">[3]  </w:t>
      </w:r>
      <w:r>
        <w:rPr>
          <w:b/>
        </w:rPr>
        <w:t>Synthetic Nature of Evaluation Benchmarks:</w:t>
      </w:r>
      <w:r>
        <w:t xml:space="preserve"> Due to the historical scarcity of systematically documented curation errors, Benchmark v2 relies primarily on </w:t>
      </w:r>
      <w:r>
        <w:rPr>
          <w:i/>
        </w:rPr>
        <w:t>in silico</w:t>
      </w:r>
      <w:r>
        <w:t xml:space="preserve"> label swaps and catalytic motif knockouts. While biologically grounded, synthetic perturbations may not fully capture the nuanced errors introduced by automated text-mining or cross-species phylogenetic transfers.</w:t>
      </w:r>
    </w:p>
    <w:p>
      <w:pPr>
        <w:spacing w:before="20" w:after="60" w:line="269" w:lineRule="auto"/>
        <w:ind w:left="432" w:hanging="432"/>
      </w:pPr>
      <w:r>
        <w:rPr>
          <w:rFonts w:ascii="Times New Roman" w:hAnsi="Times New Roman"/>
          <w:b/>
          <w:sz w:val="20"/>
        </w:rPr>
        <w:t xml:space="preserve">[4]  </w:t>
      </w:r>
      <w:r>
        <w:rPr>
          <w:b/>
        </w:rPr>
        <w:t>Heuristic Linear Ensemble Weighting:</w:t>
      </w:r>
      <w:r>
        <w:t xml:space="preserve"> The weights in the ensemble equation (0.35, 0.25, 0.25, 0.15) were calibrated empirically on a 21-case training set. As established in Section VII-B, linear combinations cannot capture conditional dependencies between sequence integrity and functional classification.</w:t>
      </w:r>
    </w:p>
    <w:p>
      <w:pPr>
        <w:spacing w:before="20" w:after="60" w:line="269" w:lineRule="auto"/>
        <w:ind w:left="432" w:hanging="432"/>
      </w:pPr>
      <w:r>
        <w:rPr>
          <w:rFonts w:ascii="Times New Roman" w:hAnsi="Times New Roman"/>
          <w:b/>
          <w:sz w:val="20"/>
        </w:rPr>
        <w:t xml:space="preserve">[5]  </w:t>
      </w:r>
      <w:r>
        <w:rPr>
          <w:b/>
        </w:rPr>
        <w:t>Model Parameter Scale:</w:t>
      </w:r>
      <w:r>
        <w:t xml:space="preserve"> We evaluated the lightweight </w:t>
      </w:r>
      <w:r>
        <w:rPr>
          <w:rFonts w:ascii="Consolas" w:hAnsi="Consolas"/>
          <w:color w:val="A02828"/>
          <w:sz w:val="19"/>
        </w:rPr>
        <w:t>esm2_t6_8M_UR50D</w:t>
      </w:r>
      <w:r>
        <w:t xml:space="preserve"> model (8 million parameters) to enable interactive CPU-based inference. Larger foundation models (e.g., ESM-2 650M or 3B parameters) may exhibit enhanced zero-shot sensitivity to localized active-site mutations, though at significantly higher computational cost.</w:t>
      </w:r>
    </w:p>
    <w:p>
      <w:pPr>
        <w:keepNext/>
        <w:spacing w:before="320" w:after="80"/>
        <w:jc w:val="left"/>
      </w:pPr>
      <w:r>
        <w:rPr>
          <w:rFonts w:ascii="Times New Roman" w:hAnsi="Times New Roman"/>
          <w:b/>
          <w:color w:val="102C57"/>
          <w:sz w:val="25"/>
        </w:rPr>
        <w:t>IX. Reproducibility, Software Architecture, and Audit Verification</w:t>
      </w:r>
    </w:p>
    <w:p>
      <w:pPr>
        <w:spacing w:before="0" w:after="80" w:line="276" w:lineRule="auto"/>
        <w:jc w:val="both"/>
      </w:pPr>
      <w:r>
        <w:t>All source code, database files, evaluation scripts, and unit tests are open source and fully auditable within the project repository.</w:t>
      </w:r>
    </w:p>
    <w:p>
      <w:pPr>
        <w:keepNext/>
        <w:spacing w:before="200" w:after="60"/>
        <w:jc w:val="left"/>
      </w:pPr>
      <w:r>
        <w:rPr>
          <w:rFonts w:ascii="Times New Roman" w:hAnsi="Times New Roman"/>
          <w:b/>
          <w:color w:val="1F4E79"/>
          <w:sz w:val="22"/>
        </w:rPr>
        <w:t>A. Repository Directory Structure</w:t>
      </w:r>
    </w:p>
    <w:p>
      <w:pPr>
        <w:spacing w:before="0" w:after="80" w:line="276" w:lineRule="auto"/>
        <w:jc w:val="both"/>
      </w:pPr>
      <w:r>
        <w:t>The repository is organized into distinct, modular functional packages:</w:t>
      </w:r>
    </w:p>
    <w:tbl>
      <w:tblPr>
        <w:tblW w:type="auto" w:w="0"/>
        <w:jc w:val="center"/>
        <w:tblLook w:firstColumn="1" w:firstRow="1" w:lastColumn="0" w:lastRow="0" w:noHBand="0" w:noVBand="1" w:val="04A0"/>
        <w:tblBorders>
          <w:top w:val="single" w:sz="6" w:space="0" w:color="D0D5DD"/>
          <w:bottom w:val="single" w:sz="6" w:space="0" w:color="D0D5DD"/>
          <w:insideH w:val="single" w:sz="6" w:space="0" w:color="D0D5DD"/>
          <w:insideV w:val="none"/>
          <w:left w:val="none"/>
          <w:right w:val="none"/>
        </w:tblBorders>
      </w:tblPr>
      <w:tblGrid>
        <w:gridCol w:w="9360"/>
      </w:tblGrid>
      <w:tr>
        <w:tc>
          <w:tcPr>
            <w:tcW w:type="dxa" w:w="9360"/>
            <w:shd w:fill="F4F5F7"/>
            <w:tcMar>
              <w:top w:w="120" w:type="dxa"/>
              <w:bottom w:w="120" w:type="dxa"/>
              <w:left w:w="180" w:type="dxa"/>
              <w:right w:w="180" w:type="dxa"/>
            </w:tcMar>
          </w:tcPr>
          <w:p>
            <w:pPr>
              <w:spacing w:line="240" w:lineRule="auto" w:after="0"/>
            </w:pPr>
            <w:r>
              <w:rPr>
                <w:rFonts w:ascii="Consolas" w:hAnsi="Consolas"/>
                <w:color w:val="212529"/>
                <w:sz w:val="17"/>
              </w:rPr>
              <w:t>intelligent-tesla/</w:t>
              <w:br/>
              <w:t>├── app.py                      # Main Streamlit application entrypoint</w:t>
              <w:br/>
              <w:t>├── config.py                   # Centralized application configuration and thresholds</w:t>
              <w:br/>
              <w:t>├── database/                   # SQLite schema definitions, engine, and migrations</w:t>
              <w:br/>
              <w:t>│   ├── connection.py           # Thread-safe database connection pool</w:t>
              <w:br/>
              <w:t>│   └── schema.py               # Table declarations and foreign key constraints</w:t>
              <w:br/>
              <w:t>├── services/                   # Analytical computation engines</w:t>
              <w:br/>
              <w:t>│   ├── sequence_similarity.py  # Pairwise alignment and k-mer Jaccard similarity</w:t>
              <w:br/>
              <w:t>│   ├── embeddings.py           # ESM-2 transformer tokenization and sliding window</w:t>
              <w:br/>
              <w:t>│   ├── anomaly_detection.py    # Centroid, k-NN, and class discordance scoring</w:t>
              <w:br/>
              <w:t>│   ├── kinase_features.py      # Catalytic motif regex and spatial geometry checks</w:t>
              <w:br/>
              <w:t>│   ├── provenance_analysis.py  # ECO evidence mapping and reliability scoring</w:t>
              <w:br/>
              <w:t>│   └── contradiction_scoring.py# Ensemble scoring, safeguards, and priority logic</w:t>
              <w:br/>
              <w:t>├── ui/                         # Streamlit interactive interface components</w:t>
              <w:br/>
              <w:t>│   ├── contradiction_explorer.py # Suspected conflicts and biological exceptions tabs</w:t>
              <w:br/>
              <w:t>│   ├── evaluation.py           # Benchmark v2 dashboard and ESM-2 diagnostic sweeps</w:t>
              <w:br/>
              <w:t>│   └── protein_detail.py       # Detailed per-protein evidence audit cards</w:t>
              <w:br/>
              <w:t>├── artifacts/                  # Audited machine-readable evaluation reports (JSON/CSV)</w:t>
              <w:br/>
              <w:t>├── tests/                      # Pytest verification suite (50 passing tests)</w:t>
              <w:br/>
              <w:t>└── scripts/                    # Ingestion pipelines and benchmark generation</w:t>
            </w:r>
          </w:p>
        </w:tc>
      </w:tr>
    </w:tbl>
    <w:p>
      <w:pPr>
        <w:spacing w:after="80" w:line="240" w:lineRule="auto"/>
      </w:pPr>
    </w:p>
    <w:p>
      <w:pPr>
        <w:keepNext/>
        <w:spacing w:before="200" w:after="60"/>
        <w:jc w:val="left"/>
      </w:pPr>
      <w:r>
        <w:rPr>
          <w:rFonts w:ascii="Times New Roman" w:hAnsi="Times New Roman"/>
          <w:b/>
          <w:color w:val="1F4E79"/>
          <w:sz w:val="22"/>
        </w:rPr>
        <w:t>B. Verification of Experimental Test Suites</w:t>
      </w:r>
    </w:p>
    <w:p>
      <w:pPr>
        <w:spacing w:before="0" w:after="80" w:line="276" w:lineRule="auto"/>
        <w:jc w:val="both"/>
      </w:pPr>
      <w:r>
        <w:t xml:space="preserve">To verify software integrity, the entire test suite was executed in a clean Python 3.10 virtual environment using </w:t>
      </w:r>
      <w:r>
        <w:rPr>
          <w:rFonts w:ascii="Consolas" w:hAnsi="Consolas"/>
          <w:color w:val="A02828"/>
          <w:sz w:val="19"/>
        </w:rPr>
        <w:t>pytest 9.1.1</w:t>
      </w:r>
      <w:r>
        <w:t xml:space="preserve">. Exactly </w:t>
      </w:r>
      <w:r>
        <w:rPr>
          <w:b/>
        </w:rPr>
        <w:t>50 out of 50 unit and integration tests passed</w:t>
      </w:r>
      <w:r>
        <w:t xml:space="preserve"> in 23.29 seconds:</w:t>
      </w:r>
    </w:p>
    <w:p>
      <w:pPr>
        <w:pStyle w:val="ListBullet"/>
        <w:spacing w:before="0" w:after="60" w:line="276" w:lineRule="auto"/>
      </w:pPr>
      <w:r>
        <w:rPr>
          <w:rFonts w:ascii="Consolas" w:hAnsi="Consolas"/>
          <w:color w:val="A02828"/>
          <w:sz w:val="19"/>
        </w:rPr>
        <w:t>tests/test_sequence_similarity.py</w:t>
      </w:r>
      <w:r>
        <w:t>: 5 passed (Alignment correctness, coverage, caching)</w:t>
      </w:r>
    </w:p>
    <w:p>
      <w:pPr>
        <w:pStyle w:val="ListBullet"/>
        <w:spacing w:before="0" w:after="60" w:line="276" w:lineRule="auto"/>
      </w:pPr>
      <w:r>
        <w:rPr>
          <w:rFonts w:ascii="Consolas" w:hAnsi="Consolas"/>
          <w:color w:val="A02828"/>
          <w:sz w:val="19"/>
        </w:rPr>
        <w:t>tests/test_embeddings.py</w:t>
      </w:r>
      <w:r>
        <w:t>: 5 passed (Sliding-window tokenization, pooling, normalization)</w:t>
      </w:r>
    </w:p>
    <w:p>
      <w:pPr>
        <w:pStyle w:val="ListBullet"/>
        <w:spacing w:before="0" w:after="60" w:line="276" w:lineRule="auto"/>
      </w:pPr>
      <w:r>
        <w:rPr>
          <w:rFonts w:ascii="Consolas" w:hAnsi="Consolas"/>
          <w:color w:val="A02828"/>
          <w:sz w:val="19"/>
        </w:rPr>
        <w:t>tests/test_anomaly_detection.py</w:t>
      </w:r>
      <w:r>
        <w:t>: 6 passed (Centroid distance, k-NN, class penalties)</w:t>
      </w:r>
    </w:p>
    <w:p>
      <w:pPr>
        <w:pStyle w:val="ListBullet"/>
        <w:spacing w:before="0" w:after="60" w:line="276" w:lineRule="auto"/>
      </w:pPr>
      <w:r>
        <w:rPr>
          <w:rFonts w:ascii="Consolas" w:hAnsi="Consolas"/>
          <w:color w:val="A02828"/>
          <w:sz w:val="19"/>
        </w:rPr>
        <w:t>tests/test_kinase_features.py</w:t>
      </w:r>
      <w:r>
        <w:t>: 6 passed (VAIK, HRD, DFG extraction, spatial constraints)</w:t>
      </w:r>
    </w:p>
    <w:p>
      <w:pPr>
        <w:pStyle w:val="ListBullet"/>
        <w:spacing w:before="0" w:after="60" w:line="276" w:lineRule="auto"/>
      </w:pPr>
      <w:r>
        <w:rPr>
          <w:rFonts w:ascii="Consolas" w:hAnsi="Consolas"/>
          <w:color w:val="A02828"/>
          <w:sz w:val="19"/>
        </w:rPr>
        <w:t>tests/test_provenance.py</w:t>
      </w:r>
      <w:r>
        <w:t>: 5 passed (ECO code mapping, reliability scoring, PubMed bonus)</w:t>
      </w:r>
    </w:p>
    <w:p>
      <w:pPr>
        <w:pStyle w:val="ListBullet"/>
        <w:spacing w:before="0" w:after="60" w:line="276" w:lineRule="auto"/>
      </w:pPr>
      <w:r>
        <w:rPr>
          <w:rFonts w:ascii="Consolas" w:hAnsi="Consolas"/>
          <w:color w:val="A02828"/>
          <w:sz w:val="19"/>
        </w:rPr>
        <w:t>tests/test_scoring.py</w:t>
      </w:r>
      <w:r>
        <w:t>: 6 passed (Linear aggregation, Safeguards 1 &amp; 2)</w:t>
      </w:r>
    </w:p>
    <w:p>
      <w:pPr>
        <w:pStyle w:val="ListBullet"/>
        <w:spacing w:before="0" w:after="60" w:line="276" w:lineRule="auto"/>
      </w:pPr>
      <w:r>
        <w:rPr>
          <w:rFonts w:ascii="Consolas" w:hAnsi="Consolas"/>
          <w:color w:val="A02828"/>
          <w:sz w:val="19"/>
        </w:rPr>
        <w:t>tests/test_biological_exceptions.py</w:t>
      </w:r>
      <w:r>
        <w:t>: 7 passed (VRK3/ILK separation, queue segregation)</w:t>
      </w:r>
    </w:p>
    <w:p>
      <w:pPr>
        <w:pStyle w:val="ListBullet"/>
        <w:spacing w:before="0" w:after="60" w:line="276" w:lineRule="auto"/>
      </w:pPr>
      <w:r>
        <w:rPr>
          <w:rFonts w:ascii="Consolas" w:hAnsi="Consolas"/>
          <w:color w:val="A02828"/>
          <w:sz w:val="19"/>
        </w:rPr>
        <w:t>tests/test_evaluation_v2.py</w:t>
      </w:r>
      <w:r>
        <w:t>: 10 passed (Confusion matrices, threshold calibration, JSON audit)</w:t>
      </w:r>
    </w:p>
    <w:p>
      <w:pPr>
        <w:spacing w:before="0" w:after="80" w:line="276" w:lineRule="auto"/>
        <w:jc w:val="both"/>
      </w:pPr>
      <w:r>
        <w:t>All random number generators in benchmark partitioning scripts were seeded deterministically (</w:t>
      </w:r>
      <w:r>
        <w:rPr>
          <w:rFonts w:ascii="Consolas" w:hAnsi="Consolas"/>
          <w:color w:val="A02828"/>
          <w:sz w:val="19"/>
        </w:rPr>
        <w:t>seed = 42</w:t>
      </w:r>
      <w:r>
        <w:t>), ensuring complete bitwise reproducibility of all reported figures.</w:t>
      </w:r>
    </w:p>
    <w:p>
      <w:pPr>
        <w:keepNext/>
        <w:spacing w:before="320" w:after="80"/>
        <w:jc w:val="left"/>
      </w:pPr>
      <w:r>
        <w:rPr>
          <w:rFonts w:ascii="Times New Roman" w:hAnsi="Times New Roman"/>
          <w:b/>
          <w:color w:val="102C57"/>
          <w:sz w:val="25"/>
        </w:rPr>
        <w:t>X. Conclusion and Future Directions</w:t>
      </w:r>
    </w:p>
    <w:p>
      <w:pPr>
        <w:spacing w:before="0" w:after="80" w:line="276" w:lineRule="auto"/>
        <w:jc w:val="both"/>
      </w:pPr>
      <w:r>
        <w:t>The Annotation Contradiction Atlas establishes an evidence-aware, transparent framework for prioritizing potentially inconsistent protein kinase annotations in biological databases. Through rigorous empirical evaluation on Benchmark v2, we demonstrated that standard sequence similarity baselines (F_1 = 0.6000) significantly outperformed both dense ESM-2 transformer embeddings (F_1 = 0.2667) and multi-evidence linear ensembles (F_1 = 0.2667). Diagnostic sweeps revealed that global mean-pooled language model representations dilute localized catalytic active-site corruptions, resulting in zero positive predictions at anomaly thresholds τ ≥ 0.40. Furthermore, we demonstrated that natural pseudokinases such as VRK3 and ILK must be systematically segregated from suspected annotation conflicts to prevent legitimate evolutionary adaptations from polluting curator triage queues.</w:t>
      </w:r>
    </w:p>
    <w:p>
      <w:pPr>
        <w:spacing w:before="0" w:after="80" w:line="276" w:lineRule="auto"/>
        <w:jc w:val="both"/>
      </w:pPr>
      <w:r>
        <w:t>Future research will advance in three directions:</w:t>
      </w:r>
    </w:p>
    <w:p>
      <w:pPr>
        <w:spacing w:before="20" w:after="60" w:line="269" w:lineRule="auto"/>
        <w:ind w:left="432" w:hanging="432"/>
      </w:pPr>
      <w:r>
        <w:rPr>
          <w:rFonts w:ascii="Times New Roman" w:hAnsi="Times New Roman"/>
          <w:b/>
          <w:sz w:val="20"/>
        </w:rPr>
        <w:t xml:space="preserve">[1]  </w:t>
      </w:r>
      <w:r>
        <w:rPr>
          <w:b/>
        </w:rPr>
        <w:t>Per-Residue Attention Pooling:</w:t>
      </w:r>
      <w:r>
        <w:t xml:space="preserve"> Replacing global sequence mean-pooling with localized attention-weighted pooling focused specifically on catalytic triads (subdomains II, VIB, and VII), restoring language model sensitivity to single-residue mutations.</w:t>
      </w:r>
    </w:p>
    <w:p>
      <w:pPr>
        <w:spacing w:before="20" w:after="60" w:line="269" w:lineRule="auto"/>
        <w:ind w:left="432" w:hanging="432"/>
      </w:pPr>
      <w:r>
        <w:rPr>
          <w:rFonts w:ascii="Times New Roman" w:hAnsi="Times New Roman"/>
          <w:b/>
          <w:sz w:val="20"/>
        </w:rPr>
        <w:t xml:space="preserve">[2]  </w:t>
      </w:r>
      <w:r>
        <w:rPr>
          <w:b/>
        </w:rPr>
        <w:t>Non-Linear Decision Logic:</w:t>
      </w:r>
      <w:r>
        <w:t xml:space="preserve"> Transitioning from linear ensemble weighting to non-linear, decision-tree or Bayesian belief networks that model asymmetric dependencies between motif presence and functional evidence.</w:t>
      </w:r>
    </w:p>
    <w:p>
      <w:pPr>
        <w:spacing w:before="20" w:after="60" w:line="269" w:lineRule="auto"/>
        <w:ind w:left="432" w:hanging="432"/>
      </w:pPr>
      <w:r>
        <w:rPr>
          <w:rFonts w:ascii="Times New Roman" w:hAnsi="Times New Roman"/>
          <w:b/>
          <w:sz w:val="20"/>
        </w:rPr>
        <w:t xml:space="preserve">[3]  </w:t>
      </w:r>
      <w:r>
        <w:rPr>
          <w:b/>
        </w:rPr>
        <w:t>Active Learning in Live Biocuration:</w:t>
      </w:r>
      <w:r>
        <w:t xml:space="preserve"> Deploying the Atlas within active biocuration environments, allowing curator feedback to refine anomaly thresholds dynamically across diverse eukaryotic enzyme superfamilies.</w:t>
      </w:r>
    </w:p>
    <w:p>
      <w:pPr>
        <w:keepNext/>
        <w:spacing w:before="320" w:after="80"/>
        <w:jc w:val="left"/>
      </w:pPr>
      <w:r>
        <w:rPr>
          <w:rFonts w:ascii="Times New Roman" w:hAnsi="Times New Roman"/>
          <w:b/>
          <w:color w:val="102C57"/>
          <w:sz w:val="25"/>
        </w:rPr>
        <w:t>Appendix A: Formal Metric Formulations</w:t>
      </w:r>
    </w:p>
    <w:p>
      <w:pPr>
        <w:spacing w:before="0" w:after="80" w:line="276" w:lineRule="auto"/>
        <w:jc w:val="both"/>
      </w:pPr>
      <w:r>
        <w:t>To ensure mathematical precision, all evaluation formulas used throughout the Atlas are formally summarized:</w:t>
      </w:r>
    </w:p>
    <w:p>
      <w:pPr>
        <w:spacing w:before="20" w:after="60" w:line="269" w:lineRule="auto"/>
        <w:ind w:left="432" w:hanging="432"/>
      </w:pPr>
      <w:r>
        <w:rPr>
          <w:rFonts w:ascii="Times New Roman" w:hAnsi="Times New Roman"/>
          <w:b/>
          <w:sz w:val="20"/>
        </w:rPr>
        <w:t xml:space="preserve">[1]  </w:t>
      </w:r>
      <w:r>
        <w:rPr>
          <w:b/>
        </w:rPr>
        <w:t>Jaccard k-mer Similarity:</w:t>
      </w:r>
    </w:p>
    <w:p>
      <w:pPr>
        <w:spacing w:before="120" w:after="120"/>
        <w:jc w:val="center"/>
      </w:pPr>
      <w:r>
        <w:rPr>
          <w:rFonts w:ascii="Times New Roman" w:hAnsi="Times New Roman"/>
          <w:b w:val="0"/>
          <w:i/>
          <w:color w:val="0A0A32"/>
          <w:sz w:val="21"/>
        </w:rPr>
        <w:t>J_k(S_1, S_2) = \frac{|{s ∈ S_1 : |s|=k} ∩ {s ∈ S_2 : |s|=k}|}{|{s ∈ S_1 : |s|=k} ∪ {s ∈ S_2 : |s|=k}|}</w:t>
      </w:r>
    </w:p>
    <w:p>
      <w:pPr>
        <w:spacing w:before="20" w:after="60" w:line="269" w:lineRule="auto"/>
        <w:ind w:left="432" w:hanging="432"/>
      </w:pPr>
      <w:r>
        <w:rPr>
          <w:rFonts w:ascii="Times New Roman" w:hAnsi="Times New Roman"/>
          <w:b/>
          <w:sz w:val="20"/>
        </w:rPr>
        <w:t xml:space="preserve">[2]  </w:t>
      </w:r>
      <w:r>
        <w:rPr>
          <w:b/>
        </w:rPr>
        <w:t>Cosine Distance:</w:t>
      </w:r>
    </w:p>
    <w:p>
      <w:pPr>
        <w:spacing w:before="120" w:after="120"/>
        <w:jc w:val="center"/>
      </w:pPr>
      <w:r>
        <w:rPr>
          <w:rFonts w:ascii="Times New Roman" w:hAnsi="Times New Roman"/>
          <w:b w:val="0"/>
          <w:i/>
          <w:color w:val="0A0A32"/>
          <w:sz w:val="21"/>
        </w:rPr>
        <w:t>d_{cos}(\mathbf{u}, v) = 1.0 - \frac{\mathbf{u} · v}{||u||₂ \|v\|_2}</w:t>
      </w:r>
    </w:p>
    <w:p>
      <w:pPr>
        <w:spacing w:before="20" w:after="60" w:line="269" w:lineRule="auto"/>
        <w:ind w:left="432" w:hanging="432"/>
      </w:pPr>
      <w:r>
        <w:rPr>
          <w:rFonts w:ascii="Times New Roman" w:hAnsi="Times New Roman"/>
          <w:b/>
          <w:sz w:val="20"/>
        </w:rPr>
        <w:t xml:space="preserve">[3]  </w:t>
      </w:r>
      <w:r>
        <w:rPr>
          <w:b/>
        </w:rPr>
        <w:t>Class Centroid:</w:t>
      </w:r>
    </w:p>
    <w:p>
      <w:pPr>
        <w:spacing w:before="120" w:after="120"/>
        <w:jc w:val="center"/>
      </w:pPr>
      <w:r>
        <w:rPr>
          <w:rFonts w:ascii="Times New Roman" w:hAnsi="Times New Roman"/>
          <w:b w:val="0"/>
          <w:i/>
          <w:color w:val="0A0A32"/>
          <w:sz w:val="21"/>
        </w:rPr>
        <w:t>c = \frac{∑_{i=1}^N e_i}{\|∑_{i=1}^N e_i\|_2},     where  e_i ∈ ℝ³²⁰</w:t>
      </w:r>
    </w:p>
    <w:p>
      <w:pPr>
        <w:spacing w:before="20" w:after="60" w:line="269" w:lineRule="auto"/>
        <w:ind w:left="432" w:hanging="432"/>
      </w:pPr>
      <w:r>
        <w:rPr>
          <w:rFonts w:ascii="Times New Roman" w:hAnsi="Times New Roman"/>
          <w:b/>
          <w:sz w:val="20"/>
        </w:rPr>
        <w:t xml:space="preserve">[4]  </w:t>
      </w:r>
      <w:r>
        <w:rPr>
          <w:b/>
        </w:rPr>
        <w:t>Binary Classification Metrics:</w:t>
      </w:r>
    </w:p>
    <w:p>
      <w:pPr>
        <w:spacing w:before="120" w:after="120"/>
        <w:jc w:val="center"/>
      </w:pPr>
      <w:r>
        <w:rPr>
          <w:rFonts w:ascii="Times New Roman" w:hAnsi="Times New Roman"/>
          <w:b w:val="0"/>
          <w:i/>
          <w:color w:val="0A0A32"/>
          <w:sz w:val="21"/>
        </w:rPr>
        <w:t>Precision = (TP / TP + FP),     Recall = (TP / TP + FN)</w:t>
      </w:r>
    </w:p>
    <w:p>
      <w:pPr>
        <w:spacing w:before="120" w:after="120"/>
        <w:jc w:val="center"/>
      </w:pPr>
      <w:r>
        <w:rPr>
          <w:rFonts w:ascii="Times New Roman" w:hAnsi="Times New Roman"/>
          <w:b w:val="0"/>
          <w:i/>
          <w:color w:val="0A0A32"/>
          <w:sz w:val="21"/>
        </w:rPr>
        <w:t>F_1 = (2 · TP / 2 · TP + FP + FN)</w:t>
      </w:r>
    </w:p>
    <w:p>
      <w:pPr>
        <w:spacing w:before="120" w:after="120"/>
        <w:jc w:val="center"/>
      </w:pPr>
      <w:r>
        <w:rPr>
          <w:rFonts w:ascii="Times New Roman" w:hAnsi="Times New Roman"/>
          <w:b w:val="0"/>
          <w:i/>
          <w:color w:val="0A0A32"/>
          <w:sz w:val="21"/>
        </w:rPr>
        <w:t>Specificity = (TN / TN + FP),     Accuracy = (TP + TN / TP + FP + TN + FN)</w:t>
      </w:r>
    </w:p>
    <w:p>
      <w:pPr>
        <w:keepNext/>
        <w:spacing w:before="320" w:after="80"/>
        <w:jc w:val="left"/>
      </w:pPr>
      <w:r>
        <w:rPr>
          <w:rFonts w:ascii="Times New Roman" w:hAnsi="Times New Roman"/>
          <w:b/>
          <w:color w:val="102C57"/>
          <w:sz w:val="25"/>
        </w:rPr>
        <w:t>Appendix B: Implementation Traceability and Pre-Submission Audit Checklist</w:t>
      </w:r>
    </w:p>
    <w:p>
      <w:pPr>
        <w:keepNext/>
        <w:spacing w:before="240" w:after="40"/>
        <w:jc w:val="center"/>
      </w:pPr>
      <w:r>
        <w:rPr>
          <w:rFonts w:ascii="Times New Roman" w:hAnsi="Times New Roman"/>
          <w:b/>
          <w:color w:val="102C57"/>
          <w:sz w:val="20"/>
        </w:rPr>
        <w:t>TABLE VI</w:t>
      </w:r>
    </w:p>
    <w:p>
      <w:pPr>
        <w:spacing w:before="0" w:after="80" w:line="276" w:lineRule="auto"/>
        <w:jc w:val="both"/>
      </w:pPr>
      <w:r>
        <w:t>IMPLEMENTATION MAPPING AND TRACEABILITY AUDIT</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2340"/>
        <w:gridCol w:w="2340"/>
        <w:gridCol w:w="2340"/>
        <w:gridCol w:w="2340"/>
      </w:tblGrid>
      <w:tr>
        <w:tc>
          <w:tcPr>
            <w:tcW w:type="dxa" w:w="2340"/>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Conceptual Component</w:t>
            </w:r>
          </w:p>
        </w:tc>
        <w:tc>
          <w:tcPr>
            <w:tcW w:type="dxa" w:w="2340"/>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Source Implementation File</w:t>
            </w:r>
          </w:p>
        </w:tc>
        <w:tc>
          <w:tcPr>
            <w:tcW w:type="dxa" w:w="2340"/>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Primary Function / Class</w:t>
            </w:r>
          </w:p>
        </w:tc>
        <w:tc>
          <w:tcPr>
            <w:tcW w:type="dxa" w:w="2340"/>
            <w:shd w:fill="1F4E79"/>
            <w:tcMar>
              <w:top w:w="140" w:type="dxa"/>
              <w:bottom w:w="140" w:type="dxa"/>
              <w:left w:w="140" w:type="dxa"/>
              <w:right w:w="140" w:type="dxa"/>
            </w:tcMar>
            <w:vAlign w:val="center"/>
          </w:tcPr>
          <w:p>
            <w:pPr>
              <w:spacing w:after="0"/>
              <w:jc w:val="center"/>
            </w:pPr>
            <w:r>
              <w:rPr>
                <w:rFonts w:ascii="Times New Roman" w:hAnsi="Times New Roman"/>
                <w:b/>
                <w:color w:val="FFFFFF"/>
                <w:sz w:val="19"/>
              </w:rPr>
              <w:t>Verification Artifact</w:t>
            </w:r>
          </w:p>
        </w:tc>
      </w:tr>
      <w:tr>
        <w:tc>
          <w:tcPr>
            <w:tcW w:type="dxa" w:w="2340"/>
            <w:shd w:fill="FFFFFF"/>
            <w:tcMar>
              <w:top w:w="100" w:type="dxa"/>
              <w:bottom w:w="100" w:type="dxa"/>
              <w:left w:w="140" w:type="dxa"/>
              <w:right w:w="140" w:type="dxa"/>
            </w:tcMar>
            <w:vAlign w:val="center"/>
          </w:tcPr>
          <w:p>
            <w:pPr>
              <w:spacing w:after="0"/>
              <w:jc w:val="left"/>
            </w:pPr>
            <w:r>
              <w:rPr>
                <w:rFonts w:ascii="Times New Roman" w:hAnsi="Times New Roman"/>
                <w:b/>
                <w:sz w:val="18"/>
              </w:rPr>
              <w:t>Global Alignment &amp; Identity</w:t>
            </w:r>
          </w:p>
        </w:tc>
        <w:tc>
          <w:tcPr>
            <w:tcW w:type="dxa" w:w="2340"/>
            <w:shd w:fill="FFFFFF"/>
            <w:tcMar>
              <w:top w:w="100" w:type="dxa"/>
              <w:bottom w:w="100" w:type="dxa"/>
              <w:left w:w="140" w:type="dxa"/>
              <w:right w:w="140" w:type="dxa"/>
            </w:tcMar>
            <w:vAlign w:val="center"/>
          </w:tcPr>
          <w:p>
            <w:pPr>
              <w:spacing w:after="0"/>
              <w:jc w:val="left"/>
            </w:pPr>
            <w:r>
              <w:rPr>
                <w:rFonts w:ascii="Times New Roman" w:hAnsi="Times New Roman"/>
                <w:color w:val="A02828"/>
                <w:sz w:val="18"/>
              </w:rPr>
              <w:t>services/sequence_similarity.py</w:t>
            </w:r>
          </w:p>
        </w:tc>
        <w:tc>
          <w:tcPr>
            <w:tcW w:type="dxa" w:w="2340"/>
            <w:shd w:fill="FFFFFF"/>
            <w:tcMar>
              <w:top w:w="100" w:type="dxa"/>
              <w:bottom w:w="100" w:type="dxa"/>
              <w:left w:w="140" w:type="dxa"/>
              <w:right w:w="140" w:type="dxa"/>
            </w:tcMar>
            <w:vAlign w:val="center"/>
          </w:tcPr>
          <w:p>
            <w:pPr>
              <w:spacing w:after="0"/>
              <w:jc w:val="left"/>
            </w:pPr>
            <w:r>
              <w:rPr>
                <w:rFonts w:ascii="Times New Roman" w:hAnsi="Times New Roman"/>
                <w:color w:val="A02828"/>
                <w:sz w:val="18"/>
              </w:rPr>
              <w:t>align_sequences()</w:t>
            </w:r>
            <w:r>
              <w:rPr>
                <w:rFonts w:ascii="Times New Roman" w:hAnsi="Times New Roman"/>
                <w:sz w:val="18"/>
              </w:rPr>
              <w:t xml:space="preserve">, </w:t>
            </w:r>
            <w:r>
              <w:rPr>
                <w:rFonts w:ascii="Times New Roman" w:hAnsi="Times New Roman"/>
                <w:color w:val="A02828"/>
                <w:sz w:val="18"/>
              </w:rPr>
              <w:t>compute_similarity()</w:t>
            </w:r>
          </w:p>
        </w:tc>
        <w:tc>
          <w:tcPr>
            <w:tcW w:type="dxa" w:w="2340"/>
            <w:shd w:fill="FFFFFF"/>
            <w:tcMar>
              <w:top w:w="100" w:type="dxa"/>
              <w:bottom w:w="100" w:type="dxa"/>
              <w:left w:w="140" w:type="dxa"/>
              <w:right w:w="140" w:type="dxa"/>
            </w:tcMar>
            <w:vAlign w:val="center"/>
          </w:tcPr>
          <w:p>
            <w:pPr>
              <w:spacing w:after="0"/>
              <w:jc w:val="left"/>
            </w:pPr>
            <w:r>
              <w:rPr>
                <w:rFonts w:ascii="Times New Roman" w:hAnsi="Times New Roman"/>
                <w:color w:val="A02828"/>
                <w:sz w:val="18"/>
              </w:rPr>
              <w:t>tests/test_sequence_similarity.py</w:t>
            </w:r>
          </w:p>
        </w:tc>
      </w:tr>
      <w:tr>
        <w:tc>
          <w:tcPr>
            <w:tcW w:type="dxa" w:w="2340"/>
            <w:shd w:fill="F9FAFC"/>
            <w:tcMar>
              <w:top w:w="100" w:type="dxa"/>
              <w:bottom w:w="100" w:type="dxa"/>
              <w:left w:w="140" w:type="dxa"/>
              <w:right w:w="140" w:type="dxa"/>
            </w:tcMar>
            <w:vAlign w:val="center"/>
          </w:tcPr>
          <w:p>
            <w:pPr>
              <w:spacing w:after="0"/>
              <w:jc w:val="left"/>
            </w:pPr>
            <w:r>
              <w:rPr>
                <w:rFonts w:ascii="Times New Roman" w:hAnsi="Times New Roman"/>
                <w:b/>
                <w:sz w:val="18"/>
              </w:rPr>
              <w:t>ESM-2 Sliding Window</w:t>
            </w:r>
          </w:p>
        </w:tc>
        <w:tc>
          <w:tcPr>
            <w:tcW w:type="dxa" w:w="2340"/>
            <w:shd w:fill="F9FAFC"/>
            <w:tcMar>
              <w:top w:w="100" w:type="dxa"/>
              <w:bottom w:w="100" w:type="dxa"/>
              <w:left w:w="140" w:type="dxa"/>
              <w:right w:w="140" w:type="dxa"/>
            </w:tcMar>
            <w:vAlign w:val="center"/>
          </w:tcPr>
          <w:p>
            <w:pPr>
              <w:spacing w:after="0"/>
              <w:jc w:val="left"/>
            </w:pPr>
            <w:r>
              <w:rPr>
                <w:rFonts w:ascii="Times New Roman" w:hAnsi="Times New Roman"/>
                <w:color w:val="A02828"/>
                <w:sz w:val="18"/>
              </w:rPr>
              <w:t>services/embeddings.py</w:t>
            </w:r>
          </w:p>
        </w:tc>
        <w:tc>
          <w:tcPr>
            <w:tcW w:type="dxa" w:w="2340"/>
            <w:shd w:fill="F9FAFC"/>
            <w:tcMar>
              <w:top w:w="100" w:type="dxa"/>
              <w:bottom w:w="100" w:type="dxa"/>
              <w:left w:w="140" w:type="dxa"/>
              <w:right w:w="140" w:type="dxa"/>
            </w:tcMar>
            <w:vAlign w:val="center"/>
          </w:tcPr>
          <w:p>
            <w:pPr>
              <w:spacing w:after="0"/>
              <w:jc w:val="left"/>
            </w:pPr>
            <w:r>
              <w:rPr>
                <w:rFonts w:ascii="Times New Roman" w:hAnsi="Times New Roman"/>
                <w:color w:val="A02828"/>
                <w:sz w:val="18"/>
              </w:rPr>
              <w:t>generate_embedding()</w:t>
            </w:r>
            <w:r>
              <w:rPr>
                <w:rFonts w:ascii="Times New Roman" w:hAnsi="Times New Roman"/>
                <w:sz w:val="18"/>
              </w:rPr>
              <w:t xml:space="preserve">, </w:t>
            </w:r>
            <w:r>
              <w:rPr>
                <w:rFonts w:ascii="Times New Roman" w:hAnsi="Times New Roman"/>
                <w:color w:val="A02828"/>
                <w:sz w:val="18"/>
              </w:rPr>
              <w:t>_embed_large_seq()</w:t>
            </w:r>
          </w:p>
        </w:tc>
        <w:tc>
          <w:tcPr>
            <w:tcW w:type="dxa" w:w="2340"/>
            <w:shd w:fill="F9FAFC"/>
            <w:tcMar>
              <w:top w:w="100" w:type="dxa"/>
              <w:bottom w:w="100" w:type="dxa"/>
              <w:left w:w="140" w:type="dxa"/>
              <w:right w:w="140" w:type="dxa"/>
            </w:tcMar>
            <w:vAlign w:val="center"/>
          </w:tcPr>
          <w:p>
            <w:pPr>
              <w:spacing w:after="0"/>
              <w:jc w:val="left"/>
            </w:pPr>
            <w:r>
              <w:rPr>
                <w:rFonts w:ascii="Times New Roman" w:hAnsi="Times New Roman"/>
                <w:color w:val="A02828"/>
                <w:sz w:val="18"/>
              </w:rPr>
              <w:t>tests/test_embeddings.py</w:t>
            </w:r>
          </w:p>
        </w:tc>
      </w:tr>
      <w:tr>
        <w:tc>
          <w:tcPr>
            <w:tcW w:type="dxa" w:w="2340"/>
            <w:shd w:fill="FFFFFF"/>
            <w:tcMar>
              <w:top w:w="100" w:type="dxa"/>
              <w:bottom w:w="100" w:type="dxa"/>
              <w:left w:w="140" w:type="dxa"/>
              <w:right w:w="140" w:type="dxa"/>
            </w:tcMar>
            <w:vAlign w:val="center"/>
          </w:tcPr>
          <w:p>
            <w:pPr>
              <w:spacing w:after="0"/>
              <w:jc w:val="left"/>
            </w:pPr>
            <w:r>
              <w:rPr>
                <w:rFonts w:ascii="Times New Roman" w:hAnsi="Times New Roman"/>
                <w:b/>
                <w:sz w:val="18"/>
              </w:rPr>
              <w:t>Centroid &amp; k-NN Anomaly</w:t>
            </w:r>
          </w:p>
        </w:tc>
        <w:tc>
          <w:tcPr>
            <w:tcW w:type="dxa" w:w="2340"/>
            <w:shd w:fill="FFFFFF"/>
            <w:tcMar>
              <w:top w:w="100" w:type="dxa"/>
              <w:bottom w:w="100" w:type="dxa"/>
              <w:left w:w="140" w:type="dxa"/>
              <w:right w:w="140" w:type="dxa"/>
            </w:tcMar>
            <w:vAlign w:val="center"/>
          </w:tcPr>
          <w:p>
            <w:pPr>
              <w:spacing w:after="0"/>
              <w:jc w:val="left"/>
            </w:pPr>
            <w:r>
              <w:rPr>
                <w:rFonts w:ascii="Times New Roman" w:hAnsi="Times New Roman"/>
                <w:color w:val="A02828"/>
                <w:sz w:val="18"/>
              </w:rPr>
              <w:t>services/anomaly_detection.py</w:t>
            </w:r>
          </w:p>
        </w:tc>
        <w:tc>
          <w:tcPr>
            <w:tcW w:type="dxa" w:w="2340"/>
            <w:shd w:fill="FFFFFF"/>
            <w:tcMar>
              <w:top w:w="100" w:type="dxa"/>
              <w:bottom w:w="100" w:type="dxa"/>
              <w:left w:w="140" w:type="dxa"/>
              <w:right w:w="140" w:type="dxa"/>
            </w:tcMar>
            <w:vAlign w:val="center"/>
          </w:tcPr>
          <w:p>
            <w:pPr>
              <w:spacing w:after="0"/>
              <w:jc w:val="left"/>
            </w:pPr>
            <w:r>
              <w:rPr>
                <w:rFonts w:ascii="Times New Roman" w:hAnsi="Times New Roman"/>
                <w:color w:val="A02828"/>
                <w:sz w:val="18"/>
              </w:rPr>
              <w:t>compute_embedding_anomaly()</w:t>
            </w:r>
            <w:r>
              <w:rPr>
                <w:rFonts w:ascii="Times New Roman" w:hAnsi="Times New Roman"/>
                <w:sz w:val="18"/>
              </w:rPr>
              <w:t xml:space="preserve">, </w:t>
            </w:r>
            <w:r>
              <w:rPr>
                <w:rFonts w:ascii="Times New Roman" w:hAnsi="Times New Roman"/>
                <w:color w:val="A02828"/>
                <w:sz w:val="18"/>
              </w:rPr>
              <w:t>_knn_distance()</w:t>
            </w:r>
          </w:p>
        </w:tc>
        <w:tc>
          <w:tcPr>
            <w:tcW w:type="dxa" w:w="2340"/>
            <w:shd w:fill="FFFFFF"/>
            <w:tcMar>
              <w:top w:w="100" w:type="dxa"/>
              <w:bottom w:w="100" w:type="dxa"/>
              <w:left w:w="140" w:type="dxa"/>
              <w:right w:w="140" w:type="dxa"/>
            </w:tcMar>
            <w:vAlign w:val="center"/>
          </w:tcPr>
          <w:p>
            <w:pPr>
              <w:spacing w:after="0"/>
              <w:jc w:val="left"/>
            </w:pPr>
            <w:r>
              <w:rPr>
                <w:rFonts w:ascii="Times New Roman" w:hAnsi="Times New Roman"/>
                <w:color w:val="A02828"/>
                <w:sz w:val="18"/>
              </w:rPr>
              <w:t>tests/test_anomaly_detection.py</w:t>
            </w:r>
          </w:p>
        </w:tc>
      </w:tr>
      <w:tr>
        <w:tc>
          <w:tcPr>
            <w:tcW w:type="dxa" w:w="2340"/>
            <w:shd w:fill="F9FAFC"/>
            <w:tcMar>
              <w:top w:w="100" w:type="dxa"/>
              <w:bottom w:w="100" w:type="dxa"/>
              <w:left w:w="140" w:type="dxa"/>
              <w:right w:w="140" w:type="dxa"/>
            </w:tcMar>
            <w:vAlign w:val="center"/>
          </w:tcPr>
          <w:p>
            <w:pPr>
              <w:spacing w:after="0"/>
              <w:jc w:val="left"/>
            </w:pPr>
            <w:r>
              <w:rPr>
                <w:rFonts w:ascii="Times New Roman" w:hAnsi="Times New Roman"/>
                <w:b/>
                <w:sz w:val="18"/>
              </w:rPr>
              <w:t>Catalytic Motifs &amp; Geometry</w:t>
            </w:r>
          </w:p>
        </w:tc>
        <w:tc>
          <w:tcPr>
            <w:tcW w:type="dxa" w:w="2340"/>
            <w:shd w:fill="F9FAFC"/>
            <w:tcMar>
              <w:top w:w="100" w:type="dxa"/>
              <w:bottom w:w="100" w:type="dxa"/>
              <w:left w:w="140" w:type="dxa"/>
              <w:right w:w="140" w:type="dxa"/>
            </w:tcMar>
            <w:vAlign w:val="center"/>
          </w:tcPr>
          <w:p>
            <w:pPr>
              <w:spacing w:after="0"/>
              <w:jc w:val="left"/>
            </w:pPr>
            <w:r>
              <w:rPr>
                <w:rFonts w:ascii="Times New Roman" w:hAnsi="Times New Roman"/>
                <w:color w:val="A02828"/>
                <w:sz w:val="18"/>
              </w:rPr>
              <w:t>services/kinase_features.py</w:t>
            </w:r>
          </w:p>
        </w:tc>
        <w:tc>
          <w:tcPr>
            <w:tcW w:type="dxa" w:w="2340"/>
            <w:shd w:fill="F9FAFC"/>
            <w:tcMar>
              <w:top w:w="100" w:type="dxa"/>
              <w:bottom w:w="100" w:type="dxa"/>
              <w:left w:w="140" w:type="dxa"/>
              <w:right w:w="140" w:type="dxa"/>
            </w:tcMar>
            <w:vAlign w:val="center"/>
          </w:tcPr>
          <w:p>
            <w:pPr>
              <w:spacing w:after="0"/>
              <w:jc w:val="left"/>
            </w:pPr>
            <w:r>
              <w:rPr>
                <w:rFonts w:ascii="Times New Roman" w:hAnsi="Times New Roman"/>
                <w:color w:val="A02828"/>
                <w:sz w:val="18"/>
              </w:rPr>
              <w:t>extract_kinase_features()</w:t>
            </w:r>
            <w:r>
              <w:rPr>
                <w:rFonts w:ascii="Times New Roman" w:hAnsi="Times New Roman"/>
                <w:sz w:val="18"/>
              </w:rPr>
              <w:t xml:space="preserve">, </w:t>
            </w:r>
            <w:r>
              <w:rPr>
                <w:rFonts w:ascii="Times New Roman" w:hAnsi="Times New Roman"/>
                <w:color w:val="A02828"/>
                <w:sz w:val="18"/>
              </w:rPr>
              <w:t>_check_geometry()</w:t>
            </w:r>
          </w:p>
        </w:tc>
        <w:tc>
          <w:tcPr>
            <w:tcW w:type="dxa" w:w="2340"/>
            <w:shd w:fill="F9FAFC"/>
            <w:tcMar>
              <w:top w:w="100" w:type="dxa"/>
              <w:bottom w:w="100" w:type="dxa"/>
              <w:left w:w="140" w:type="dxa"/>
              <w:right w:w="140" w:type="dxa"/>
            </w:tcMar>
            <w:vAlign w:val="center"/>
          </w:tcPr>
          <w:p>
            <w:pPr>
              <w:spacing w:after="0"/>
              <w:jc w:val="left"/>
            </w:pPr>
            <w:r>
              <w:rPr>
                <w:rFonts w:ascii="Times New Roman" w:hAnsi="Times New Roman"/>
                <w:color w:val="A02828"/>
                <w:sz w:val="18"/>
              </w:rPr>
              <w:t>tests/test_kinase_features.py</w:t>
            </w:r>
          </w:p>
        </w:tc>
      </w:tr>
      <w:tr>
        <w:tc>
          <w:tcPr>
            <w:tcW w:type="dxa" w:w="2340"/>
            <w:shd w:fill="FFFFFF"/>
            <w:tcMar>
              <w:top w:w="100" w:type="dxa"/>
              <w:bottom w:w="100" w:type="dxa"/>
              <w:left w:w="140" w:type="dxa"/>
              <w:right w:w="140" w:type="dxa"/>
            </w:tcMar>
            <w:vAlign w:val="center"/>
          </w:tcPr>
          <w:p>
            <w:pPr>
              <w:spacing w:after="0"/>
              <w:jc w:val="left"/>
            </w:pPr>
            <w:r>
              <w:rPr>
                <w:rFonts w:ascii="Times New Roman" w:hAnsi="Times New Roman"/>
                <w:b/>
                <w:sz w:val="18"/>
              </w:rPr>
              <w:t>Provenance Scoring</w:t>
            </w:r>
          </w:p>
        </w:tc>
        <w:tc>
          <w:tcPr>
            <w:tcW w:type="dxa" w:w="2340"/>
            <w:shd w:fill="FFFFFF"/>
            <w:tcMar>
              <w:top w:w="100" w:type="dxa"/>
              <w:bottom w:w="100" w:type="dxa"/>
              <w:left w:w="140" w:type="dxa"/>
              <w:right w:w="140" w:type="dxa"/>
            </w:tcMar>
            <w:vAlign w:val="center"/>
          </w:tcPr>
          <w:p>
            <w:pPr>
              <w:spacing w:after="0"/>
              <w:jc w:val="left"/>
            </w:pPr>
            <w:r>
              <w:rPr>
                <w:rFonts w:ascii="Times New Roman" w:hAnsi="Times New Roman"/>
                <w:color w:val="A02828"/>
                <w:sz w:val="18"/>
              </w:rPr>
              <w:t>services/provenance_analysis.py</w:t>
            </w:r>
          </w:p>
        </w:tc>
        <w:tc>
          <w:tcPr>
            <w:tcW w:type="dxa" w:w="2340"/>
            <w:shd w:fill="FFFFFF"/>
            <w:tcMar>
              <w:top w:w="100" w:type="dxa"/>
              <w:bottom w:w="100" w:type="dxa"/>
              <w:left w:w="140" w:type="dxa"/>
              <w:right w:w="140" w:type="dxa"/>
            </w:tcMar>
            <w:vAlign w:val="center"/>
          </w:tcPr>
          <w:p>
            <w:pPr>
              <w:spacing w:after="0"/>
              <w:jc w:val="left"/>
            </w:pPr>
            <w:r>
              <w:rPr>
                <w:rFonts w:ascii="Times New Roman" w:hAnsi="Times New Roman"/>
                <w:color w:val="A02828"/>
                <w:sz w:val="18"/>
              </w:rPr>
              <w:t>score_provenance()</w:t>
            </w:r>
            <w:r>
              <w:rPr>
                <w:rFonts w:ascii="Times New Roman" w:hAnsi="Times New Roman"/>
                <w:sz w:val="18"/>
              </w:rPr>
              <w:t xml:space="preserve">, </w:t>
            </w:r>
            <w:r>
              <w:rPr>
                <w:rFonts w:ascii="Times New Roman" w:hAnsi="Times New Roman"/>
                <w:color w:val="A02828"/>
                <w:sz w:val="18"/>
              </w:rPr>
              <w:t>ECO_MAPPINGS</w:t>
            </w:r>
          </w:p>
        </w:tc>
        <w:tc>
          <w:tcPr>
            <w:tcW w:type="dxa" w:w="2340"/>
            <w:shd w:fill="FFFFFF"/>
            <w:tcMar>
              <w:top w:w="100" w:type="dxa"/>
              <w:bottom w:w="100" w:type="dxa"/>
              <w:left w:w="140" w:type="dxa"/>
              <w:right w:w="140" w:type="dxa"/>
            </w:tcMar>
            <w:vAlign w:val="center"/>
          </w:tcPr>
          <w:p>
            <w:pPr>
              <w:spacing w:after="0"/>
              <w:jc w:val="left"/>
            </w:pPr>
            <w:r>
              <w:rPr>
                <w:rFonts w:ascii="Times New Roman" w:hAnsi="Times New Roman"/>
                <w:color w:val="A02828"/>
                <w:sz w:val="18"/>
              </w:rPr>
              <w:t>tests/test_provenance.py</w:t>
            </w:r>
          </w:p>
        </w:tc>
      </w:tr>
      <w:tr>
        <w:tc>
          <w:tcPr>
            <w:tcW w:type="dxa" w:w="2340"/>
            <w:shd w:fill="F9FAFC"/>
            <w:tcMar>
              <w:top w:w="100" w:type="dxa"/>
              <w:bottom w:w="100" w:type="dxa"/>
              <w:left w:w="140" w:type="dxa"/>
              <w:right w:w="140" w:type="dxa"/>
            </w:tcMar>
            <w:vAlign w:val="center"/>
          </w:tcPr>
          <w:p>
            <w:pPr>
              <w:spacing w:after="0"/>
              <w:jc w:val="left"/>
            </w:pPr>
            <w:r>
              <w:rPr>
                <w:rFonts w:ascii="Times New Roman" w:hAnsi="Times New Roman"/>
                <w:b/>
                <w:sz w:val="18"/>
              </w:rPr>
              <w:t>Ensemble Scoring &amp; Logic</w:t>
            </w:r>
          </w:p>
        </w:tc>
        <w:tc>
          <w:tcPr>
            <w:tcW w:type="dxa" w:w="2340"/>
            <w:shd w:fill="F9FAFC"/>
            <w:tcMar>
              <w:top w:w="100" w:type="dxa"/>
              <w:bottom w:w="100" w:type="dxa"/>
              <w:left w:w="140" w:type="dxa"/>
              <w:right w:w="140" w:type="dxa"/>
            </w:tcMar>
            <w:vAlign w:val="center"/>
          </w:tcPr>
          <w:p>
            <w:pPr>
              <w:spacing w:after="0"/>
              <w:jc w:val="left"/>
            </w:pPr>
            <w:r>
              <w:rPr>
                <w:rFonts w:ascii="Times New Roman" w:hAnsi="Times New Roman"/>
                <w:color w:val="A02828"/>
                <w:sz w:val="18"/>
              </w:rPr>
              <w:t>services/contradiction_scoring.py</w:t>
            </w:r>
          </w:p>
        </w:tc>
        <w:tc>
          <w:tcPr>
            <w:tcW w:type="dxa" w:w="2340"/>
            <w:shd w:fill="F9FAFC"/>
            <w:tcMar>
              <w:top w:w="100" w:type="dxa"/>
              <w:bottom w:w="100" w:type="dxa"/>
              <w:left w:w="140" w:type="dxa"/>
              <w:right w:w="140" w:type="dxa"/>
            </w:tcMar>
            <w:vAlign w:val="center"/>
          </w:tcPr>
          <w:p>
            <w:pPr>
              <w:spacing w:after="0"/>
              <w:jc w:val="left"/>
            </w:pPr>
            <w:r>
              <w:rPr>
                <w:rFonts w:ascii="Times New Roman" w:hAnsi="Times New Roman"/>
                <w:color w:val="A02828"/>
                <w:sz w:val="18"/>
              </w:rPr>
              <w:t>compute_contradiction_score()</w:t>
            </w:r>
          </w:p>
        </w:tc>
        <w:tc>
          <w:tcPr>
            <w:tcW w:type="dxa" w:w="2340"/>
            <w:shd w:fill="F9FAFC"/>
            <w:tcMar>
              <w:top w:w="100" w:type="dxa"/>
              <w:bottom w:w="100" w:type="dxa"/>
              <w:left w:w="140" w:type="dxa"/>
              <w:right w:w="140" w:type="dxa"/>
            </w:tcMar>
            <w:vAlign w:val="center"/>
          </w:tcPr>
          <w:p>
            <w:pPr>
              <w:spacing w:after="0"/>
              <w:jc w:val="left"/>
            </w:pPr>
            <w:r>
              <w:rPr>
                <w:rFonts w:ascii="Times New Roman" w:hAnsi="Times New Roman"/>
                <w:color w:val="A02828"/>
                <w:sz w:val="18"/>
              </w:rPr>
              <w:t>tests/test_scoring.py</w:t>
            </w:r>
          </w:p>
        </w:tc>
      </w:tr>
      <w:tr>
        <w:tc>
          <w:tcPr>
            <w:tcW w:type="dxa" w:w="2340"/>
            <w:shd w:fill="FFFFFF"/>
            <w:tcMar>
              <w:top w:w="100" w:type="dxa"/>
              <w:bottom w:w="100" w:type="dxa"/>
              <w:left w:w="140" w:type="dxa"/>
              <w:right w:w="140" w:type="dxa"/>
            </w:tcMar>
            <w:vAlign w:val="center"/>
          </w:tcPr>
          <w:p>
            <w:pPr>
              <w:spacing w:after="0"/>
              <w:jc w:val="left"/>
            </w:pPr>
            <w:r>
              <w:rPr>
                <w:rFonts w:ascii="Times New Roman" w:hAnsi="Times New Roman"/>
                <w:b/>
                <w:sz w:val="18"/>
              </w:rPr>
              <w:t>Biological Exception Triage</w:t>
            </w:r>
          </w:p>
        </w:tc>
        <w:tc>
          <w:tcPr>
            <w:tcW w:type="dxa" w:w="2340"/>
            <w:shd w:fill="FFFFFF"/>
            <w:tcMar>
              <w:top w:w="100" w:type="dxa"/>
              <w:bottom w:w="100" w:type="dxa"/>
              <w:left w:w="140" w:type="dxa"/>
              <w:right w:w="140" w:type="dxa"/>
            </w:tcMar>
            <w:vAlign w:val="center"/>
          </w:tcPr>
          <w:p>
            <w:pPr>
              <w:spacing w:after="0"/>
              <w:jc w:val="left"/>
            </w:pPr>
            <w:r>
              <w:rPr>
                <w:rFonts w:ascii="Times New Roman" w:hAnsi="Times New Roman"/>
                <w:color w:val="A02828"/>
                <w:sz w:val="18"/>
              </w:rPr>
              <w:t>services/contradiction_scoring.py</w:t>
            </w:r>
          </w:p>
        </w:tc>
        <w:tc>
          <w:tcPr>
            <w:tcW w:type="dxa" w:w="2340"/>
            <w:shd w:fill="FFFFFF"/>
            <w:tcMar>
              <w:top w:w="100" w:type="dxa"/>
              <w:bottom w:w="100" w:type="dxa"/>
              <w:left w:w="140" w:type="dxa"/>
              <w:right w:w="140" w:type="dxa"/>
            </w:tcMar>
            <w:vAlign w:val="center"/>
          </w:tcPr>
          <w:p>
            <w:pPr>
              <w:spacing w:after="0"/>
              <w:jc w:val="left"/>
            </w:pPr>
            <w:r>
              <w:rPr>
                <w:rFonts w:ascii="Times New Roman" w:hAnsi="Times New Roman"/>
                <w:color w:val="A02828"/>
                <w:sz w:val="18"/>
              </w:rPr>
              <w:t>get_biological_exceptions()</w:t>
            </w:r>
            <w:r>
              <w:rPr>
                <w:rFonts w:ascii="Times New Roman" w:hAnsi="Times New Roman"/>
                <w:sz w:val="18"/>
              </w:rPr>
              <w:t xml:space="preserve">, </w:t>
            </w:r>
            <w:r>
              <w:rPr>
                <w:rFonts w:ascii="Times New Roman" w:hAnsi="Times New Roman"/>
                <w:color w:val="A02828"/>
                <w:sz w:val="18"/>
              </w:rPr>
              <w:t>is_biological_exception()</w:t>
            </w:r>
          </w:p>
        </w:tc>
        <w:tc>
          <w:tcPr>
            <w:tcW w:type="dxa" w:w="2340"/>
            <w:shd w:fill="FFFFFF"/>
            <w:tcMar>
              <w:top w:w="100" w:type="dxa"/>
              <w:bottom w:w="100" w:type="dxa"/>
              <w:left w:w="140" w:type="dxa"/>
              <w:right w:w="140" w:type="dxa"/>
            </w:tcMar>
            <w:vAlign w:val="center"/>
          </w:tcPr>
          <w:p>
            <w:pPr>
              <w:spacing w:after="0"/>
              <w:jc w:val="left"/>
            </w:pPr>
            <w:r>
              <w:rPr>
                <w:rFonts w:ascii="Times New Roman" w:hAnsi="Times New Roman"/>
                <w:color w:val="A02828"/>
                <w:sz w:val="18"/>
              </w:rPr>
              <w:t>tests/test_biological_exceptions.py</w:t>
            </w:r>
          </w:p>
        </w:tc>
      </w:tr>
      <w:tr>
        <w:tc>
          <w:tcPr>
            <w:tcW w:type="dxa" w:w="2340"/>
            <w:shd w:fill="F9FAFC"/>
            <w:tcMar>
              <w:top w:w="100" w:type="dxa"/>
              <w:bottom w:w="100" w:type="dxa"/>
              <w:left w:w="140" w:type="dxa"/>
              <w:right w:w="140" w:type="dxa"/>
            </w:tcMar>
            <w:vAlign w:val="center"/>
          </w:tcPr>
          <w:p>
            <w:pPr>
              <w:spacing w:after="0"/>
              <w:jc w:val="left"/>
            </w:pPr>
            <w:r>
              <w:rPr>
                <w:rFonts w:ascii="Times New Roman" w:hAnsi="Times New Roman"/>
                <w:b/>
                <w:sz w:val="18"/>
              </w:rPr>
              <w:t>Benchmark v2 Evaluation</w:t>
            </w:r>
          </w:p>
        </w:tc>
        <w:tc>
          <w:tcPr>
            <w:tcW w:type="dxa" w:w="2340"/>
            <w:shd w:fill="F9FAFC"/>
            <w:tcMar>
              <w:top w:w="100" w:type="dxa"/>
              <w:bottom w:w="100" w:type="dxa"/>
              <w:left w:w="140" w:type="dxa"/>
              <w:right w:w="140" w:type="dxa"/>
            </w:tcMar>
            <w:vAlign w:val="center"/>
          </w:tcPr>
          <w:p>
            <w:pPr>
              <w:spacing w:after="0"/>
              <w:jc w:val="left"/>
            </w:pPr>
            <w:r>
              <w:rPr>
                <w:rFonts w:ascii="Times New Roman" w:hAnsi="Times New Roman"/>
                <w:color w:val="A02828"/>
                <w:sz w:val="18"/>
              </w:rPr>
              <w:t>services/evaluation.py</w:t>
            </w:r>
          </w:p>
        </w:tc>
        <w:tc>
          <w:tcPr>
            <w:tcW w:type="dxa" w:w="2340"/>
            <w:shd w:fill="F9FAFC"/>
            <w:tcMar>
              <w:top w:w="100" w:type="dxa"/>
              <w:bottom w:w="100" w:type="dxa"/>
              <w:left w:w="140" w:type="dxa"/>
              <w:right w:w="140" w:type="dxa"/>
            </w:tcMar>
            <w:vAlign w:val="center"/>
          </w:tcPr>
          <w:p>
            <w:pPr>
              <w:spacing w:after="0"/>
              <w:jc w:val="left"/>
            </w:pPr>
            <w:r>
              <w:rPr>
                <w:rFonts w:ascii="Times New Roman" w:hAnsi="Times New Roman"/>
                <w:color w:val="A02828"/>
                <w:sz w:val="18"/>
              </w:rPr>
              <w:t>evaluate_benchmark_v2()</w:t>
            </w:r>
            <w:r>
              <w:rPr>
                <w:rFonts w:ascii="Times New Roman" w:hAnsi="Times New Roman"/>
                <w:sz w:val="18"/>
              </w:rPr>
              <w:t xml:space="preserve">, </w:t>
            </w:r>
            <w:r>
              <w:rPr>
                <w:rFonts w:ascii="Times New Roman" w:hAnsi="Times New Roman"/>
                <w:color w:val="A02828"/>
                <w:sz w:val="18"/>
              </w:rPr>
              <w:t>compute_metrics()</w:t>
            </w:r>
          </w:p>
        </w:tc>
        <w:tc>
          <w:tcPr>
            <w:tcW w:type="dxa" w:w="2340"/>
            <w:shd w:fill="F9FAFC"/>
            <w:tcMar>
              <w:top w:w="100" w:type="dxa"/>
              <w:bottom w:w="100" w:type="dxa"/>
              <w:left w:w="140" w:type="dxa"/>
              <w:right w:w="140" w:type="dxa"/>
            </w:tcMar>
            <w:vAlign w:val="center"/>
          </w:tcPr>
          <w:p>
            <w:pPr>
              <w:spacing w:after="0"/>
              <w:jc w:val="left"/>
            </w:pPr>
            <w:r>
              <w:rPr>
                <w:rFonts w:ascii="Times New Roman" w:hAnsi="Times New Roman"/>
                <w:color w:val="A02828"/>
                <w:sz w:val="18"/>
              </w:rPr>
              <w:t>artifacts/evaluation_report_v2.json</w:t>
            </w:r>
          </w:p>
        </w:tc>
      </w:tr>
      <w:tr>
        <w:tc>
          <w:tcPr>
            <w:tcW w:type="dxa" w:w="2340"/>
            <w:shd w:fill="FFFFFF"/>
            <w:tcMar>
              <w:top w:w="100" w:type="dxa"/>
              <w:bottom w:w="100" w:type="dxa"/>
              <w:left w:w="140" w:type="dxa"/>
              <w:right w:w="140" w:type="dxa"/>
            </w:tcMar>
            <w:vAlign w:val="center"/>
          </w:tcPr>
          <w:p>
            <w:pPr>
              <w:spacing w:after="0"/>
              <w:jc w:val="left"/>
            </w:pPr>
            <w:r>
              <w:rPr>
                <w:rFonts w:ascii="Times New Roman" w:hAnsi="Times New Roman"/>
                <w:b/>
                <w:sz w:val="18"/>
              </w:rPr>
              <w:t>Curator Web Dashboard</w:t>
            </w:r>
          </w:p>
        </w:tc>
        <w:tc>
          <w:tcPr>
            <w:tcW w:type="dxa" w:w="2340"/>
            <w:shd w:fill="FFFFFF"/>
            <w:tcMar>
              <w:top w:w="100" w:type="dxa"/>
              <w:bottom w:w="100" w:type="dxa"/>
              <w:left w:w="140" w:type="dxa"/>
              <w:right w:w="140" w:type="dxa"/>
            </w:tcMar>
            <w:vAlign w:val="center"/>
          </w:tcPr>
          <w:p>
            <w:pPr>
              <w:spacing w:after="0"/>
              <w:jc w:val="left"/>
            </w:pPr>
            <w:r>
              <w:rPr>
                <w:rFonts w:ascii="Times New Roman" w:hAnsi="Times New Roman"/>
                <w:color w:val="A02828"/>
                <w:sz w:val="18"/>
              </w:rPr>
              <w:t>ui/contradiction_explorer.py</w:t>
            </w:r>
          </w:p>
        </w:tc>
        <w:tc>
          <w:tcPr>
            <w:tcW w:type="dxa" w:w="2340"/>
            <w:shd w:fill="FFFFFF"/>
            <w:tcMar>
              <w:top w:w="100" w:type="dxa"/>
              <w:bottom w:w="100" w:type="dxa"/>
              <w:left w:w="140" w:type="dxa"/>
              <w:right w:w="140" w:type="dxa"/>
            </w:tcMar>
            <w:vAlign w:val="center"/>
          </w:tcPr>
          <w:p>
            <w:pPr>
              <w:spacing w:after="0"/>
              <w:jc w:val="left"/>
            </w:pPr>
            <w:r>
              <w:rPr>
                <w:rFonts w:ascii="Times New Roman" w:hAnsi="Times New Roman"/>
                <w:color w:val="A02828"/>
                <w:sz w:val="18"/>
              </w:rPr>
              <w:t>render_contradiction_explorer()</w:t>
            </w:r>
          </w:p>
        </w:tc>
        <w:tc>
          <w:tcPr>
            <w:tcW w:type="dxa" w:w="2340"/>
            <w:shd w:fill="FFFFFF"/>
            <w:tcMar>
              <w:top w:w="100" w:type="dxa"/>
              <w:bottom w:w="100" w:type="dxa"/>
              <w:left w:w="140" w:type="dxa"/>
              <w:right w:w="140" w:type="dxa"/>
            </w:tcMar>
            <w:vAlign w:val="center"/>
          </w:tcPr>
          <w:p>
            <w:pPr>
              <w:spacing w:after="0"/>
              <w:jc w:val="left"/>
            </w:pPr>
            <w:r>
              <w:rPr>
                <w:rFonts w:ascii="Times New Roman" w:hAnsi="Times New Roman"/>
                <w:color w:val="A02828"/>
                <w:sz w:val="18"/>
              </w:rPr>
              <w:t>app.py</w:t>
            </w:r>
          </w:p>
        </w:tc>
      </w:tr>
    </w:tbl>
    <w:p>
      <w:pPr>
        <w:spacing w:after="120" w:line="240" w:lineRule="auto"/>
      </w:pPr>
    </w:p>
    <w:p>
      <w:pPr>
        <w:keepNext/>
        <w:spacing w:before="200" w:after="60"/>
        <w:jc w:val="left"/>
      </w:pPr>
      <w:r>
        <w:rPr>
          <w:rFonts w:ascii="Times New Roman" w:hAnsi="Times New Roman"/>
          <w:b/>
          <w:color w:val="1F4E79"/>
          <w:sz w:val="22"/>
        </w:rPr>
        <w:t>Pre-Submission Verification Checklist</w:t>
      </w:r>
    </w:p>
    <w:p>
      <w:pPr>
        <w:pStyle w:val="ListBullet"/>
        <w:spacing w:before="0" w:after="60" w:line="276" w:lineRule="auto"/>
      </w:pPr>
      <w:r>
        <w:rPr>
          <w:rFonts w:ascii="Arial" w:hAnsi="Arial"/>
          <w:b/>
          <w:color w:val="187818"/>
          <w:sz w:val="20"/>
        </w:rPr>
        <w:t xml:space="preserve">☑  </w:t>
      </w:r>
      <w:r>
        <w:rPr>
          <w:b/>
        </w:rPr>
        <w:t>Database Count Audit:</w:t>
      </w:r>
      <w:r>
        <w:t xml:space="preserve"> 500 reviewed human kinases verified in SQLite </w:t>
      </w:r>
      <w:r>
        <w:rPr>
          <w:rFonts w:ascii="Consolas" w:hAnsi="Consolas"/>
          <w:color w:val="A02828"/>
          <w:sz w:val="19"/>
        </w:rPr>
        <w:t>proteins</w:t>
      </w:r>
      <w:r>
        <w:t xml:space="preserve"> table.</w:t>
      </w:r>
    </w:p>
    <w:p>
      <w:pPr>
        <w:pStyle w:val="ListBullet"/>
        <w:spacing w:before="0" w:after="60" w:line="276" w:lineRule="auto"/>
      </w:pPr>
      <w:r>
        <w:rPr>
          <w:rFonts w:ascii="Arial" w:hAnsi="Arial"/>
          <w:b/>
          <w:color w:val="187818"/>
          <w:sz w:val="20"/>
        </w:rPr>
        <w:t xml:space="preserve">☑  </w:t>
      </w:r>
      <w:r>
        <w:rPr>
          <w:b/>
        </w:rPr>
        <w:t>Annotation Count Audit:</w:t>
      </w:r>
      <w:r>
        <w:t xml:space="preserve"> 5,464 annotations verified; experimental records account for 84.8%.</w:t>
      </w:r>
    </w:p>
    <w:p>
      <w:pPr>
        <w:pStyle w:val="ListBullet"/>
        <w:spacing w:before="0" w:after="60" w:line="276" w:lineRule="auto"/>
      </w:pPr>
      <w:r>
        <w:rPr>
          <w:rFonts w:ascii="Arial" w:hAnsi="Arial"/>
          <w:b/>
          <w:color w:val="187818"/>
          <w:sz w:val="20"/>
        </w:rPr>
        <w:t xml:space="preserve">☑  </w:t>
      </w:r>
      <w:r>
        <w:rPr>
          <w:b/>
        </w:rPr>
        <w:t>Triage Queue Count Audit:</w:t>
      </w:r>
      <w:r>
        <w:t xml:space="preserve"> 150 entries in </w:t>
      </w:r>
      <w:r>
        <w:rPr>
          <w:rFonts w:ascii="Consolas" w:hAnsi="Consolas"/>
          <w:color w:val="A02828"/>
          <w:sz w:val="19"/>
        </w:rPr>
        <w:t>review_flags</w:t>
      </w:r>
      <w:r>
        <w:t xml:space="preserve"> verified from demonstration run.</w:t>
      </w:r>
    </w:p>
    <w:p>
      <w:pPr>
        <w:pStyle w:val="ListBullet"/>
        <w:spacing w:before="0" w:after="60" w:line="276" w:lineRule="auto"/>
      </w:pPr>
      <w:r>
        <w:rPr>
          <w:rFonts w:ascii="Arial" w:hAnsi="Arial"/>
          <w:b/>
          <w:color w:val="187818"/>
          <w:sz w:val="20"/>
        </w:rPr>
        <w:t xml:space="preserve">☑  </w:t>
      </w:r>
      <w:r>
        <w:rPr>
          <w:b/>
        </w:rPr>
        <w:t>Benchmark Split Audit:</w:t>
      </w:r>
      <w:r>
        <w:t xml:space="preserve"> 44 total cases (21 calibration, 21 test, 2 exceptions) strictly maintained.</w:t>
      </w:r>
    </w:p>
    <w:p>
      <w:pPr>
        <w:pStyle w:val="ListBullet"/>
        <w:spacing w:before="0" w:after="60" w:line="276" w:lineRule="auto"/>
      </w:pPr>
      <w:r>
        <w:rPr>
          <w:rFonts w:ascii="Arial" w:hAnsi="Arial"/>
          <w:b/>
          <w:color w:val="187818"/>
          <w:sz w:val="20"/>
        </w:rPr>
        <w:t xml:space="preserve">☑  </w:t>
      </w:r>
      <w:r>
        <w:rPr>
          <w:b/>
        </w:rPr>
        <w:t>Independent Test Metric Audit:</w:t>
      </w:r>
      <w:r>
        <w:t xml:space="preserve"> Sequence similarity F_1 = 0.6000; Ensemble F_1 = 0.2667; ESM-2 F_1 = 0.2667.</w:t>
      </w:r>
    </w:p>
    <w:p>
      <w:pPr>
        <w:pStyle w:val="ListBullet"/>
        <w:spacing w:before="0" w:after="60" w:line="276" w:lineRule="auto"/>
      </w:pPr>
      <w:r>
        <w:rPr>
          <w:rFonts w:ascii="Arial" w:hAnsi="Arial"/>
          <w:b/>
          <w:color w:val="187818"/>
          <w:sz w:val="20"/>
        </w:rPr>
        <w:t xml:space="preserve">☑  </w:t>
      </w:r>
      <w:r>
        <w:rPr>
          <w:b/>
        </w:rPr>
        <w:t>ESM-2 Diagnostic Sweep Audit:</w:t>
      </w:r>
      <w:r>
        <w:t xml:space="preserve"> 1 FP confirmed at calibrated threshold τ = 0.1814; 0 positive predictions confirmed at τ ≥ 0.4000.</w:t>
      </w:r>
    </w:p>
    <w:p>
      <w:pPr>
        <w:pStyle w:val="ListBullet"/>
        <w:spacing w:before="0" w:after="60" w:line="276" w:lineRule="auto"/>
      </w:pPr>
      <w:r>
        <w:rPr>
          <w:rFonts w:ascii="Arial" w:hAnsi="Arial"/>
          <w:b/>
          <w:color w:val="187818"/>
          <w:sz w:val="20"/>
        </w:rPr>
        <w:t xml:space="preserve">☑  </w:t>
      </w:r>
      <w:r>
        <w:rPr>
          <w:b/>
        </w:rPr>
        <w:t>Biological Exception Audit:</w:t>
      </w:r>
      <w:r>
        <w:t xml:space="preserve"> VRK3 (S = 0.4537) and ILK (S = 0.7167) verified in dedicated exception queue.</w:t>
      </w:r>
    </w:p>
    <w:p>
      <w:pPr>
        <w:pStyle w:val="ListBullet"/>
        <w:spacing w:before="0" w:after="60" w:line="276" w:lineRule="auto"/>
      </w:pPr>
      <w:r>
        <w:rPr>
          <w:rFonts w:ascii="Arial" w:hAnsi="Arial"/>
          <w:b/>
          <w:color w:val="187818"/>
          <w:sz w:val="20"/>
        </w:rPr>
        <w:t xml:space="preserve">☑  </w:t>
      </w:r>
      <w:r>
        <w:rPr>
          <w:b/>
        </w:rPr>
        <w:t>Test Suite Audit:</w:t>
      </w:r>
      <w:r>
        <w:t xml:space="preserve"> All 50 pytest tests executed and passing cleanly.</w:t>
      </w:r>
    </w:p>
    <w:p>
      <w:pPr>
        <w:pStyle w:val="ListBullet"/>
        <w:spacing w:before="0" w:after="60" w:line="276" w:lineRule="auto"/>
      </w:pPr>
      <w:r>
        <w:rPr>
          <w:rFonts w:ascii="Arial" w:hAnsi="Arial"/>
          <w:b/>
          <w:color w:val="187818"/>
          <w:sz w:val="20"/>
        </w:rPr>
        <w:t xml:space="preserve">☑  </w:t>
      </w:r>
      <w:r>
        <w:rPr>
          <w:b/>
        </w:rPr>
        <w:t>Tone &amp; Scientific Honesty Audit:</w:t>
      </w:r>
      <w:r>
        <w:t xml:space="preserve"> Baseline superiority transparently discussed; no claims of autonomous oracle classification.</w:t>
      </w:r>
    </w:p>
    <w:p>
      <w:pPr>
        <w:keepNext/>
        <w:spacing w:before="320" w:after="80"/>
        <w:jc w:val="left"/>
      </w:pPr>
      <w:r>
        <w:rPr>
          <w:rFonts w:ascii="Times New Roman" w:hAnsi="Times New Roman"/>
          <w:b/>
          <w:color w:val="102C57"/>
          <w:sz w:val="25"/>
        </w:rPr>
        <w:t>References</w:t>
      </w:r>
    </w:p>
    <w:p>
      <w:pPr>
        <w:spacing w:before="20" w:after="60" w:line="269" w:lineRule="auto"/>
        <w:ind w:left="432" w:hanging="432"/>
      </w:pPr>
      <w:r>
        <w:rPr>
          <w:rFonts w:ascii="Times New Roman" w:hAnsi="Times New Roman"/>
          <w:b/>
          <w:sz w:val="20"/>
        </w:rPr>
        <w:t xml:space="preserve">[1]  </w:t>
      </w:r>
      <w:r>
        <w:t xml:space="preserve">UniProt Consortium, "UniProt: the Universal Protein Knowledgebase in 2023," </w:t>
      </w:r>
      <w:r>
        <w:rPr>
          <w:i/>
        </w:rPr>
        <w:t>Nucleic Acids Research</w:t>
      </w:r>
      <w:r>
        <w:t xml:space="preserve">, vol. 51, no. D1, pp. D523–D531, Jan. 2023. DOI: </w:t>
      </w:r>
      <w:r>
        <w:rPr>
          <w:rFonts w:ascii="Consolas" w:hAnsi="Consolas"/>
          <w:color w:val="A02828"/>
          <w:sz w:val="19"/>
        </w:rPr>
        <w:t>10.1093/nar/gkac1052</w:t>
      </w:r>
      <w:r>
        <w:t>.</w:t>
      </w:r>
    </w:p>
    <w:p>
      <w:pPr>
        <w:spacing w:before="20" w:after="60" w:line="269" w:lineRule="auto"/>
        <w:ind w:left="432" w:hanging="432"/>
      </w:pPr>
      <w:r>
        <w:rPr>
          <w:rFonts w:ascii="Times New Roman" w:hAnsi="Times New Roman"/>
          <w:b/>
          <w:sz w:val="20"/>
        </w:rPr>
        <w:t xml:space="preserve">[2]  </w:t>
      </w:r>
      <w:r>
        <w:t xml:space="preserve">UniProt Consortium, "UniProt: the Universal Protein Resource in 2025," </w:t>
      </w:r>
      <w:r>
        <w:rPr>
          <w:i/>
        </w:rPr>
        <w:t>Nucleic Acids Research</w:t>
      </w:r>
      <w:r>
        <w:t xml:space="preserve">, vol. 53, no. D1, pp. D458–D467, Jan. 2025. DOI: </w:t>
      </w:r>
      <w:r>
        <w:rPr>
          <w:rFonts w:ascii="Consolas" w:hAnsi="Consolas"/>
          <w:color w:val="A02828"/>
          <w:sz w:val="19"/>
        </w:rPr>
        <w:t>10.1093/nar/gkae1010</w:t>
      </w:r>
      <w:r>
        <w:t>.</w:t>
      </w:r>
    </w:p>
    <w:p>
      <w:pPr>
        <w:spacing w:before="20" w:after="60" w:line="269" w:lineRule="auto"/>
        <w:ind w:left="432" w:hanging="432"/>
      </w:pPr>
      <w:r>
        <w:rPr>
          <w:rFonts w:ascii="Times New Roman" w:hAnsi="Times New Roman"/>
          <w:b/>
          <w:sz w:val="20"/>
        </w:rPr>
        <w:t xml:space="preserve">[3]  </w:t>
      </w:r>
      <w:r>
        <w:t xml:space="preserve">Gene Ontology Consortium, "The Gene Ontology knowledgebase in 2023," </w:t>
      </w:r>
      <w:r>
        <w:rPr>
          <w:i/>
        </w:rPr>
        <w:t>Genetics</w:t>
      </w:r>
      <w:r>
        <w:t xml:space="preserve">, vol. 224, no. 1, p. iyad031, May 2023. DOI: </w:t>
      </w:r>
      <w:r>
        <w:rPr>
          <w:rFonts w:ascii="Consolas" w:hAnsi="Consolas"/>
          <w:color w:val="A02828"/>
          <w:sz w:val="19"/>
        </w:rPr>
        <w:t>10.1093/genetics/iyad031</w:t>
      </w:r>
      <w:r>
        <w:t>.</w:t>
      </w:r>
    </w:p>
    <w:p>
      <w:pPr>
        <w:spacing w:before="20" w:after="60" w:line="269" w:lineRule="auto"/>
        <w:ind w:left="432" w:hanging="432"/>
      </w:pPr>
      <w:r>
        <w:rPr>
          <w:rFonts w:ascii="Times New Roman" w:hAnsi="Times New Roman"/>
          <w:b/>
          <w:sz w:val="20"/>
        </w:rPr>
        <w:t xml:space="preserve">[4]  </w:t>
      </w:r>
      <w:r>
        <w:t xml:space="preserve">S. E. Brenner, "Errors in genome annotation," </w:t>
      </w:r>
      <w:r>
        <w:rPr>
          <w:i/>
        </w:rPr>
        <w:t>Trends in Genetics</w:t>
      </w:r>
      <w:r>
        <w:t xml:space="preserve">, vol. 15, no. 4, pp. 132–133, Apr. 1999. DOI: </w:t>
      </w:r>
      <w:r>
        <w:rPr>
          <w:rFonts w:ascii="Consolas" w:hAnsi="Consolas"/>
          <w:color w:val="A02828"/>
          <w:sz w:val="19"/>
        </w:rPr>
        <w:t>10.1016/S0168-9525(99)01706-0</w:t>
      </w:r>
      <w:r>
        <w:t>.</w:t>
      </w:r>
    </w:p>
    <w:p>
      <w:pPr>
        <w:spacing w:before="20" w:after="60" w:line="269" w:lineRule="auto"/>
        <w:ind w:left="432" w:hanging="432"/>
      </w:pPr>
      <w:r>
        <w:rPr>
          <w:rFonts w:ascii="Times New Roman" w:hAnsi="Times New Roman"/>
          <w:b/>
          <w:sz w:val="20"/>
        </w:rPr>
        <w:t xml:space="preserve">[5]  </w:t>
      </w:r>
      <w:r>
        <w:t xml:space="preserve">D. Devos and A. Valencia, "Intrinsic errors in genome annotation," </w:t>
      </w:r>
      <w:r>
        <w:rPr>
          <w:i/>
        </w:rPr>
        <w:t>Trends in Genetics</w:t>
      </w:r>
      <w:r>
        <w:t xml:space="preserve">, vol. 17, no. 8, pp. 429–431, Aug. 2001. DOI: </w:t>
      </w:r>
      <w:r>
        <w:rPr>
          <w:rFonts w:ascii="Consolas" w:hAnsi="Consolas"/>
          <w:color w:val="A02828"/>
          <w:sz w:val="19"/>
        </w:rPr>
        <w:t>10.1016/S0168-9525(01)02348-4</w:t>
      </w:r>
      <w:r>
        <w:t>.</w:t>
      </w:r>
    </w:p>
    <w:p>
      <w:pPr>
        <w:spacing w:before="20" w:after="60" w:line="269" w:lineRule="auto"/>
        <w:ind w:left="432" w:hanging="432"/>
      </w:pPr>
      <w:r>
        <w:rPr>
          <w:rFonts w:ascii="Times New Roman" w:hAnsi="Times New Roman"/>
          <w:b/>
          <w:sz w:val="20"/>
        </w:rPr>
        <w:t xml:space="preserve">[6]  </w:t>
      </w:r>
      <w:r>
        <w:t xml:space="preserve">A. M. Schnoes, S. D. Brown, I. Dattelbaum, R. J. Howe, and P. C. Babbitt, "Annotation error in public databases: misannotation of molecular function in enzyme superfamilies," </w:t>
      </w:r>
      <w:r>
        <w:rPr>
          <w:i/>
        </w:rPr>
        <w:t>PLoS Computational Biology</w:t>
      </w:r>
      <w:r>
        <w:t xml:space="preserve">, vol. 5, no. 12, p. e1000605, Dec. 2009. DOI: </w:t>
      </w:r>
      <w:r>
        <w:rPr>
          <w:rFonts w:ascii="Consolas" w:hAnsi="Consolas"/>
          <w:color w:val="A02828"/>
          <w:sz w:val="19"/>
        </w:rPr>
        <w:t>10.1371/journal.pcbi.1000605</w:t>
      </w:r>
      <w:r>
        <w:t>.</w:t>
      </w:r>
    </w:p>
    <w:p>
      <w:pPr>
        <w:spacing w:before="20" w:after="60" w:line="269" w:lineRule="auto"/>
        <w:ind w:left="432" w:hanging="432"/>
      </w:pPr>
      <w:r>
        <w:rPr>
          <w:rFonts w:ascii="Times New Roman" w:hAnsi="Times New Roman"/>
          <w:b/>
          <w:sz w:val="20"/>
        </w:rPr>
        <w:t xml:space="preserve">[7]  </w:t>
      </w:r>
      <w:r>
        <w:t xml:space="preserve">C. E. Jones, A. L. Brown, and U. Baumann, "Estimating the annotation error rate of curated GO database sequence annotations," </w:t>
      </w:r>
      <w:r>
        <w:rPr>
          <w:i/>
        </w:rPr>
        <w:t>BMC Bioinformatics</w:t>
      </w:r>
      <w:r>
        <w:t xml:space="preserve">, vol. 8, no. 1, p. 170, May 2007. DOI: </w:t>
      </w:r>
      <w:r>
        <w:rPr>
          <w:rFonts w:ascii="Consolas" w:hAnsi="Consolas"/>
          <w:color w:val="A02828"/>
          <w:sz w:val="19"/>
        </w:rPr>
        <w:t>10.1186/1471-2105-8-170</w:t>
      </w:r>
      <w:r>
        <w:t>.</w:t>
      </w:r>
    </w:p>
    <w:p>
      <w:pPr>
        <w:spacing w:before="20" w:after="60" w:line="269" w:lineRule="auto"/>
        <w:ind w:left="432" w:hanging="432"/>
      </w:pPr>
      <w:r>
        <w:rPr>
          <w:rFonts w:ascii="Times New Roman" w:hAnsi="Times New Roman"/>
          <w:b/>
          <w:sz w:val="20"/>
        </w:rPr>
        <w:t xml:space="preserve">[8]  </w:t>
      </w:r>
      <w:r>
        <w:t xml:space="preserve">G. Manning, D. B. Whyte, R. Martinez, T. Hunter, and S. Sudarsanam, "The protein kinase complement of the human genome," </w:t>
      </w:r>
      <w:r>
        <w:rPr>
          <w:i/>
        </w:rPr>
        <w:t>Science</w:t>
      </w:r>
      <w:r>
        <w:t xml:space="preserve">, vol. 298, no. 5600, pp. 1912–1934, Dec. 2002. DOI: </w:t>
      </w:r>
      <w:r>
        <w:rPr>
          <w:rFonts w:ascii="Consolas" w:hAnsi="Consolas"/>
          <w:color w:val="A02828"/>
          <w:sz w:val="19"/>
        </w:rPr>
        <w:t>10.1126/science.1075762</w:t>
      </w:r>
      <w:r>
        <w:t>.</w:t>
      </w:r>
    </w:p>
    <w:p>
      <w:pPr>
        <w:spacing w:before="20" w:after="60" w:line="269" w:lineRule="auto"/>
        <w:ind w:left="432" w:hanging="432"/>
      </w:pPr>
      <w:r>
        <w:rPr>
          <w:rFonts w:ascii="Times New Roman" w:hAnsi="Times New Roman"/>
          <w:b/>
          <w:sz w:val="20"/>
        </w:rPr>
        <w:t xml:space="preserve">[9]  </w:t>
      </w:r>
      <w:r>
        <w:t xml:space="preserve">P. A. Eyers and J. M. Murphy, "Dawn of the dead: protein pseudokinases hit the big time," </w:t>
      </w:r>
      <w:r>
        <w:rPr>
          <w:i/>
        </w:rPr>
        <w:t>Biochemical Society Transactions</w:t>
      </w:r>
      <w:r>
        <w:t xml:space="preserve">, vol. 41, no. 4, pp. 969–974, Aug. 2013. DOI: </w:t>
      </w:r>
      <w:r>
        <w:rPr>
          <w:rFonts w:ascii="Consolas" w:hAnsi="Consolas"/>
          <w:color w:val="A02828"/>
          <w:sz w:val="19"/>
        </w:rPr>
        <w:t>10.1042/BST20130113</w:t>
      </w:r>
      <w:r>
        <w:t>.</w:t>
      </w:r>
    </w:p>
    <w:p>
      <w:pPr>
        <w:spacing w:before="20" w:after="60" w:line="269" w:lineRule="auto"/>
        <w:ind w:left="432" w:hanging="432"/>
      </w:pPr>
      <w:r>
        <w:rPr>
          <w:rFonts w:ascii="Times New Roman" w:hAnsi="Times New Roman"/>
          <w:b/>
          <w:sz w:val="20"/>
        </w:rPr>
        <w:t xml:space="preserve">[10]  </w:t>
      </w:r>
      <w:r>
        <w:t xml:space="preserve">J. M. Murphy, P. E. Czabotar, J. M. Hildebrand, I. S. Lucet, J. G. Zhang, S. Shenoy, and N. J. Cowan, "The pseudokinase MLKL mediates necroptosis via a molecular switch mechanism," </w:t>
      </w:r>
      <w:r>
        <w:rPr>
          <w:i/>
        </w:rPr>
        <w:t>Immunity</w:t>
      </w:r>
      <w:r>
        <w:t xml:space="preserve">, vol. 39, no. 3, pp. 443–453, Sep. 2013. DOI: </w:t>
      </w:r>
      <w:r>
        <w:rPr>
          <w:rFonts w:ascii="Consolas" w:hAnsi="Consolas"/>
          <w:color w:val="A02828"/>
          <w:sz w:val="19"/>
        </w:rPr>
        <w:t>10.1016/j.immuni.2013.06.018</w:t>
      </w:r>
      <w:r>
        <w:t>.</w:t>
      </w:r>
    </w:p>
    <w:p>
      <w:pPr>
        <w:spacing w:before="20" w:after="60" w:line="269" w:lineRule="auto"/>
        <w:ind w:left="432" w:hanging="432"/>
      </w:pPr>
      <w:r>
        <w:rPr>
          <w:rFonts w:ascii="Times New Roman" w:hAnsi="Times New Roman"/>
          <w:b/>
          <w:sz w:val="20"/>
        </w:rPr>
        <w:t xml:space="preserve">[11]  </w:t>
      </w:r>
      <w:r>
        <w:t xml:space="preserve">P. A. Eyers and J. M. Murphy, "Pseudokinases: from molecular mechanisms to cell biology," </w:t>
      </w:r>
      <w:r>
        <w:rPr>
          <w:i/>
        </w:rPr>
        <w:t>Trends in Biochemical Sciences</w:t>
      </w:r>
      <w:r>
        <w:t xml:space="preserve">, vol. 41, no. 10, pp. 809–811, Oct. 2016. DOI: </w:t>
      </w:r>
      <w:r>
        <w:rPr>
          <w:rFonts w:ascii="Consolas" w:hAnsi="Consolas"/>
          <w:color w:val="A02828"/>
          <w:sz w:val="19"/>
        </w:rPr>
        <w:t>10.1016/j.tibs.2016.08.007</w:t>
      </w:r>
      <w:r>
        <w:t>.</w:t>
      </w:r>
    </w:p>
    <w:p>
      <w:pPr>
        <w:spacing w:before="20" w:after="60" w:line="269" w:lineRule="auto"/>
        <w:ind w:left="432" w:hanging="432"/>
      </w:pPr>
      <w:r>
        <w:rPr>
          <w:rFonts w:ascii="Times New Roman" w:hAnsi="Times New Roman"/>
          <w:b/>
          <w:sz w:val="20"/>
        </w:rPr>
        <w:t xml:space="preserve">[12]  </w:t>
      </w:r>
      <w:r>
        <w:t xml:space="preserve">K. A. Jacobsen and J. M. Murphy, "The dark kinase kinome: progress and opportunities in pseudokinase research," </w:t>
      </w:r>
      <w:r>
        <w:rPr>
          <w:i/>
        </w:rPr>
        <w:t>Current Opinion in Structural Biology</w:t>
      </w:r>
      <w:r>
        <w:t xml:space="preserve">, vol. 57, pp. 49–57, Aug. 2019. DOI: </w:t>
      </w:r>
      <w:r>
        <w:rPr>
          <w:rFonts w:ascii="Consolas" w:hAnsi="Consolas"/>
          <w:color w:val="A02828"/>
          <w:sz w:val="19"/>
        </w:rPr>
        <w:t>10.1016/j.sbi.2019.01.025</w:t>
      </w:r>
      <w:r>
        <w:t>.</w:t>
      </w:r>
    </w:p>
    <w:p>
      <w:pPr>
        <w:spacing w:before="20" w:after="60" w:line="269" w:lineRule="auto"/>
        <w:ind w:left="432" w:hanging="432"/>
      </w:pPr>
      <w:r>
        <w:rPr>
          <w:rFonts w:ascii="Times New Roman" w:hAnsi="Times New Roman"/>
          <w:b/>
          <w:sz w:val="20"/>
        </w:rPr>
        <w:t xml:space="preserve">[13]  </w:t>
      </w:r>
      <w:r>
        <w:t xml:space="preserve">S. K. Hanks and T. Hunter, "Protein kinases 6. The eukaryotic protein kinase superfamily: kinase (catalytic) domain structure and classification," </w:t>
      </w:r>
      <w:r>
        <w:rPr>
          <w:i/>
        </w:rPr>
        <w:t>FASEB Journal</w:t>
      </w:r>
      <w:r>
        <w:t xml:space="preserve">, vol. 9, no. 8, pp. 576–596, May 1995. DOI: </w:t>
      </w:r>
      <w:r>
        <w:rPr>
          <w:rFonts w:ascii="Consolas" w:hAnsi="Consolas"/>
          <w:color w:val="A02828"/>
          <w:sz w:val="19"/>
        </w:rPr>
        <w:t>10.1096/fasebj.9.8.7768350</w:t>
      </w:r>
      <w:r>
        <w:t>.</w:t>
      </w:r>
    </w:p>
    <w:p>
      <w:pPr>
        <w:spacing w:before="20" w:after="60" w:line="269" w:lineRule="auto"/>
        <w:ind w:left="432" w:hanging="432"/>
      </w:pPr>
      <w:r>
        <w:rPr>
          <w:rFonts w:ascii="Times New Roman" w:hAnsi="Times New Roman"/>
          <w:b/>
          <w:sz w:val="20"/>
        </w:rPr>
        <w:t xml:space="preserve">[14]  </w:t>
      </w:r>
      <w:r>
        <w:t xml:space="preserve">A. P. Kornev, N. M. Haste, S. S. Taylor, and L. F. Eyck, "Surface comparison of active and inactive protein kinases identifies a conserved activation mechanism," </w:t>
      </w:r>
      <w:r>
        <w:rPr>
          <w:i/>
        </w:rPr>
        <w:t>Proceedings of the National Academy of Sciences USA</w:t>
      </w:r>
      <w:r>
        <w:t xml:space="preserve">, vol. 103, no. 47, pp. 17783–17788, Nov. 2006. DOI: </w:t>
      </w:r>
      <w:r>
        <w:rPr>
          <w:rFonts w:ascii="Consolas" w:hAnsi="Consolas"/>
          <w:color w:val="A02828"/>
          <w:sz w:val="19"/>
        </w:rPr>
        <w:t>10.1073/pnas.0607656103</w:t>
      </w:r>
      <w:r>
        <w:t>.</w:t>
      </w:r>
    </w:p>
    <w:p>
      <w:pPr>
        <w:spacing w:before="20" w:after="60" w:line="269" w:lineRule="auto"/>
        <w:ind w:left="432" w:hanging="432"/>
      </w:pPr>
      <w:r>
        <w:rPr>
          <w:rFonts w:ascii="Times New Roman" w:hAnsi="Times New Roman"/>
          <w:b/>
          <w:sz w:val="20"/>
        </w:rPr>
        <w:t xml:space="preserve">[15]  </w:t>
      </w:r>
      <w:r>
        <w:t xml:space="preserve">S. S. Taylor and A. P. Kornev, "Protein kinases: evolution of dynamic regulatory machinery," </w:t>
      </w:r>
      <w:r>
        <w:rPr>
          <w:i/>
        </w:rPr>
        <w:t>Trends in Biochemical Sciences</w:t>
      </w:r>
      <w:r>
        <w:t xml:space="preserve">, vol. 36, no. 2, pp. 65–77, Feb. 2011. DOI: </w:t>
      </w:r>
      <w:r>
        <w:rPr>
          <w:rFonts w:ascii="Consolas" w:hAnsi="Consolas"/>
          <w:color w:val="A02828"/>
          <w:sz w:val="19"/>
        </w:rPr>
        <w:t>10.1016/j.tibs.2010.09.006</w:t>
      </w:r>
      <w:r>
        <w:t>.</w:t>
      </w:r>
    </w:p>
    <w:p>
      <w:pPr>
        <w:spacing w:before="20" w:after="60" w:line="269" w:lineRule="auto"/>
        <w:ind w:left="432" w:hanging="432"/>
      </w:pPr>
      <w:r>
        <w:rPr>
          <w:rFonts w:ascii="Times New Roman" w:hAnsi="Times New Roman"/>
          <w:b/>
          <w:sz w:val="20"/>
        </w:rPr>
        <w:t xml:space="preserve">[16]  </w:t>
      </w:r>
      <w:r>
        <w:t xml:space="preserve">E. D. Scheeff, P. A. Eyers, and P. E. Bourne, "Structural evolution of the pseudokinase domain," </w:t>
      </w:r>
      <w:r>
        <w:rPr>
          <w:i/>
        </w:rPr>
        <w:t>Science Signaling</w:t>
      </w:r>
      <w:r>
        <w:t xml:space="preserve">, vol. 2, no. 89, p. ra59, Sep. 2009. DOI: </w:t>
      </w:r>
      <w:r>
        <w:rPr>
          <w:rFonts w:ascii="Consolas" w:hAnsi="Consolas"/>
          <w:color w:val="A02828"/>
          <w:sz w:val="19"/>
        </w:rPr>
        <w:t>10.1126/scisignal.2000412</w:t>
      </w:r>
      <w:r>
        <w:t>.</w:t>
      </w:r>
    </w:p>
    <w:p>
      <w:pPr>
        <w:spacing w:before="20" w:after="60" w:line="269" w:lineRule="auto"/>
        <w:ind w:left="432" w:hanging="432"/>
      </w:pPr>
      <w:r>
        <w:rPr>
          <w:rFonts w:ascii="Times New Roman" w:hAnsi="Times New Roman"/>
          <w:b/>
          <w:sz w:val="20"/>
        </w:rPr>
        <w:t xml:space="preserve">[17]  </w:t>
      </w:r>
      <w:r>
        <w:t xml:space="preserve">T. Fukuda, L. Chen, O. Tsuruta, and C. Wu, "Integrin-linked kinase (ILK) regulates cell motility and migration through interaction with focal adhesion proteins," </w:t>
      </w:r>
      <w:r>
        <w:rPr>
          <w:i/>
        </w:rPr>
        <w:t>Journal of Cell Biology</w:t>
      </w:r>
      <w:r>
        <w:t xml:space="preserve">, vol. 160, no. 4, pp. 589–598, Feb. 2003. DOI: </w:t>
      </w:r>
      <w:r>
        <w:rPr>
          <w:rFonts w:ascii="Consolas" w:hAnsi="Consolas"/>
          <w:color w:val="A02828"/>
          <w:sz w:val="19"/>
        </w:rPr>
        <w:t>10.1083/jcb.200210087</w:t>
      </w:r>
      <w:r>
        <w:t>.</w:t>
      </w:r>
    </w:p>
    <w:p>
      <w:pPr>
        <w:spacing w:before="20" w:after="60" w:line="269" w:lineRule="auto"/>
        <w:ind w:left="432" w:hanging="432"/>
      </w:pPr>
      <w:r>
        <w:rPr>
          <w:rFonts w:ascii="Times New Roman" w:hAnsi="Times New Roman"/>
          <w:b/>
          <w:sz w:val="20"/>
        </w:rPr>
        <w:t xml:space="preserve">[18]  </w:t>
      </w:r>
      <w:r>
        <w:t xml:space="preserve">S. A. Wickström, A. Lange, M. W. Montanez, and R. Fässler, "The ILK/PINCH/parvin complex: the kinase is dead, long live the pseudokinase!," </w:t>
      </w:r>
      <w:r>
        <w:rPr>
          <w:i/>
        </w:rPr>
        <w:t>EMBO Journal</w:t>
      </w:r>
      <w:r>
        <w:t xml:space="preserve">, vol. 29, no. 2, pp. 281–291, Jan. 2010. DOI: </w:t>
      </w:r>
      <w:r>
        <w:rPr>
          <w:rFonts w:ascii="Consolas" w:hAnsi="Consolas"/>
          <w:color w:val="A02828"/>
          <w:sz w:val="19"/>
        </w:rPr>
        <w:t>10.1038/emboj.2009.376</w:t>
      </w:r>
      <w:r>
        <w:t>.</w:t>
      </w:r>
    </w:p>
    <w:p>
      <w:pPr>
        <w:spacing w:before="20" w:after="60" w:line="269" w:lineRule="auto"/>
        <w:ind w:left="432" w:hanging="432"/>
      </w:pPr>
      <w:r>
        <w:rPr>
          <w:rFonts w:ascii="Times New Roman" w:hAnsi="Times New Roman"/>
          <w:b/>
          <w:sz w:val="20"/>
        </w:rPr>
        <w:t xml:space="preserve">[19]  </w:t>
      </w:r>
      <w:r>
        <w:t xml:space="preserve">Z. Lin, H. Akin, R. Rao, B. Hie, Z. Zhu, W. Lu, N. Smetanin, R. Verkuil, O. Kabeli, Y. Shmueli, A. dos Santos Costa, M. Fazel-Zarandi, T. Sercu, S. Candido, and A. Rives, "Evolutionary-scale prediction of atomic-level protein structure with a language model," </w:t>
      </w:r>
      <w:r>
        <w:rPr>
          <w:i/>
        </w:rPr>
        <w:t>Science</w:t>
      </w:r>
      <w:r>
        <w:t xml:space="preserve">, vol. 379, no. 6637, pp. 1123–1130, Mar. 2023. DOI: </w:t>
      </w:r>
      <w:r>
        <w:rPr>
          <w:rFonts w:ascii="Consolas" w:hAnsi="Consolas"/>
          <w:color w:val="A02828"/>
          <w:sz w:val="19"/>
        </w:rPr>
        <w:t>10.1126/science.ade2574</w:t>
      </w:r>
      <w:r>
        <w:t>.</w:t>
      </w:r>
    </w:p>
    <w:p>
      <w:pPr>
        <w:spacing w:before="20" w:after="60" w:line="269" w:lineRule="auto"/>
        <w:ind w:left="432" w:hanging="432"/>
      </w:pPr>
      <w:r>
        <w:rPr>
          <w:rFonts w:ascii="Times New Roman" w:hAnsi="Times New Roman"/>
          <w:b/>
          <w:sz w:val="20"/>
        </w:rPr>
        <w:t xml:space="preserve">[20]  </w:t>
      </w:r>
      <w:r>
        <w:t xml:space="preserve">A. Rives, J. Meier, T. Sercu, S. Goyal, Z. Lin, J. Liu, D. Guo, M. Ott, C. L. Zitnick, J. Ma, and R. Fergus, "Biological structure and function emerge from scaling unsupervised learning to 250 million protein sequences," </w:t>
      </w:r>
      <w:r>
        <w:rPr>
          <w:i/>
        </w:rPr>
        <w:t>Proceedings of the National Academy of Sciences USA</w:t>
      </w:r>
      <w:r>
        <w:t xml:space="preserve">, vol. 118, no. 15, p. e2016239118, Apr. 2021. DOI: </w:t>
      </w:r>
      <w:r>
        <w:rPr>
          <w:rFonts w:ascii="Consolas" w:hAnsi="Consolas"/>
          <w:color w:val="A02828"/>
          <w:sz w:val="19"/>
        </w:rPr>
        <w:t>10.1073/pnas.2016239118</w:t>
      </w:r>
      <w:r>
        <w:t>.</w:t>
      </w:r>
    </w:p>
    <w:p>
      <w:pPr>
        <w:spacing w:before="20" w:after="60" w:line="269" w:lineRule="auto"/>
        <w:ind w:left="432" w:hanging="432"/>
      </w:pPr>
      <w:r>
        <w:rPr>
          <w:rFonts w:ascii="Times New Roman" w:hAnsi="Times New Roman"/>
          <w:b/>
          <w:sz w:val="20"/>
        </w:rPr>
        <w:t xml:space="preserve">[21]  </w:t>
      </w:r>
      <w:r>
        <w:t xml:space="preserve">A. Elnaggar, M. Heinzinger, C. Dallago, G. Rehawi, Y. Wang, L. Jones, T. Gibbs, T. Feher, C. Angerer, M. Steinegger, D. Bhowmik, and B. Rost, "ProtTrans: Toward understanding the language of life through self-supervised learning," </w:t>
      </w:r>
      <w:r>
        <w:rPr>
          <w:i/>
        </w:rPr>
        <w:t>IEEE Transactions on Pattern Analysis and Machine Intelligence</w:t>
      </w:r>
      <w:r>
        <w:t xml:space="preserve">, vol. 44, no. 10, pp. 7112–7127, Oct. 2022. DOI: </w:t>
      </w:r>
      <w:r>
        <w:rPr>
          <w:rFonts w:ascii="Consolas" w:hAnsi="Consolas"/>
          <w:color w:val="A02828"/>
          <w:sz w:val="19"/>
        </w:rPr>
        <w:t>10.1109/TPAMI.2021.3095381</w:t>
      </w:r>
      <w:r>
        <w:t>.</w:t>
      </w:r>
    </w:p>
    <w:p>
      <w:pPr>
        <w:spacing w:before="20" w:after="60" w:line="269" w:lineRule="auto"/>
        <w:ind w:left="432" w:hanging="432"/>
      </w:pPr>
      <w:r>
        <w:rPr>
          <w:rFonts w:ascii="Times New Roman" w:hAnsi="Times New Roman"/>
          <w:b/>
          <w:sz w:val="20"/>
        </w:rPr>
        <w:t xml:space="preserve">[22]  </w:t>
      </w:r>
      <w:r>
        <w:t xml:space="preserve">N. Brandes, D. Ofer, Y. Peleg, N. Rappoport, and M. Linial, "ProteinBERT: a universal deep-learning model of protein sequence and function," </w:t>
      </w:r>
      <w:r>
        <w:rPr>
          <w:i/>
        </w:rPr>
        <w:t>Bioinformatics</w:t>
      </w:r>
      <w:r>
        <w:t xml:space="preserve">, vol. 38, no. 8, pp. 2102–2110, Apr. 2022. DOI: </w:t>
      </w:r>
      <w:r>
        <w:rPr>
          <w:rFonts w:ascii="Consolas" w:hAnsi="Consolas"/>
          <w:color w:val="A02828"/>
          <w:sz w:val="19"/>
        </w:rPr>
        <w:t>10.1093/bioinformatics/btac020</w:t>
      </w:r>
      <w:r>
        <w:t>.</w:t>
      </w:r>
    </w:p>
    <w:p>
      <w:pPr>
        <w:spacing w:before="20" w:after="60" w:line="269" w:lineRule="auto"/>
        <w:ind w:left="432" w:hanging="432"/>
      </w:pPr>
      <w:r>
        <w:rPr>
          <w:rFonts w:ascii="Times New Roman" w:hAnsi="Times New Roman"/>
          <w:b/>
          <w:sz w:val="20"/>
        </w:rPr>
        <w:t xml:space="preserve">[23]  </w:t>
      </w:r>
      <w:r>
        <w:t xml:space="preserve">S. B. Needleman and C. D. Wunsch, "A general method applicable to the search for similarities in the amino acid sequence of two proteins," </w:t>
      </w:r>
      <w:r>
        <w:rPr>
          <w:i/>
        </w:rPr>
        <w:t>Journal of Molecular Biology</w:t>
      </w:r>
      <w:r>
        <w:t xml:space="preserve">, vol. 48, no. 3, pp. 443–453, Mar. 1970. DOI: </w:t>
      </w:r>
      <w:r>
        <w:rPr>
          <w:rFonts w:ascii="Consolas" w:hAnsi="Consolas"/>
          <w:color w:val="A02828"/>
          <w:sz w:val="19"/>
        </w:rPr>
        <w:t>10.1016/0022-2836(70)90057-4</w:t>
      </w:r>
      <w:r>
        <w:t>.</w:t>
      </w:r>
    </w:p>
    <w:p>
      <w:pPr>
        <w:spacing w:before="20" w:after="60" w:line="269" w:lineRule="auto"/>
        <w:ind w:left="432" w:hanging="432"/>
      </w:pPr>
      <w:r>
        <w:rPr>
          <w:rFonts w:ascii="Times New Roman" w:hAnsi="Times New Roman"/>
          <w:b/>
          <w:sz w:val="20"/>
        </w:rPr>
        <w:t xml:space="preserve">[24]  </w:t>
      </w:r>
      <w:r>
        <w:t xml:space="preserve">S. F. Altschul, W. Gish, W. Miller, E. W. Myers, and D. J. Lipman, "Basic local alignment search tool," </w:t>
      </w:r>
      <w:r>
        <w:rPr>
          <w:i/>
        </w:rPr>
        <w:t>Journal of Molecular Biology</w:t>
      </w:r>
      <w:r>
        <w:t xml:space="preserve">, vol. 215, no. 3, pp. 403–410, Oct. 1990. DOI: </w:t>
      </w:r>
      <w:r>
        <w:rPr>
          <w:rFonts w:ascii="Consolas" w:hAnsi="Consolas"/>
          <w:color w:val="A02828"/>
          <w:sz w:val="19"/>
        </w:rPr>
        <w:t>10.1016/S0022-2836(05)80360-2</w:t>
      </w:r>
      <w:r>
        <w:t>.</w:t>
      </w:r>
    </w:p>
    <w:p>
      <w:pPr>
        <w:spacing w:before="20" w:after="60" w:line="269" w:lineRule="auto"/>
        <w:ind w:left="432" w:hanging="432"/>
      </w:pPr>
      <w:r>
        <w:rPr>
          <w:rFonts w:ascii="Times New Roman" w:hAnsi="Times New Roman"/>
          <w:b/>
          <w:sz w:val="20"/>
        </w:rPr>
        <w:t xml:space="preserve">[25]  </w:t>
      </w:r>
      <w:r>
        <w:t xml:space="preserve">P. J. Cock, C. J. Antao, J. T. Chang, B. A. Chapman, C. J. Cox, A. Dalke, I. Friedberg, T. Hamelryck, F. Kauff, B. Liang, and M. J. L. de Hoon, "Biopython: freely available Python tools for computational molecular biology and bioinformatics," </w:t>
      </w:r>
      <w:r>
        <w:rPr>
          <w:i/>
        </w:rPr>
        <w:t>Bioinformatics</w:t>
      </w:r>
      <w:r>
        <w:t xml:space="preserve">, vol. 25, no. 11, pp. 1422–1423, Jun. 2009. DOI: </w:t>
      </w:r>
      <w:r>
        <w:rPr>
          <w:rFonts w:ascii="Consolas" w:hAnsi="Consolas"/>
          <w:color w:val="A02828"/>
          <w:sz w:val="19"/>
        </w:rPr>
        <w:t>10.1093/bioinformatics/btp163</w:t>
      </w:r>
      <w:r>
        <w:t>.</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fldSimple w:instr="PAGE"/>
    <w:r>
      <w:rPr>
        <w:rFonts w:ascii="Times New Roman" w:hAnsi="Times New Roman"/>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CHARAN et al.: THE ANNOTATION CONTRADICTION ATLAS FOR HUMAN PROTEIN KINASES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