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B08D57"/>
          <w:spacing w:val="20"/>
          <w:sz w:val="26"/>
          <w:szCs w:val="26"/>
        </w:rPr>
        <w:t xml:space="preserve">COSMIC GUIDANCE APP</w:t>
      </w:r>
    </w:p>
    <w:p>
      <w:pPr>
        <w:spacing w:after="200" w:before="200"/>
        <w:jc w:val="center"/>
      </w:pPr>
      <w:r>
        <w:rPr>
          <w:b/>
          <w:bCs/>
          <w:color w:val="1B1032"/>
          <w:sz w:val="56"/>
          <w:szCs w:val="56"/>
        </w:rPr>
        <w:t xml:space="preserve">Product &amp; Business Plan</w:t>
      </w:r>
    </w:p>
    <w:p>
      <w:pPr>
        <w:spacing w:after="100"/>
        <w:jc w:val="center"/>
      </w:pPr>
      <w:r>
        <w:rPr>
          <w:i/>
          <w:iCs/>
          <w:color w:val="6C4E8C"/>
          <w:sz w:val="26"/>
          <w:szCs w:val="26"/>
        </w:rPr>
        <w:t xml:space="preserve">A rule-based astrology &amp; palmistry prediction app</w:t>
      </w:r>
    </w:p>
    <w:p>
      <w:pPr>
        <w:spacing w:after="3000" w:before="100"/>
        <w:jc w:val="center"/>
      </w:pPr>
      <w:r>
        <w:rPr>
          <w:color w:val="555555"/>
          <w:sz w:val="20"/>
          <w:szCs w:val="20"/>
        </w:rPr>
        <w:t xml:space="preserve">Modeled on the Astro Rekha reference format — instant palm &amp; birth-chart readings, weekly horoscopes, and relationship reports, built on deterministic astrology logic rather than freeform AI text.</w:t>
      </w:r>
    </w:p>
    <w:p>
      <w:pPr>
        <w:spacing w:after="80"/>
        <w:jc w:val="center"/>
      </w:pPr>
      <w:r>
        <w:rPr>
          <w:color w:val="222222"/>
          <w:sz w:val="20"/>
          <w:szCs w:val="20"/>
        </w:rPr>
        <w:t xml:space="preserve">Prepared for Krishna Negi</w:t>
      </w:r>
    </w:p>
    <w:p>
      <w:pPr>
        <w:jc w:val="center"/>
      </w:pPr>
      <w:r>
        <w:rPr>
          <w:color w:val="777777"/>
          <w:sz w:val="20"/>
          <w:szCs w:val="20"/>
        </w:rPr>
        <w:t xml:space="preserve">August 17, 2026</w:t>
      </w:r>
    </w:p>
    <w:p>
      <w:r>
        <w:br w:type="page"/>
      </w:r>
    </w:p>
    <w:p>
      <w:pPr>
        <w:pStyle w:val="Heading1"/>
      </w:pPr>
      <w:r>
        <w:rPr>
          <w:b/>
          <w:bCs/>
          <w:color w:val="1B1032"/>
        </w:rPr>
        <w:t xml:space="preserve">Contents</w:t>
      </w:r>
    </w:p>
    <w:p>
      <w:pPr>
        <w:spacing w:after="140"/>
      </w:pPr>
      <w:r>
        <w:rPr>
          <w:color w:val="222222"/>
          <w:sz w:val="24"/>
          <w:szCs w:val="24"/>
        </w:rPr>
        <w:t xml:space="preserve">1. Executive Summary</w:t>
      </w:r>
    </w:p>
    <w:p>
      <w:pPr>
        <w:spacing w:after="140"/>
      </w:pPr>
      <w:r>
        <w:rPr>
          <w:color w:val="222222"/>
          <w:sz w:val="24"/>
          <w:szCs w:val="24"/>
        </w:rPr>
        <w:t xml:space="preserve">2. Market Opportunity &amp; Competitive Landscape</w:t>
      </w:r>
    </w:p>
    <w:p>
      <w:pPr>
        <w:spacing w:after="140"/>
      </w:pPr>
      <w:r>
        <w:rPr>
          <w:color w:val="222222"/>
          <w:sz w:val="24"/>
          <w:szCs w:val="24"/>
        </w:rPr>
        <w:t xml:space="preserve">3. Target Audience &amp; Positioning</w:t>
      </w:r>
    </w:p>
    <w:p>
      <w:pPr>
        <w:spacing w:after="140"/>
      </w:pPr>
      <w:r>
        <w:rPr>
          <w:color w:val="222222"/>
          <w:sz w:val="24"/>
          <w:szCs w:val="24"/>
        </w:rPr>
        <w:t xml:space="preserve">4. Product Scope &amp; Feature Set</w:t>
      </w:r>
    </w:p>
    <w:p>
      <w:pPr>
        <w:spacing w:after="140"/>
      </w:pPr>
      <w:r>
        <w:rPr>
          <w:color w:val="222222"/>
          <w:sz w:val="24"/>
          <w:szCs w:val="24"/>
        </w:rPr>
        <w:t xml:space="preserve">5. Prediction Engine: Making “Rule-Based” Actually Work</w:t>
      </w:r>
    </w:p>
    <w:p>
      <w:pPr>
        <w:spacing w:after="140"/>
      </w:pPr>
      <w:r>
        <w:rPr>
          <w:color w:val="222222"/>
          <w:sz w:val="24"/>
          <w:szCs w:val="24"/>
        </w:rPr>
        <w:t xml:space="preserve">6. Recommended Tech Stack</w:t>
      </w:r>
    </w:p>
    <w:p>
      <w:pPr>
        <w:spacing w:after="140"/>
      </w:pPr>
      <w:r>
        <w:rPr>
          <w:color w:val="222222"/>
          <w:sz w:val="24"/>
          <w:szCs w:val="24"/>
        </w:rPr>
        <w:t xml:space="preserve">7. Monetization Strategy</w:t>
      </w:r>
    </w:p>
    <w:p>
      <w:pPr>
        <w:spacing w:after="140"/>
      </w:pPr>
      <w:r>
        <w:rPr>
          <w:color w:val="222222"/>
          <w:sz w:val="24"/>
          <w:szCs w:val="24"/>
        </w:rPr>
        <w:t xml:space="preserve">8. Legal, Compliance &amp; Trust</w:t>
      </w:r>
    </w:p>
    <w:p>
      <w:pPr>
        <w:spacing w:after="140"/>
      </w:pPr>
      <w:r>
        <w:rPr>
          <w:color w:val="222222"/>
          <w:sz w:val="24"/>
          <w:szCs w:val="24"/>
        </w:rPr>
        <w:t xml:space="preserve">9. Roadmap</w:t>
      </w:r>
    </w:p>
    <w:p>
      <w:pPr>
        <w:spacing w:after="140"/>
      </w:pPr>
      <w:r>
        <w:rPr>
          <w:color w:val="222222"/>
          <w:sz w:val="24"/>
          <w:szCs w:val="24"/>
        </w:rPr>
        <w:t xml:space="preserve">10. Team &amp; Cost Estimate</w:t>
      </w:r>
    </w:p>
    <w:p>
      <w:pPr>
        <w:spacing w:after="140"/>
      </w:pPr>
      <w:r>
        <w:rPr>
          <w:color w:val="222222"/>
          <w:sz w:val="24"/>
          <w:szCs w:val="24"/>
        </w:rPr>
        <w:t xml:space="preserve">11. Success Metrics</w:t>
      </w:r>
    </w:p>
    <w:p>
      <w:pPr>
        <w:spacing w:after="140"/>
      </w:pPr>
      <w:r>
        <w:rPr>
          <w:color w:val="222222"/>
          <w:sz w:val="24"/>
          <w:szCs w:val="24"/>
        </w:rPr>
        <w:t xml:space="preserve">12. Risks &amp; Mitigations</w:t>
      </w:r>
    </w:p>
    <w:p>
      <w:pPr>
        <w:spacing w:after="140"/>
      </w:pPr>
      <w:r>
        <w:rPr>
          <w:color w:val="222222"/>
          <w:sz w:val="24"/>
          <w:szCs w:val="24"/>
        </w:rPr>
        <w:t xml:space="preserve">13. Suggested Next Steps</w:t>
      </w:r>
    </w:p>
    <w:p>
      <w:r>
        <w:br w:type="page"/>
      </w:r>
    </w:p>
    <w:p>
      <w:pPr>
        <w:pStyle w:val="Heading1"/>
        <w:pBdr>
          <w:bottom w:val="single" w:color="B08D57" w:sz="8" w:space="4"/>
        </w:pBdr>
        <w:spacing w:after="200" w:before="480"/>
      </w:pPr>
      <w:r>
        <w:rPr>
          <w:b/>
          <w:bCs/>
          <w:color w:val="1B1032"/>
        </w:rPr>
        <w:t xml:space="preserve">1. Executive Summary</w:t>
      </w:r>
    </w:p>
    <w:p>
      <w:pPr>
        <w:spacing w:after="160" w:line="276"/>
      </w:pPr>
      <w:r>
        <w:t xml:space="preserve">Astrology and palmistry apps are a proven, growing consumer category: the global astrology market was worth roughly $3.94 billion in 2024 and is growing at about 5% a year, with mobile apps now accounting for around 60% of that revenue (roughly $2.85 billion). India and the wider Asia-Pacific region are the fastest-growing segment, and the category has already produced real businesses — India's AstroTalk reportedly does around $120 million a year connecting users with live astrologers, while US-based Co-Star has over 20 million downloads on a much lighter, fully automated model.</w:t>
      </w:r>
    </w:p>
    <w:p>
      <w:pPr>
        <w:spacing w:after="160" w:line="276"/>
      </w:pPr>
      <w:r>
        <w:t xml:space="preserve">The account you shared, Astro Rekha, sits in a well-validated pocket of this market: an Instagram-native funnel driving to a mobile web app that offers instant, visual, shareable readings — palm scans, weekly horoscopes, a “year ahead” overview, and higher-priced relationship reports like the “Future Partner Report.” It's a format worth replicating.</w:t>
      </w:r>
    </w:p>
    <w:p>
      <w:pPr>
        <w:spacing w:after="160" w:line="276"/>
      </w:pPr>
      <w:r>
        <w:t xml:space="preserve">You told me you want the underlying predictions to come from rule-based astrology logic — real astronomical/astrological calculations and classical palmistry rules — rather than an AI model freely generating text. That's a good instinct: it's cheaper to run, easier to explain and defend, and it sidesteps a growing pile of app-store rules around AI-generated content disclosure. This plan is built around that choice.</w:t>
      </w:r>
    </w:p>
    <w:p>
      <w:pPr>
        <w:spacing w:after="160" w:line="276"/>
      </w:pPr>
      <w:r>
        <w:t xml:space="preserve">The short version of the recommendation: don't build an ephemeris (astronomical calculation) engine from scratch — license one of several inexpensive, mature astrology APIs. Do build your own interpretation-text library and, if you want the palm-scan feature, budget real engineering time for the computer-vision step that has to happen before any “rule-based” palm reading logic can run. Launch lean, validate demand with an Instagram-and-landing-page funnel before writing a full app, and use the same entertainment-first framing Astro Rekha uses — it is doing real legal and trust work, not just a legal footnote.</w:t>
      </w:r>
    </w:p>
    <w:p>
      <w:pPr>
        <w:pStyle w:val="Heading1"/>
        <w:pBdr>
          <w:bottom w:val="single" w:color="B08D57" w:sz="8" w:space="4"/>
        </w:pBdr>
        <w:spacing w:after="200" w:before="480"/>
      </w:pPr>
      <w:r>
        <w:rPr>
          <w:b/>
          <w:bCs/>
          <w:color w:val="1B1032"/>
        </w:rPr>
        <w:t xml:space="preserve">2. Market Opportunity &amp; Competitive Landscape</w:t>
      </w:r>
    </w:p>
    <w:p>
      <w:pPr>
        <w:pStyle w:val="Heading2"/>
        <w:spacing w:after="140" w:before="320"/>
      </w:pPr>
      <w:r>
        <w:rPr>
          <w:b/>
          <w:bCs/>
          <w:color w:val="6C4E8C"/>
        </w:rPr>
        <w:t xml:space="preserve">2.1 Market size</w:t>
      </w:r>
    </w:p>
    <w:p>
      <w:pPr>
        <w:spacing w:after="160" w:line="276"/>
      </w:pPr>
      <w:r>
        <w:t xml:space="preserve">Global astrology industry value: approximately $3.94B (2024), growing at roughly 5% CAGR through 2029. Mobile apps make up an estimated 60% of that revenue (~$2.85B). Asia-Pacific, led by India, is the fastest-growing region; North America remains the largest single region by revenue. The primary user base skews young and female (roughly 18–25 core demographic), with growing Gen Z adoption globally — a strong match for an Instagram-first, visually driven product like the one you're describing.</w:t>
      </w:r>
    </w:p>
    <w:p>
      <w:pPr>
        <w:pStyle w:val="Heading2"/>
        <w:spacing w:after="140" w:before="320"/>
      </w:pPr>
      <w:r>
        <w:rPr>
          <w:b/>
          <w:bCs/>
          <w:color w:val="6C4E8C"/>
        </w:rPr>
        <w:t xml:space="preserve">2.2 Competitive landscape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350"/>
        <w:gridCol w:w="1400"/>
      </w:tblGrid>
      <w:tr>
        <w:trPr>
          <w:tblHeader/>
        </w:trPr>
        <w:tc>
          <w:tcPr>
            <w:tcW w:type="dxa" w:w="2400"/>
            <w:shd w:fill="1B1032" w:val="clear"/>
            <w:tcMar>
              <w:top w:type="dxa" w:w="80"/>
              <w:left w:type="dxa" w:w="120"/>
              <w:bottom w:type="dxa" w:w="80"/>
              <w:right w:type="dxa" w:w="120"/>
            </w:tcMar>
            <w:vAlign w:val="center"/>
          </w:tcPr>
          <w:p>
            <w:pPr>
              <w:jc w:val="left"/>
            </w:pPr>
            <w:r>
              <w:rPr>
                <w:b/>
                <w:bCs/>
                <w:color w:val="FFFFFF"/>
              </w:rPr>
              <w:t xml:space="preserve">App</w:t>
            </w:r>
          </w:p>
        </w:tc>
        <w:tc>
          <w:tcPr>
            <w:tcW w:type="dxa" w:w="3200"/>
            <w:shd w:fill="1B1032" w:val="clear"/>
            <w:tcMar>
              <w:top w:type="dxa" w:w="80"/>
              <w:left w:type="dxa" w:w="120"/>
              <w:bottom w:type="dxa" w:w="80"/>
              <w:right w:type="dxa" w:w="120"/>
            </w:tcMar>
            <w:vAlign w:val="center"/>
          </w:tcPr>
          <w:p>
            <w:pPr>
              <w:jc w:val="left"/>
            </w:pPr>
            <w:r>
              <w:rPr>
                <w:b/>
                <w:bCs/>
                <w:color w:val="FFFFFF"/>
              </w:rPr>
              <w:t xml:space="preserve">Core mechanic</w:t>
            </w:r>
          </w:p>
        </w:tc>
        <w:tc>
          <w:tcPr>
            <w:tcW w:type="dxa" w:w="2350"/>
            <w:shd w:fill="1B1032" w:val="clear"/>
            <w:tcMar>
              <w:top w:type="dxa" w:w="80"/>
              <w:left w:type="dxa" w:w="120"/>
              <w:bottom w:type="dxa" w:w="80"/>
              <w:right w:type="dxa" w:w="120"/>
            </w:tcMar>
            <w:vAlign w:val="center"/>
          </w:tcPr>
          <w:p>
            <w:pPr>
              <w:jc w:val="left"/>
            </w:pPr>
            <w:r>
              <w:rPr>
                <w:b/>
                <w:bCs/>
                <w:color w:val="FFFFFF"/>
              </w:rPr>
              <w:t xml:space="preserve">Monetization</w:t>
            </w:r>
          </w:p>
        </w:tc>
        <w:tc>
          <w:tcPr>
            <w:tcW w:type="dxa" w:w="1400"/>
            <w:shd w:fill="1B1032" w:val="clear"/>
            <w:tcMar>
              <w:top w:type="dxa" w:w="80"/>
              <w:left w:type="dxa" w:w="120"/>
              <w:bottom w:type="dxa" w:w="80"/>
              <w:right w:type="dxa" w:w="120"/>
            </w:tcMar>
            <w:vAlign w:val="center"/>
          </w:tcPr>
          <w:p>
            <w:pPr>
              <w:jc w:val="left"/>
            </w:pPr>
            <w:r>
              <w:rPr>
                <w:b/>
                <w:bCs/>
                <w:color w:val="FFFFFF"/>
              </w:rPr>
              <w:t xml:space="preserve">Notable data point</w:t>
            </w:r>
          </w:p>
        </w:tc>
      </w:tr>
      <w:tr>
        <w:tc>
          <w:tcPr>
            <w:tcW w:type="dxa" w:w="2400"/>
            <w:tcMar>
              <w:top w:type="dxa" w:w="80"/>
              <w:left w:type="dxa" w:w="120"/>
              <w:bottom w:type="dxa" w:w="80"/>
              <w:right w:type="dxa" w:w="120"/>
            </w:tcMar>
            <w:vAlign w:val="center"/>
          </w:tcPr>
          <w:p>
            <w:pPr>
              <w:jc w:val="left"/>
            </w:pPr>
            <w:r>
              <w:rPr>
                <w:b w:val="false"/>
                <w:bCs w:val="false"/>
                <w:color w:val="222222"/>
              </w:rPr>
              <w:t xml:space="preserve">Astro Rekha (reference)</w:t>
            </w:r>
          </w:p>
        </w:tc>
        <w:tc>
          <w:tcPr>
            <w:tcW w:type="dxa" w:w="3200"/>
            <w:tcMar>
              <w:top w:type="dxa" w:w="80"/>
              <w:left w:type="dxa" w:w="120"/>
              <w:bottom w:type="dxa" w:w="80"/>
              <w:right w:type="dxa" w:w="120"/>
            </w:tcMar>
            <w:vAlign w:val="center"/>
          </w:tcPr>
          <w:p>
            <w:pPr>
              <w:jc w:val="left"/>
            </w:pPr>
            <w:r>
              <w:rPr>
                <w:b w:val="false"/>
                <w:bCs w:val="false"/>
                <w:color w:val="222222"/>
              </w:rPr>
              <w:t xml:space="preserve">AI-styled palm scan + birth-chart readings, weekly horoscope, relationship reports</w:t>
            </w:r>
          </w:p>
        </w:tc>
        <w:tc>
          <w:tcPr>
            <w:tcW w:type="dxa" w:w="2350"/>
            <w:tcMar>
              <w:top w:type="dxa" w:w="80"/>
              <w:left w:type="dxa" w:w="120"/>
              <w:bottom w:type="dxa" w:w="80"/>
              <w:right w:type="dxa" w:w="120"/>
            </w:tcMar>
            <w:vAlign w:val="center"/>
          </w:tcPr>
          <w:p>
            <w:pPr>
              <w:jc w:val="left"/>
            </w:pPr>
            <w:r>
              <w:rPr>
                <w:b w:val="false"/>
                <w:bCs w:val="false"/>
                <w:color w:val="222222"/>
              </w:rPr>
              <w:t xml:space="preserve">Free teaser → paid deep reports, limited-time discount promos</w:t>
            </w:r>
          </w:p>
        </w:tc>
        <w:tc>
          <w:tcPr>
            <w:tcW w:type="dxa" w:w="1400"/>
            <w:tcMar>
              <w:top w:type="dxa" w:w="80"/>
              <w:left w:type="dxa" w:w="120"/>
              <w:bottom w:type="dxa" w:w="80"/>
              <w:right w:type="dxa" w:w="120"/>
            </w:tcMar>
            <w:vAlign w:val="center"/>
          </w:tcPr>
          <w:p>
            <w:pPr>
              <w:jc w:val="left"/>
            </w:pPr>
            <w:r>
              <w:rPr>
                <w:b w:val="false"/>
                <w:bCs w:val="false"/>
                <w:color w:val="222222"/>
              </w:rPr>
              <w:t xml:space="preserve">901 IG followers, early-stage — the format to borrow, not the scale to fear</w:t>
            </w:r>
          </w:p>
        </w:tc>
      </w:tr>
      <w:tr>
        <w:tc>
          <w:tcPr>
            <w:tcW w:type="dxa" w:w="2400"/>
            <w:shd w:fill="F2EEF7" w:val="clear"/>
            <w:tcMar>
              <w:top w:type="dxa" w:w="80"/>
              <w:left w:type="dxa" w:w="120"/>
              <w:bottom w:type="dxa" w:w="80"/>
              <w:right w:type="dxa" w:w="120"/>
            </w:tcMar>
            <w:vAlign w:val="center"/>
          </w:tcPr>
          <w:p>
            <w:pPr>
              <w:jc w:val="left"/>
            </w:pPr>
            <w:r>
              <w:rPr>
                <w:b w:val="false"/>
                <w:bCs w:val="false"/>
                <w:color w:val="222222"/>
              </w:rPr>
              <w:t xml:space="preserve">AstroTalk (India)</w:t>
            </w:r>
          </w:p>
        </w:tc>
        <w:tc>
          <w:tcPr>
            <w:tcW w:type="dxa" w:w="3200"/>
            <w:shd w:fill="F2EEF7" w:val="clear"/>
            <w:tcMar>
              <w:top w:type="dxa" w:w="80"/>
              <w:left w:type="dxa" w:w="120"/>
              <w:bottom w:type="dxa" w:w="80"/>
              <w:right w:type="dxa" w:w="120"/>
            </w:tcMar>
            <w:vAlign w:val="center"/>
          </w:tcPr>
          <w:p>
            <w:pPr>
              <w:jc w:val="left"/>
            </w:pPr>
            <w:r>
              <w:rPr>
                <w:b w:val="false"/>
                <w:bCs w:val="false"/>
                <w:color w:val="222222"/>
              </w:rPr>
              <w:t xml:space="preserve">Marketplace connecting users to live astrologers via chat/call, plus AI chat</w:t>
            </w:r>
          </w:p>
        </w:tc>
        <w:tc>
          <w:tcPr>
            <w:tcW w:type="dxa" w:w="2350"/>
            <w:shd w:fill="F2EEF7" w:val="clear"/>
            <w:tcMar>
              <w:top w:type="dxa" w:w="80"/>
              <w:left w:type="dxa" w:w="120"/>
              <w:bottom w:type="dxa" w:w="80"/>
              <w:right w:type="dxa" w:w="120"/>
            </w:tcMar>
            <w:vAlign w:val="center"/>
          </w:tcPr>
          <w:p>
            <w:pPr>
              <w:jc w:val="left"/>
            </w:pPr>
            <w:r>
              <w:rPr>
                <w:b w:val="false"/>
                <w:bCs w:val="false"/>
                <w:color w:val="222222"/>
              </w:rPr>
              <w:t xml:space="preserve">Pay-per-minute consultations</w:t>
            </w:r>
          </w:p>
        </w:tc>
        <w:tc>
          <w:tcPr>
            <w:tcW w:type="dxa" w:w="1400"/>
            <w:shd w:fill="F2EEF7" w:val="clear"/>
            <w:tcMar>
              <w:top w:type="dxa" w:w="80"/>
              <w:left w:type="dxa" w:w="120"/>
              <w:bottom w:type="dxa" w:w="80"/>
              <w:right w:type="dxa" w:w="120"/>
            </w:tcMar>
            <w:vAlign w:val="center"/>
          </w:tcPr>
          <w:p>
            <w:pPr>
              <w:jc w:val="left"/>
            </w:pPr>
            <w:r>
              <w:rPr>
                <w:b w:val="false"/>
                <w:bCs w:val="false"/>
                <w:color w:val="222222"/>
              </w:rPr>
              <w:t xml:space="preserve">~$120M/year revenue — largest Indian consumer astrology brand</w:t>
            </w:r>
          </w:p>
        </w:tc>
      </w:tr>
      <w:tr>
        <w:tc>
          <w:tcPr>
            <w:tcW w:type="dxa" w:w="2400"/>
            <w:tcMar>
              <w:top w:type="dxa" w:w="80"/>
              <w:left w:type="dxa" w:w="120"/>
              <w:bottom w:type="dxa" w:w="80"/>
              <w:right w:type="dxa" w:w="120"/>
            </w:tcMar>
            <w:vAlign w:val="center"/>
          </w:tcPr>
          <w:p>
            <w:pPr>
              <w:jc w:val="left"/>
            </w:pPr>
            <w:r>
              <w:rPr>
                <w:b w:val="false"/>
                <w:bCs w:val="false"/>
                <w:color w:val="222222"/>
              </w:rPr>
              <w:t xml:space="preserve">Co-Star (US)</w:t>
            </w:r>
          </w:p>
        </w:tc>
        <w:tc>
          <w:tcPr>
            <w:tcW w:type="dxa" w:w="3200"/>
            <w:tcMar>
              <w:top w:type="dxa" w:w="80"/>
              <w:left w:type="dxa" w:w="120"/>
              <w:bottom w:type="dxa" w:w="80"/>
              <w:right w:type="dxa" w:w="120"/>
            </w:tcMar>
            <w:vAlign w:val="center"/>
          </w:tcPr>
          <w:p>
            <w:pPr>
              <w:jc w:val="left"/>
            </w:pPr>
            <w:r>
              <w:rPr>
                <w:b w:val="false"/>
                <w:bCs w:val="false"/>
                <w:color w:val="222222"/>
              </w:rPr>
              <w:t xml:space="preserve">Daily personalized notifications from a real natal chart; social/shareable</w:t>
            </w:r>
          </w:p>
        </w:tc>
        <w:tc>
          <w:tcPr>
            <w:tcW w:type="dxa" w:w="2350"/>
            <w:tcMar>
              <w:top w:type="dxa" w:w="80"/>
              <w:left w:type="dxa" w:w="120"/>
              <w:bottom w:type="dxa" w:w="80"/>
              <w:right w:type="dxa" w:w="120"/>
            </w:tcMar>
            <w:vAlign w:val="center"/>
          </w:tcPr>
          <w:p>
            <w:pPr>
              <w:jc w:val="left"/>
            </w:pPr>
            <w:r>
              <w:rPr>
                <w:b w:val="false"/>
                <w:bCs w:val="false"/>
                <w:color w:val="222222"/>
              </w:rPr>
              <w:t xml:space="preserve">Freemium + paid compatibility &amp; deep reports</w:t>
            </w:r>
          </w:p>
        </w:tc>
        <w:tc>
          <w:tcPr>
            <w:tcW w:type="dxa" w:w="1400"/>
            <w:tcMar>
              <w:top w:type="dxa" w:w="80"/>
              <w:left w:type="dxa" w:w="120"/>
              <w:bottom w:type="dxa" w:w="80"/>
              <w:right w:type="dxa" w:w="120"/>
            </w:tcMar>
            <w:vAlign w:val="center"/>
          </w:tcPr>
          <w:p>
            <w:pPr>
              <w:jc w:val="left"/>
            </w:pPr>
            <w:r>
              <w:rPr>
                <w:b w:val="false"/>
                <w:bCs w:val="false"/>
                <w:color w:val="222222"/>
              </w:rPr>
              <w:t xml:space="preserve">20M+ downloads, ~$400K monthly revenue</w:t>
            </w:r>
          </w:p>
        </w:tc>
      </w:tr>
      <w:tr>
        <w:tc>
          <w:tcPr>
            <w:tcW w:type="dxa" w:w="2400"/>
            <w:shd w:fill="F2EEF7" w:val="clear"/>
            <w:tcMar>
              <w:top w:type="dxa" w:w="80"/>
              <w:left w:type="dxa" w:w="120"/>
              <w:bottom w:type="dxa" w:w="80"/>
              <w:right w:type="dxa" w:w="120"/>
            </w:tcMar>
            <w:vAlign w:val="center"/>
          </w:tcPr>
          <w:p>
            <w:pPr>
              <w:jc w:val="left"/>
            </w:pPr>
            <w:r>
              <w:rPr>
                <w:b w:val="false"/>
                <w:bCs w:val="false"/>
                <w:color w:val="222222"/>
              </w:rPr>
              <w:t xml:space="preserve">Nebula</w:t>
            </w:r>
          </w:p>
        </w:tc>
        <w:tc>
          <w:tcPr>
            <w:tcW w:type="dxa" w:w="3200"/>
            <w:shd w:fill="F2EEF7" w:val="clear"/>
            <w:tcMar>
              <w:top w:type="dxa" w:w="80"/>
              <w:left w:type="dxa" w:w="120"/>
              <w:bottom w:type="dxa" w:w="80"/>
              <w:right w:type="dxa" w:w="120"/>
            </w:tcMar>
            <w:vAlign w:val="center"/>
          </w:tcPr>
          <w:p>
            <w:pPr>
              <w:jc w:val="left"/>
            </w:pPr>
            <w:r>
              <w:rPr>
                <w:b w:val="false"/>
                <w:bCs w:val="false"/>
                <w:color w:val="222222"/>
              </w:rPr>
              <w:t xml:space="preserve">Astrology + palmistry + tarot bundled</w:t>
            </w:r>
          </w:p>
        </w:tc>
        <w:tc>
          <w:tcPr>
            <w:tcW w:type="dxa" w:w="2350"/>
            <w:shd w:fill="F2EEF7" w:val="clear"/>
            <w:tcMar>
              <w:top w:type="dxa" w:w="80"/>
              <w:left w:type="dxa" w:w="120"/>
              <w:bottom w:type="dxa" w:w="80"/>
              <w:right w:type="dxa" w:w="120"/>
            </w:tcMar>
            <w:vAlign w:val="center"/>
          </w:tcPr>
          <w:p>
            <w:pPr>
              <w:jc w:val="left"/>
            </w:pPr>
            <w:r>
              <w:rPr>
                <w:b w:val="false"/>
                <w:bCs w:val="false"/>
                <w:color w:val="222222"/>
              </w:rPr>
              <w:t xml:space="preserve">Subscription paywall after short free trial</w:t>
            </w:r>
          </w:p>
        </w:tc>
        <w:tc>
          <w:tcPr>
            <w:tcW w:type="dxa" w:w="1400"/>
            <w:shd w:fill="F2EEF7" w:val="clear"/>
            <w:tcMar>
              <w:top w:type="dxa" w:w="80"/>
              <w:left w:type="dxa" w:w="120"/>
              <w:bottom w:type="dxa" w:w="80"/>
              <w:right w:type="dxa" w:w="120"/>
            </w:tcMar>
            <w:vAlign w:val="center"/>
          </w:tcPr>
          <w:p>
            <w:pPr>
              <w:jc w:val="left"/>
            </w:pPr>
            <w:r>
              <w:rPr>
                <w:b w:val="false"/>
                <w:bCs w:val="false"/>
                <w:color w:val="222222"/>
              </w:rPr>
              <w:t xml:space="preserve">Broad “all-in-one” positioning</w:t>
            </w:r>
          </w:p>
        </w:tc>
      </w:tr>
      <w:tr>
        <w:tc>
          <w:tcPr>
            <w:tcW w:type="dxa" w:w="2400"/>
            <w:tcMar>
              <w:top w:type="dxa" w:w="80"/>
              <w:left w:type="dxa" w:w="120"/>
              <w:bottom w:type="dxa" w:w="80"/>
              <w:right w:type="dxa" w:w="120"/>
            </w:tcMar>
            <w:vAlign w:val="center"/>
          </w:tcPr>
          <w:p>
            <w:pPr>
              <w:jc w:val="left"/>
            </w:pPr>
            <w:r>
              <w:rPr>
                <w:b w:val="false"/>
                <w:bCs w:val="false"/>
                <w:color w:val="222222"/>
              </w:rPr>
              <w:t xml:space="preserve">The Pattern</w:t>
            </w:r>
          </w:p>
        </w:tc>
        <w:tc>
          <w:tcPr>
            <w:tcW w:type="dxa" w:w="3200"/>
            <w:tcMar>
              <w:top w:type="dxa" w:w="80"/>
              <w:left w:type="dxa" w:w="120"/>
              <w:bottom w:type="dxa" w:w="80"/>
              <w:right w:type="dxa" w:w="120"/>
            </w:tcMar>
            <w:vAlign w:val="center"/>
          </w:tcPr>
          <w:p>
            <w:pPr>
              <w:jc w:val="left"/>
            </w:pPr>
            <w:r>
              <w:rPr>
                <w:b w:val="false"/>
                <w:bCs w:val="false"/>
                <w:color w:val="222222"/>
              </w:rPr>
              <w:t xml:space="preserve">Personality/relationship insight from birth data</w:t>
            </w:r>
          </w:p>
        </w:tc>
        <w:tc>
          <w:tcPr>
            <w:tcW w:type="dxa" w:w="2350"/>
            <w:tcMar>
              <w:top w:type="dxa" w:w="80"/>
              <w:left w:type="dxa" w:w="120"/>
              <w:bottom w:type="dxa" w:w="80"/>
              <w:right w:type="dxa" w:w="120"/>
            </w:tcMar>
            <w:vAlign w:val="center"/>
          </w:tcPr>
          <w:p>
            <w:pPr>
              <w:jc w:val="left"/>
            </w:pPr>
            <w:r>
              <w:rPr>
                <w:b w:val="false"/>
                <w:bCs w:val="false"/>
                <w:color w:val="222222"/>
              </w:rPr>
              <w:t xml:space="preserve">Subscription</w:t>
            </w:r>
          </w:p>
        </w:tc>
        <w:tc>
          <w:tcPr>
            <w:tcW w:type="dxa" w:w="1400"/>
            <w:tcMar>
              <w:top w:type="dxa" w:w="80"/>
              <w:left w:type="dxa" w:w="120"/>
              <w:bottom w:type="dxa" w:w="80"/>
              <w:right w:type="dxa" w:w="120"/>
            </w:tcMar>
            <w:vAlign w:val="center"/>
          </w:tcPr>
          <w:p>
            <w:pPr>
              <w:jc w:val="left"/>
            </w:pPr>
            <w:r>
              <w:rPr>
                <w:b w:val="false"/>
                <w:bCs w:val="false"/>
                <w:color w:val="222222"/>
              </w:rPr>
              <w:t xml:space="preserve">~$99K monthly revenue (mid-2025 estimate)</w:t>
            </w:r>
          </w:p>
        </w:tc>
      </w:tr>
    </w:tbl>
    <w:p>
      <w:pPr>
        <w:spacing w:after="160" w:line="276"/>
      </w:pPr>
      <w:r>
        <w:t xml:space="preserve"/>
      </w:r>
    </w:p>
    <w:p>
      <w:pPr>
        <w:pStyle w:val="Heading2"/>
        <w:spacing w:after="140" w:before="320"/>
      </w:pPr>
      <w:r>
        <w:rPr>
          <w:b/>
          <w:bCs/>
          <w:color w:val="6C4E8C"/>
        </w:rPr>
        <w:t xml:space="preserve">2.3 The gap worth targeting</w:t>
      </w:r>
    </w:p>
    <w:p>
      <w:pPr>
        <w:spacing w:after="160" w:line="276"/>
      </w:pPr>
      <w:r>
        <w:t xml:space="preserve">The big players cluster into two camps: human-powered marketplaces (AstroTalk) that scale revenue but require an ops-heavy astrologer network, and minimalist, fully automated daily-insight apps (Co-Star, The Pattern) that are cheap to run but comparatively plain. Astro Rekha's format — instant visual palm scan plus a menu of punchy, shareable report types (weekly horoscope, 2026 outlook, future-partner report) — sits in between: no humans required, but far more visual and “gifty” than a plain daily-insight feed. That's the gap this plan targets.</w:t>
      </w:r>
    </w:p>
    <w:p>
      <w:pPr>
        <w:pStyle w:val="Heading1"/>
        <w:pBdr>
          <w:bottom w:val="single" w:color="B08D57" w:sz="8" w:space="4"/>
        </w:pBdr>
        <w:spacing w:after="200" w:before="480"/>
      </w:pPr>
      <w:r>
        <w:rPr>
          <w:b/>
          <w:bCs/>
          <w:color w:val="1B1032"/>
        </w:rPr>
        <w:t xml:space="preserve">3. Target Audience &amp; Positioning</w:t>
      </w:r>
    </w:p>
    <w:p>
      <w:pPr>
        <w:spacing w:after="160" w:line="276"/>
      </w:pPr>
      <w:r>
        <w:t xml:space="preserve">Primary audience: 18–30-year-olds, India and the Indian diaspora as the anchor market with room to expand globally, mobile-first, active on Instagram, curious about love/relationships and career, and comfortable paying small amounts (roughly ₹49–₹499) for instant-gratification content rather than a big subscription commitment up front.</w:t>
      </w:r>
    </w:p>
    <w:p>
      <w:pPr>
        <w:spacing w:after="160" w:line="276"/>
      </w:pPr>
      <w:r>
        <w:t xml:space="preserve">Secondary audience: 25–40-year-olds specifically drawn to relationship and “future partner” content — this is a naturally shareable, even giftable, category (“send this to your friend” is a built-in growth loop).</w:t>
      </w:r>
    </w:p>
    <w:p>
      <w:pPr>
        <w:spacing w:after="160" w:line="276"/>
      </w:pPr>
      <w:r>
        <w:t xml:space="preserve">A useful signal from Astro Rekha's own setup: their distribution engine is Instagram Reels and carousel ads driving to a link-in-bio landing page (astrorekha.com), not an app-store listing. That supports launching with a polished mobile web experience first, and only investing in a native app once the web funnel proves people will pay — much cheaper to iterate on, and no app-store review cycle to slow down testing.</w:t>
      </w:r>
    </w:p>
    <w:p>
      <w:pPr>
        <w:pStyle w:val="Heading1"/>
        <w:pBdr>
          <w:bottom w:val="single" w:color="B08D57" w:sz="8" w:space="4"/>
        </w:pBdr>
        <w:spacing w:after="200" w:before="480"/>
      </w:pPr>
      <w:r>
        <w:rPr>
          <w:b/>
          <w:bCs/>
          <w:color w:val="1B1032"/>
        </w:rPr>
        <w:t xml:space="preserve">4. Product Scope &amp; Feature Set</w:t>
      </w:r>
    </w:p>
    <w:p>
      <w:pPr>
        <w:spacing w:after="160" w:line="276"/>
      </w:pPr>
      <w:r>
        <w:t xml:space="preserve">Features are grouped into three phases so you can ship something real quickly and add the harder, more expensive pieces (especially automatic palm-line detection) once the core loop is validated.</w:t>
      </w:r>
    </w:p>
    <w:p>
      <w:pPr>
        <w:pStyle w:val="Heading2"/>
        <w:spacing w:after="140" w:before="320"/>
      </w:pPr>
      <w:r>
        <w:rPr>
          <w:b/>
          <w:bCs/>
          <w:color w:val="6C4E8C"/>
        </w:rPr>
        <w:t xml:space="preserve">4.1 MVP (Phase 1)</w:t>
      </w:r>
    </w:p>
    <w:p>
      <w:pPr>
        <w:pStyle w:val="ListParagraph"/>
        <w:numPr>
          <w:ilvl w:val="0"/>
          <w:numId w:val="2"/>
        </w:numPr>
        <w:spacing w:after="100" w:line="276"/>
      </w:pPr>
      <w:r>
        <w:t xml:space="preserve">Birth-chart onboarding — date, time, and place of birth in, sun/moon/rising sign summary out.</w:t>
      </w:r>
    </w:p>
    <w:p>
      <w:pPr>
        <w:pStyle w:val="ListParagraph"/>
        <w:numPr>
          <w:ilvl w:val="0"/>
          <w:numId w:val="2"/>
        </w:numPr>
        <w:spacing w:after="100" w:line="276"/>
      </w:pPr>
      <w:r>
        <w:t xml:space="preserve">Weekly horoscope by sun sign, generated from real transiting-planet positions against natal placements.</w:t>
      </w:r>
    </w:p>
    <w:p>
      <w:pPr>
        <w:pStyle w:val="ListParagraph"/>
        <w:numPr>
          <w:ilvl w:val="0"/>
          <w:numId w:val="2"/>
        </w:numPr>
        <w:spacing w:after="100" w:line="276"/>
      </w:pPr>
      <w:r>
        <w:t xml:space="preserve">Palm scan reading v1 — photo upload, guided line interpretation (see §5.2 for why this starts “assisted” rather than fully automatic).</w:t>
      </w:r>
    </w:p>
    <w:p>
      <w:pPr>
        <w:pStyle w:val="ListParagraph"/>
        <w:numPr>
          <w:ilvl w:val="0"/>
          <w:numId w:val="2"/>
        </w:numPr>
        <w:spacing w:after="100" w:line="276"/>
      </w:pPr>
      <w:r>
        <w:t xml:space="preserve">Daily “Love Energy” quick-check — a single-tap, low-effort daily hook.</w:t>
      </w:r>
    </w:p>
    <w:p>
      <w:pPr>
        <w:pStyle w:val="ListParagraph"/>
        <w:numPr>
          <w:ilvl w:val="0"/>
          <w:numId w:val="2"/>
        </w:numPr>
        <w:spacing w:after="100" w:line="276"/>
      </w:pPr>
      <w:r>
        <w:t xml:space="preserve">Shareable result cards sized for Instagram Stories — this is the growth engine, matching the creative style already visible in Astro Rekha's own posts.</w:t>
      </w:r>
    </w:p>
    <w:p>
      <w:pPr>
        <w:pStyle w:val="Heading2"/>
        <w:spacing w:after="140" w:before="320"/>
      </w:pPr>
      <w:r>
        <w:rPr>
          <w:b/>
          <w:bCs/>
          <w:color w:val="6C4E8C"/>
        </w:rPr>
        <w:t xml:space="preserve">4.2 Phase 2</w:t>
      </w:r>
    </w:p>
    <w:p>
      <w:pPr>
        <w:pStyle w:val="ListParagraph"/>
        <w:numPr>
          <w:ilvl w:val="0"/>
          <w:numId w:val="2"/>
        </w:numPr>
        <w:spacing w:after="100" w:line="276"/>
      </w:pPr>
      <w:r>
        <w:t xml:space="preserve">Compatibility / love-match report between two birth charts (a simplified synastry rule set).</w:t>
      </w:r>
    </w:p>
    <w:p>
      <w:pPr>
        <w:pStyle w:val="ListParagraph"/>
        <w:numPr>
          <w:ilvl w:val="0"/>
          <w:numId w:val="2"/>
        </w:numPr>
        <w:spacing w:after="100" w:line="276"/>
      </w:pPr>
      <w:r>
        <w:t xml:space="preserve">Annual “Year Ahead” report driven by major transits (Jupiter, Saturn).</w:t>
      </w:r>
    </w:p>
    <w:p>
      <w:pPr>
        <w:pStyle w:val="ListParagraph"/>
        <w:numPr>
          <w:ilvl w:val="0"/>
          <w:numId w:val="2"/>
        </w:numPr>
        <w:spacing w:after="100" w:line="276"/>
      </w:pPr>
      <w:r>
        <w:t xml:space="preserve">Future Partner Report — predicted initial, marriage-year window, compatibility percentage — clearly labeled as entertainment, built from transit-timing and numerology-style heuristics rather than presented as literal fortune-telling.</w:t>
      </w:r>
    </w:p>
    <w:p>
      <w:pPr>
        <w:pStyle w:val="ListParagraph"/>
        <w:numPr>
          <w:ilvl w:val="0"/>
          <w:numId w:val="2"/>
        </w:numPr>
        <w:spacing w:after="100" w:line="276"/>
      </w:pPr>
      <w:r>
        <w:t xml:space="preserve">Push notifications for daily guidance.</w:t>
      </w:r>
    </w:p>
    <w:p>
      <w:pPr>
        <w:pStyle w:val="Heading2"/>
        <w:spacing w:after="140" w:before="320"/>
      </w:pPr>
      <w:r>
        <w:rPr>
          <w:b/>
          <w:bCs/>
          <w:color w:val="6C4E8C"/>
        </w:rPr>
        <w:t xml:space="preserve">4.3 Phase 3</w:t>
      </w:r>
    </w:p>
    <w:p>
      <w:pPr>
        <w:pStyle w:val="ListParagraph"/>
        <w:numPr>
          <w:ilvl w:val="0"/>
          <w:numId w:val="2"/>
        </w:numPr>
        <w:spacing w:after="100" w:line="276"/>
      </w:pPr>
      <w:r>
        <w:t xml:space="preserve">Full automatic palm-line computer-vision pipeline (upgrade from the assisted v1 flow).</w:t>
      </w:r>
    </w:p>
    <w:p>
      <w:pPr>
        <w:pStyle w:val="ListParagraph"/>
        <w:numPr>
          <w:ilvl w:val="0"/>
          <w:numId w:val="2"/>
        </w:numPr>
        <w:spacing w:after="100" w:line="276"/>
      </w:pPr>
      <w:r>
        <w:t xml:space="preserve">Gifting flow — buy a reading for someone else.</w:t>
      </w:r>
    </w:p>
    <w:p>
      <w:pPr>
        <w:pStyle w:val="ListParagraph"/>
        <w:numPr>
          <w:ilvl w:val="0"/>
          <w:numId w:val="2"/>
        </w:numPr>
        <w:spacing w:after="100" w:line="276"/>
      </w:pPr>
      <w:r>
        <w:t xml:space="preserve">Multi-language support.</w:t>
      </w:r>
    </w:p>
    <w:p>
      <w:pPr>
        <w:pStyle w:val="ListParagraph"/>
        <w:numPr>
          <w:ilvl w:val="0"/>
          <w:numId w:val="2"/>
        </w:numPr>
        <w:spacing w:after="100" w:line="276"/>
      </w:pPr>
      <w:r>
        <w:t xml:space="preserve">Optional live-astrologer chat add-on, AstroTalk-style, if you want a higher-touch premium tier later.</w:t>
      </w:r>
    </w:p>
    <w:p>
      <w:pPr>
        <w:pStyle w:val="Heading1"/>
        <w:pBdr>
          <w:bottom w:val="single" w:color="B08D57" w:sz="8" w:space="4"/>
        </w:pBdr>
        <w:spacing w:after="200" w:before="480"/>
      </w:pPr>
      <w:r>
        <w:rPr>
          <w:b/>
          <w:bCs/>
          <w:color w:val="1B1032"/>
        </w:rPr>
        <w:t xml:space="preserve">5. Prediction Engine: Making “Rule-Based” Actually Work</w:t>
      </w:r>
    </w:p>
    <w:p>
      <w:pPr>
        <w:spacing w:after="160" w:line="276"/>
      </w:pPr>
      <w:r>
        <w:t xml:space="preserve">This is the technical core of the product, and it splits into two genuinely different engines — they get lumped together in a pitch like “AI-powered palm and astrology readings” but they don't share much underlying technology.</w:t>
      </w:r>
    </w:p>
    <w:p>
      <w:pPr>
        <w:pStyle w:val="Heading2"/>
        <w:spacing w:after="140" w:before="320"/>
      </w:pPr>
      <w:r>
        <w:rPr>
          <w:b/>
          <w:bCs/>
          <w:color w:val="6C4E8C"/>
        </w:rPr>
        <w:t xml:space="preserve">5.1 Astrology chart engine — fully deterministic, mature tooling exists</w:t>
      </w:r>
    </w:p>
    <w:p>
      <w:pPr>
        <w:spacing w:after="160" w:line="276"/>
      </w:pPr>
      <w:r>
        <w:t xml:space="preserve">Input: birth date, time, and place (converted to latitude/longitude/timezone). Every serious astrology tool, Vedic or Western, ultimately relies on the same underlying astronomical calculation library (Swiss Ephemeris) to compute exact planetary positions for that moment. On top of that sits a rules layer — classical Vedic (Parashari) or Western tropical rules — that maps planetary positions into houses, aspects, and yogas, which then feed a template library that turns those placements into readable copy.</w:t>
      </w:r>
    </w:p>
    <w:p>
      <w:pPr>
        <w:spacing w:after="160" w:line="276"/>
      </w:pPr>
      <w:r>
        <w:t xml:space="preserve">Recommendation: don't build the ephemeris math yourself. License one of the existing Vedic/Western astrology APIs — they're inexpensive, all built on the same open-source astronomical core, and switching providers later is low-cost since the underlying calculations are standardized.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50"/>
      </w:tblGrid>
      <w:tr>
        <w:trPr>
          <w:tblHeader/>
        </w:trPr>
        <w:tc>
          <w:tcPr>
            <w:tcW w:type="dxa" w:w="2200"/>
            <w:shd w:fill="1B1032" w:val="clear"/>
            <w:tcMar>
              <w:top w:type="dxa" w:w="80"/>
              <w:left w:type="dxa" w:w="120"/>
              <w:bottom w:type="dxa" w:w="80"/>
              <w:right w:type="dxa" w:w="120"/>
            </w:tcMar>
            <w:vAlign w:val="center"/>
          </w:tcPr>
          <w:p>
            <w:pPr>
              <w:jc w:val="left"/>
            </w:pPr>
            <w:r>
              <w:rPr>
                <w:b/>
                <w:bCs/>
                <w:color w:val="FFFFFF"/>
              </w:rPr>
              <w:t xml:space="preserve">Provider</w:t>
            </w:r>
          </w:p>
        </w:tc>
        <w:tc>
          <w:tcPr>
            <w:tcW w:type="dxa" w:w="2200"/>
            <w:shd w:fill="1B1032" w:val="clear"/>
            <w:tcMar>
              <w:top w:type="dxa" w:w="80"/>
              <w:left w:type="dxa" w:w="120"/>
              <w:bottom w:type="dxa" w:w="80"/>
              <w:right w:type="dxa" w:w="120"/>
            </w:tcMar>
            <w:vAlign w:val="center"/>
          </w:tcPr>
          <w:p>
            <w:pPr>
              <w:jc w:val="left"/>
            </w:pPr>
            <w:r>
              <w:rPr>
                <w:b/>
                <w:bCs/>
                <w:color w:val="FFFFFF"/>
              </w:rPr>
              <w:t xml:space="preserve">Free tier</w:t>
            </w:r>
          </w:p>
        </w:tc>
        <w:tc>
          <w:tcPr>
            <w:tcW w:type="dxa" w:w="2500"/>
            <w:shd w:fill="1B1032" w:val="clear"/>
            <w:tcMar>
              <w:top w:type="dxa" w:w="80"/>
              <w:left w:type="dxa" w:w="120"/>
              <w:bottom w:type="dxa" w:w="80"/>
              <w:right w:type="dxa" w:w="120"/>
            </w:tcMar>
            <w:vAlign w:val="center"/>
          </w:tcPr>
          <w:p>
            <w:pPr>
              <w:jc w:val="left"/>
            </w:pPr>
            <w:r>
              <w:rPr>
                <w:b/>
                <w:bCs/>
                <w:color w:val="FFFFFF"/>
              </w:rPr>
              <w:t xml:space="preserve">Entry paid tier</w:t>
            </w:r>
          </w:p>
        </w:tc>
        <w:tc>
          <w:tcPr>
            <w:tcW w:type="dxa" w:w="2450"/>
            <w:shd w:fill="1B1032" w:val="clear"/>
            <w:tcMar>
              <w:top w:type="dxa" w:w="80"/>
              <w:left w:type="dxa" w:w="120"/>
              <w:bottom w:type="dxa" w:w="80"/>
              <w:right w:type="dxa" w:w="120"/>
            </w:tcMar>
            <w:vAlign w:val="center"/>
          </w:tcPr>
          <w:p>
            <w:pPr>
              <w:jc w:val="left"/>
            </w:pPr>
            <w:r>
              <w:rPr>
                <w:b/>
                <w:bCs/>
                <w:color w:val="FFFFFF"/>
              </w:rPr>
              <w:t xml:space="preserve">Good fit for</w:t>
            </w:r>
          </w:p>
        </w:tc>
      </w:tr>
      <w:tr>
        <w:tc>
          <w:tcPr>
            <w:tcW w:type="dxa" w:w="2200"/>
            <w:tcMar>
              <w:top w:type="dxa" w:w="80"/>
              <w:left w:type="dxa" w:w="120"/>
              <w:bottom w:type="dxa" w:w="80"/>
              <w:right w:type="dxa" w:w="120"/>
            </w:tcMar>
            <w:vAlign w:val="center"/>
          </w:tcPr>
          <w:p>
            <w:pPr>
              <w:jc w:val="left"/>
            </w:pPr>
            <w:r>
              <w:rPr>
                <w:b w:val="false"/>
                <w:bCs w:val="false"/>
                <w:color w:val="222222"/>
              </w:rPr>
              <w:t xml:space="preserve">VedAstro</w:t>
            </w:r>
          </w:p>
        </w:tc>
        <w:tc>
          <w:tcPr>
            <w:tcW w:type="dxa" w:w="2200"/>
            <w:tcMar>
              <w:top w:type="dxa" w:w="80"/>
              <w:left w:type="dxa" w:w="120"/>
              <w:bottom w:type="dxa" w:w="80"/>
              <w:right w:type="dxa" w:w="120"/>
            </w:tcMar>
            <w:vAlign w:val="center"/>
          </w:tcPr>
          <w:p>
            <w:pPr>
              <w:jc w:val="left"/>
            </w:pPr>
            <w:r>
              <w:rPr>
                <w:b w:val="false"/>
                <w:bCs w:val="false"/>
                <w:color w:val="222222"/>
              </w:rPr>
              <w:t xml:space="preserve">5 requests/min, no signup</w:t>
            </w:r>
          </w:p>
        </w:tc>
        <w:tc>
          <w:tcPr>
            <w:tcW w:type="dxa" w:w="2500"/>
            <w:tcMar>
              <w:top w:type="dxa" w:w="80"/>
              <w:left w:type="dxa" w:w="120"/>
              <w:bottom w:type="dxa" w:w="80"/>
              <w:right w:type="dxa" w:w="120"/>
            </w:tcMar>
            <w:vAlign w:val="center"/>
          </w:tcPr>
          <w:p>
            <w:pPr>
              <w:jc w:val="left"/>
            </w:pPr>
            <w:r>
              <w:rPr>
                <w:b w:val="false"/>
                <w:bCs w:val="false"/>
                <w:color w:val="222222"/>
              </w:rPr>
              <w:t xml:space="preserve">~$1/month unlimited</w:t>
            </w:r>
          </w:p>
        </w:tc>
        <w:tc>
          <w:tcPr>
            <w:tcW w:type="dxa" w:w="2450"/>
            <w:tcMar>
              <w:top w:type="dxa" w:w="80"/>
              <w:left w:type="dxa" w:w="120"/>
              <w:bottom w:type="dxa" w:w="80"/>
              <w:right w:type="dxa" w:w="120"/>
            </w:tcMar>
            <w:vAlign w:val="center"/>
          </w:tcPr>
          <w:p>
            <w:pPr>
              <w:jc w:val="left"/>
            </w:pPr>
            <w:r>
              <w:rPr>
                <w:b w:val="false"/>
                <w:bCs w:val="false"/>
                <w:color w:val="222222"/>
              </w:rPr>
              <w:t xml:space="preserve">Cheapest option to prototype with; open source</w:t>
            </w:r>
          </w:p>
        </w:tc>
      </w:tr>
      <w:tr>
        <w:tc>
          <w:tcPr>
            <w:tcW w:type="dxa" w:w="2200"/>
            <w:shd w:fill="F2EEF7" w:val="clear"/>
            <w:tcMar>
              <w:top w:type="dxa" w:w="80"/>
              <w:left w:type="dxa" w:w="120"/>
              <w:bottom w:type="dxa" w:w="80"/>
              <w:right w:type="dxa" w:w="120"/>
            </w:tcMar>
            <w:vAlign w:val="center"/>
          </w:tcPr>
          <w:p>
            <w:pPr>
              <w:jc w:val="left"/>
            </w:pPr>
            <w:r>
              <w:rPr>
                <w:b w:val="false"/>
                <w:bCs w:val="false"/>
                <w:color w:val="222222"/>
              </w:rPr>
              <w:t xml:space="preserve">Prokerala</w:t>
            </w:r>
          </w:p>
        </w:tc>
        <w:tc>
          <w:tcPr>
            <w:tcW w:type="dxa" w:w="2200"/>
            <w:shd w:fill="F2EEF7" w:val="clear"/>
            <w:tcMar>
              <w:top w:type="dxa" w:w="80"/>
              <w:left w:type="dxa" w:w="120"/>
              <w:bottom w:type="dxa" w:w="80"/>
              <w:right w:type="dxa" w:w="120"/>
            </w:tcMar>
            <w:vAlign w:val="center"/>
          </w:tcPr>
          <w:p>
            <w:pPr>
              <w:jc w:val="left"/>
            </w:pPr>
            <w:r>
              <w:rPr>
                <w:b w:val="false"/>
                <w:bCs w:val="false"/>
                <w:color w:val="222222"/>
              </w:rPr>
              <w:t xml:space="preserve">5,000 credits/month</w:t>
            </w:r>
          </w:p>
        </w:tc>
        <w:tc>
          <w:tcPr>
            <w:tcW w:type="dxa" w:w="2500"/>
            <w:shd w:fill="F2EEF7" w:val="clear"/>
            <w:tcMar>
              <w:top w:type="dxa" w:w="80"/>
              <w:left w:type="dxa" w:w="120"/>
              <w:bottom w:type="dxa" w:w="80"/>
              <w:right w:type="dxa" w:w="120"/>
            </w:tcMar>
            <w:vAlign w:val="center"/>
          </w:tcPr>
          <w:p>
            <w:pPr>
              <w:jc w:val="left"/>
            </w:pPr>
            <w:r>
              <w:rPr>
                <w:b w:val="false"/>
                <w:bCs w:val="false"/>
                <w:color w:val="222222"/>
              </w:rPr>
              <w:t xml:space="preserve">~₹999/month (~$12)</w:t>
            </w:r>
          </w:p>
        </w:tc>
        <w:tc>
          <w:tcPr>
            <w:tcW w:type="dxa" w:w="2450"/>
            <w:shd w:fill="F2EEF7" w:val="clear"/>
            <w:tcMar>
              <w:top w:type="dxa" w:w="80"/>
              <w:left w:type="dxa" w:w="120"/>
              <w:bottom w:type="dxa" w:w="80"/>
              <w:right w:type="dxa" w:w="120"/>
            </w:tcMar>
            <w:vAlign w:val="center"/>
          </w:tcPr>
          <w:p>
            <w:pPr>
              <w:jc w:val="left"/>
            </w:pPr>
            <w:r>
              <w:rPr>
                <w:b w:val="false"/>
                <w:bCs w:val="false"/>
                <w:color w:val="222222"/>
              </w:rPr>
              <w:t xml:space="preserve">Established provider (since 2006), broad feature set</w:t>
            </w:r>
          </w:p>
        </w:tc>
      </w:tr>
      <w:tr>
        <w:tc>
          <w:tcPr>
            <w:tcW w:type="dxa" w:w="2200"/>
            <w:tcMar>
              <w:top w:type="dxa" w:w="80"/>
              <w:left w:type="dxa" w:w="120"/>
              <w:bottom w:type="dxa" w:w="80"/>
              <w:right w:type="dxa" w:w="120"/>
            </w:tcMar>
            <w:vAlign w:val="center"/>
          </w:tcPr>
          <w:p>
            <w:pPr>
              <w:jc w:val="left"/>
            </w:pPr>
            <w:r>
              <w:rPr>
                <w:b w:val="false"/>
                <w:bCs w:val="false"/>
                <w:color w:val="222222"/>
              </w:rPr>
              <w:t xml:space="preserve">AstrologyAPI.com</w:t>
            </w:r>
          </w:p>
        </w:tc>
        <w:tc>
          <w:tcPr>
            <w:tcW w:type="dxa" w:w="2200"/>
            <w:tcMar>
              <w:top w:type="dxa" w:w="80"/>
              <w:left w:type="dxa" w:w="120"/>
              <w:bottom w:type="dxa" w:w="80"/>
              <w:right w:type="dxa" w:w="120"/>
            </w:tcMar>
            <w:vAlign w:val="center"/>
          </w:tcPr>
          <w:p>
            <w:pPr>
              <w:jc w:val="left"/>
            </w:pPr>
            <w:r>
              <w:rPr>
                <w:b w:val="false"/>
                <w:bCs w:val="false"/>
                <w:color w:val="222222"/>
              </w:rPr>
              <w:t xml:space="preserve">50 credits</w:t>
            </w:r>
          </w:p>
        </w:tc>
        <w:tc>
          <w:tcPr>
            <w:tcW w:type="dxa" w:w="2500"/>
            <w:tcMar>
              <w:top w:type="dxa" w:w="80"/>
              <w:left w:type="dxa" w:w="120"/>
              <w:bottom w:type="dxa" w:w="80"/>
              <w:right w:type="dxa" w:w="120"/>
            </w:tcMar>
            <w:vAlign w:val="center"/>
          </w:tcPr>
          <w:p>
            <w:pPr>
              <w:jc w:val="left"/>
            </w:pPr>
            <w:r>
              <w:rPr>
                <w:b w:val="false"/>
                <w:bCs w:val="false"/>
                <w:color w:val="222222"/>
              </w:rPr>
              <w:t xml:space="preserve">Pay-as-you-go, ~$12/10,000 calls</w:t>
            </w:r>
          </w:p>
        </w:tc>
        <w:tc>
          <w:tcPr>
            <w:tcW w:type="dxa" w:w="2450"/>
            <w:tcMar>
              <w:top w:type="dxa" w:w="80"/>
              <w:left w:type="dxa" w:w="120"/>
              <w:bottom w:type="dxa" w:w="80"/>
              <w:right w:type="dxa" w:w="120"/>
            </w:tcMar>
            <w:vAlign w:val="center"/>
          </w:tcPr>
          <w:p>
            <w:pPr>
              <w:jc w:val="left"/>
            </w:pPr>
            <w:r>
              <w:rPr>
                <w:b w:val="false"/>
                <w:bCs w:val="false"/>
                <w:color w:val="222222"/>
              </w:rPr>
              <w:t xml:space="preserve">Largest catalog — 300+ endpoints</w:t>
            </w:r>
          </w:p>
        </w:tc>
      </w:tr>
      <w:tr>
        <w:tc>
          <w:tcPr>
            <w:tcW w:type="dxa" w:w="2200"/>
            <w:shd w:fill="F2EEF7" w:val="clear"/>
            <w:tcMar>
              <w:top w:type="dxa" w:w="80"/>
              <w:left w:type="dxa" w:w="120"/>
              <w:bottom w:type="dxa" w:w="80"/>
              <w:right w:type="dxa" w:w="120"/>
            </w:tcMar>
            <w:vAlign w:val="center"/>
          </w:tcPr>
          <w:p>
            <w:pPr>
              <w:jc w:val="left"/>
            </w:pPr>
            <w:r>
              <w:rPr>
                <w:b w:val="false"/>
                <w:bCs w:val="false"/>
                <w:color w:val="222222"/>
              </w:rPr>
              <w:t xml:space="preserve">VedicAstroAPI</w:t>
            </w:r>
          </w:p>
        </w:tc>
        <w:tc>
          <w:tcPr>
            <w:tcW w:type="dxa" w:w="2200"/>
            <w:shd w:fill="F2EEF7" w:val="clear"/>
            <w:tcMar>
              <w:top w:type="dxa" w:w="80"/>
              <w:left w:type="dxa" w:w="120"/>
              <w:bottom w:type="dxa" w:w="80"/>
              <w:right w:type="dxa" w:w="120"/>
            </w:tcMar>
            <w:vAlign w:val="center"/>
          </w:tcPr>
          <w:p>
            <w:pPr>
              <w:jc w:val="left"/>
            </w:pPr>
            <w:r>
              <w:rPr>
                <w:b w:val="false"/>
                <w:bCs w:val="false"/>
                <w:color w:val="222222"/>
              </w:rPr>
              <w:t xml:space="preserve">14-day trial</w:t>
            </w:r>
          </w:p>
        </w:tc>
        <w:tc>
          <w:tcPr>
            <w:tcW w:type="dxa" w:w="2500"/>
            <w:shd w:fill="F2EEF7" w:val="clear"/>
            <w:tcMar>
              <w:top w:type="dxa" w:w="80"/>
              <w:left w:type="dxa" w:w="120"/>
              <w:bottom w:type="dxa" w:w="80"/>
              <w:right w:type="dxa" w:w="120"/>
            </w:tcMar>
            <w:vAlign w:val="center"/>
          </w:tcPr>
          <w:p>
            <w:pPr>
              <w:jc w:val="left"/>
            </w:pPr>
            <w:r>
              <w:rPr>
                <w:b w:val="false"/>
                <w:bCs w:val="false"/>
                <w:color w:val="222222"/>
              </w:rPr>
              <w:t xml:space="preserve">~₹1,499/month (~$18)</w:t>
            </w:r>
          </w:p>
        </w:tc>
        <w:tc>
          <w:tcPr>
            <w:tcW w:type="dxa" w:w="2450"/>
            <w:shd w:fill="F2EEF7" w:val="clear"/>
            <w:tcMar>
              <w:top w:type="dxa" w:w="80"/>
              <w:left w:type="dxa" w:w="120"/>
              <w:bottom w:type="dxa" w:w="80"/>
              <w:right w:type="dxa" w:w="120"/>
            </w:tcMar>
            <w:vAlign w:val="center"/>
          </w:tcPr>
          <w:p>
            <w:pPr>
              <w:jc w:val="left"/>
            </w:pPr>
            <w:r>
              <w:rPr>
                <w:b w:val="false"/>
                <w:bCs w:val="false"/>
                <w:color w:val="222222"/>
              </w:rPr>
              <w:t xml:space="preserve">21 languages, multiple astrology systems</w:t>
            </w:r>
          </w:p>
        </w:tc>
      </w:tr>
    </w:tbl>
    <w:p>
      <w:pPr>
        <w:spacing w:after="160" w:line="276"/>
      </w:pPr>
      <w:r>
        <w:t xml:space="preserve"/>
      </w:r>
    </w:p>
    <w:p>
      <w:pPr>
        <w:spacing w:after="160" w:line="276"/>
      </w:pPr>
      <w:r>
        <w:t xml:space="preserve">The real product IP lives one layer up: a proprietary content library mapping (planet × house × sign × aspect) combinations to well-written interpretation snippets, assembled programmatically into each horoscope or report. That library — and the voice/quality of the writing in it — is your actual differentiator, not the astronomical math underneath it, which every competitor is running on the same open-source foundation.</w:t>
      </w:r>
    </w:p>
    <w:p>
      <w:pPr>
        <w:pStyle w:val="Heading2"/>
        <w:spacing w:after="140" w:before="320"/>
      </w:pPr>
      <w:r>
        <w:rPr>
          <w:b/>
          <w:bCs/>
          <w:color w:val="6C4E8C"/>
        </w:rPr>
        <w:t xml:space="preserve">5.2 Palmistry reading engine — rule-based, but only after a computer-vision step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7F1E8" w:val="clear"/>
            <w:tcMar>
              <w:top w:type="dxa" w:w="160"/>
              <w:left w:type="dxa" w:w="200"/>
              <w:bottom w:type="dxa" w:w="160"/>
              <w:right w:type="dxa" w:w="200"/>
            </w:tcMar>
          </w:tcPr>
          <w:p>
            <w:pPr>
              <w:spacing w:after="80"/>
            </w:pPr>
            <w:r>
              <w:rPr>
                <w:b/>
                <w:bCs/>
                <w:color w:val="1B1032"/>
              </w:rPr>
              <w:t xml:space="preserve">Worth flagging directly</w:t>
            </w:r>
          </w:p>
          <w:p>
            <w:pPr>
              <w:spacing w:after="0" w:line="276"/>
            </w:pPr>
            <w:r>
              <w:rPr>
                <w:color w:val="222222"/>
              </w:rPr>
              <w:t xml:space="preserve">Astrology can start from typed data (a birth date). Palmistry can't — it starts from a photo. Before any “rule-based” palmistry logic can run, something has to find the lines on the hand in that photo first. That's a real computer-vision problem, not a lookup table, and it's the part of this product that's genuinely harder to build than the astrology side.</w:t>
            </w:r>
          </w:p>
        </w:tc>
      </w:tr>
    </w:tbl>
    <w:p>
      <w:pPr>
        <w:spacing w:after="160" w:line="276"/>
      </w:pPr>
      <w:r>
        <w:t xml:space="preserve"/>
      </w:r>
    </w:p>
    <w:p>
      <w:pPr>
        <w:spacing w:after="160" w:line="276"/>
      </w:pPr>
      <w:r>
        <w:t xml:space="preserve">The intended pipeline: a hand-landmark model (such as Google's MediaPipe Hands, or a fine-tuned segmentation model) locates the palm and traces the major lines — life, heart, head, and fate — then extracts features like length, continuity, curvature, breaks, and forks, plus the mounts near the base of each finger. Those extracted features are then run through a palmistry rules database (classical hand-reading correspondences) to produce the interpretation. The interpretation half is genuinely rule-based and straightforward to build once features exist; the line-detection half is not, because lighting, skin tone, hand angle, and photo quality all vary a lot on real user-submitted phone photos.</w:t>
      </w:r>
    </w:p>
    <w:p>
      <w:pPr>
        <w:spacing w:after="160" w:line="276"/>
      </w:pPr>
      <w:r>
        <w:t xml:space="preserve">Practical recommendation: don't make full automatic line detection a day-one requirement. Two lower-risk ways to ship a palm feature sooner: (1) an “assisted” flow where the user traces or confirms their own line outline on top of their photo using a simple in-app tool, which turns the hard CV problem into a much easier verification problem, or (2) scope the fully automatic version as a Phase 3 upgrade once you have real usage data and budget to justify the computer-vision investment. Being honest about this trade-off up front is exactly what “rule-based over AI-generated” was meant to avoid — a system that quietly falls back to generic, randomized-feeling copy dressed up as personalized.</w:t>
      </w:r>
    </w:p>
    <w:p>
      <w:pPr>
        <w:pStyle w:val="Heading1"/>
        <w:pBdr>
          <w:bottom w:val="single" w:color="B08D57" w:sz="8" w:space="4"/>
        </w:pBdr>
        <w:spacing w:after="200" w:before="480"/>
      </w:pPr>
      <w:r>
        <w:rPr>
          <w:b/>
          <w:bCs/>
          <w:color w:val="1B1032"/>
        </w:rPr>
        <w:t xml:space="preserve">6. Recommended Tech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50"/>
      </w:tblGrid>
      <w:tr>
        <w:trPr>
          <w:tblHeader/>
        </w:trPr>
        <w:tc>
          <w:tcPr>
            <w:tcW w:type="dxa" w:w="2000"/>
            <w:shd w:fill="1B1032" w:val="clear"/>
            <w:tcMar>
              <w:top w:type="dxa" w:w="80"/>
              <w:left w:type="dxa" w:w="120"/>
              <w:bottom w:type="dxa" w:w="80"/>
              <w:right w:type="dxa" w:w="120"/>
            </w:tcMar>
            <w:vAlign w:val="center"/>
          </w:tcPr>
          <w:p>
            <w:pPr>
              <w:jc w:val="left"/>
            </w:pPr>
            <w:r>
              <w:rPr>
                <w:b/>
                <w:bCs/>
                <w:color w:val="FFFFFF"/>
              </w:rPr>
              <w:t xml:space="preserve">Layer</w:t>
            </w:r>
          </w:p>
        </w:tc>
        <w:tc>
          <w:tcPr>
            <w:tcW w:type="dxa" w:w="3600"/>
            <w:shd w:fill="1B1032" w:val="clear"/>
            <w:tcMar>
              <w:top w:type="dxa" w:w="80"/>
              <w:left w:type="dxa" w:w="120"/>
              <w:bottom w:type="dxa" w:w="80"/>
              <w:right w:type="dxa" w:w="120"/>
            </w:tcMar>
            <w:vAlign w:val="center"/>
          </w:tcPr>
          <w:p>
            <w:pPr>
              <w:jc w:val="left"/>
            </w:pPr>
            <w:r>
              <w:rPr>
                <w:b/>
                <w:bCs/>
                <w:color w:val="FFFFFF"/>
              </w:rPr>
              <w:t xml:space="preserve">Recommendation</w:t>
            </w:r>
          </w:p>
        </w:tc>
        <w:tc>
          <w:tcPr>
            <w:tcW w:type="dxa" w:w="3750"/>
            <w:shd w:fill="1B1032" w:val="clear"/>
            <w:tcMar>
              <w:top w:type="dxa" w:w="80"/>
              <w:left w:type="dxa" w:w="120"/>
              <w:bottom w:type="dxa" w:w="80"/>
              <w:right w:type="dxa" w:w="120"/>
            </w:tcMar>
            <w:vAlign w:val="center"/>
          </w:tcPr>
          <w:p>
            <w:pPr>
              <w:jc w:val="left"/>
            </w:pPr>
            <w:r>
              <w:rPr>
                <w:b/>
                <w:bCs/>
                <w:color w:val="FFFFFF"/>
              </w:rPr>
              <w:t xml:space="preserve">Why</w:t>
            </w:r>
          </w:p>
        </w:tc>
      </w:tr>
      <w:tr>
        <w:tc>
          <w:tcPr>
            <w:tcW w:type="dxa" w:w="2000"/>
            <w:tcMar>
              <w:top w:type="dxa" w:w="80"/>
              <w:left w:type="dxa" w:w="120"/>
              <w:bottom w:type="dxa" w:w="80"/>
              <w:right w:type="dxa" w:w="120"/>
            </w:tcMar>
            <w:vAlign w:val="center"/>
          </w:tcPr>
          <w:p>
            <w:pPr>
              <w:jc w:val="left"/>
            </w:pPr>
            <w:r>
              <w:rPr>
                <w:b w:val="false"/>
                <w:bCs w:val="false"/>
                <w:color w:val="222222"/>
              </w:rPr>
              <w:t xml:space="preserve">Client (v1)</w:t>
            </w:r>
          </w:p>
        </w:tc>
        <w:tc>
          <w:tcPr>
            <w:tcW w:type="dxa" w:w="3600"/>
            <w:tcMar>
              <w:top w:type="dxa" w:w="80"/>
              <w:left w:type="dxa" w:w="120"/>
              <w:bottom w:type="dxa" w:w="80"/>
              <w:right w:type="dxa" w:w="120"/>
            </w:tcMar>
            <w:vAlign w:val="center"/>
          </w:tcPr>
          <w:p>
            <w:pPr>
              <w:jc w:val="left"/>
            </w:pPr>
            <w:r>
              <w:rPr>
                <w:b w:val="false"/>
                <w:bCs w:val="false"/>
                <w:color w:val="222222"/>
              </w:rPr>
              <w:t xml:space="preserve">Mobile-responsive web app / PWA, matching the astrorekha.com pattern</w:t>
            </w:r>
          </w:p>
        </w:tc>
        <w:tc>
          <w:tcPr>
            <w:tcW w:type="dxa" w:w="3750"/>
            <w:tcMar>
              <w:top w:type="dxa" w:w="80"/>
              <w:left w:type="dxa" w:w="120"/>
              <w:bottom w:type="dxa" w:w="80"/>
              <w:right w:type="dxa" w:w="120"/>
            </w:tcMar>
            <w:vAlign w:val="center"/>
          </w:tcPr>
          <w:p>
            <w:pPr>
              <w:jc w:val="left"/>
            </w:pPr>
            <w:r>
              <w:rPr>
                <w:b w:val="false"/>
                <w:bCs w:val="false"/>
                <w:color w:val="222222"/>
              </w:rPr>
              <w:t xml:space="preserve">Fastest to ship and iterate; no app-store review cycle while validating demand</w:t>
            </w:r>
          </w:p>
        </w:tc>
      </w:tr>
      <w:tr>
        <w:tc>
          <w:tcPr>
            <w:tcW w:type="dxa" w:w="2000"/>
            <w:shd w:fill="F2EEF7" w:val="clear"/>
            <w:tcMar>
              <w:top w:type="dxa" w:w="80"/>
              <w:left w:type="dxa" w:w="120"/>
              <w:bottom w:type="dxa" w:w="80"/>
              <w:right w:type="dxa" w:w="120"/>
            </w:tcMar>
            <w:vAlign w:val="center"/>
          </w:tcPr>
          <w:p>
            <w:pPr>
              <w:jc w:val="left"/>
            </w:pPr>
            <w:r>
              <w:rPr>
                <w:b w:val="false"/>
                <w:bCs w:val="false"/>
                <w:color w:val="222222"/>
              </w:rPr>
              <w:t xml:space="preserve">Client (v2+)</w:t>
            </w:r>
          </w:p>
        </w:tc>
        <w:tc>
          <w:tcPr>
            <w:tcW w:type="dxa" w:w="3600"/>
            <w:shd w:fill="F2EEF7" w:val="clear"/>
            <w:tcMar>
              <w:top w:type="dxa" w:w="80"/>
              <w:left w:type="dxa" w:w="120"/>
              <w:bottom w:type="dxa" w:w="80"/>
              <w:right w:type="dxa" w:w="120"/>
            </w:tcMar>
            <w:vAlign w:val="center"/>
          </w:tcPr>
          <w:p>
            <w:pPr>
              <w:jc w:val="left"/>
            </w:pPr>
            <w:r>
              <w:rPr>
                <w:b w:val="false"/>
                <w:bCs w:val="false"/>
                <w:color w:val="222222"/>
              </w:rPr>
              <w:t xml:space="preserve">React Native (shared iOS + Android codebase)</w:t>
            </w:r>
          </w:p>
        </w:tc>
        <w:tc>
          <w:tcPr>
            <w:tcW w:type="dxa" w:w="3750"/>
            <w:shd w:fill="F2EEF7" w:val="clear"/>
            <w:tcMar>
              <w:top w:type="dxa" w:w="80"/>
              <w:left w:type="dxa" w:w="120"/>
              <w:bottom w:type="dxa" w:w="80"/>
              <w:right w:type="dxa" w:w="120"/>
            </w:tcMar>
            <w:vAlign w:val="center"/>
          </w:tcPr>
          <w:p>
            <w:pPr>
              <w:jc w:val="left"/>
            </w:pPr>
            <w:r>
              <w:rPr>
                <w:b w:val="false"/>
                <w:bCs w:val="false"/>
                <w:color w:val="222222"/>
              </w:rPr>
              <w:t xml:space="preserve">One codebase once the product is validated and native distribution matters</w:t>
            </w:r>
          </w:p>
        </w:tc>
      </w:tr>
      <w:tr>
        <w:tc>
          <w:tcPr>
            <w:tcW w:type="dxa" w:w="2000"/>
            <w:tcMar>
              <w:top w:type="dxa" w:w="80"/>
              <w:left w:type="dxa" w:w="120"/>
              <w:bottom w:type="dxa" w:w="80"/>
              <w:right w:type="dxa" w:w="120"/>
            </w:tcMar>
            <w:vAlign w:val="center"/>
          </w:tcPr>
          <w:p>
            <w:pPr>
              <w:jc w:val="left"/>
            </w:pPr>
            <w:r>
              <w:rPr>
                <w:b w:val="false"/>
                <w:bCs w:val="false"/>
                <w:color w:val="222222"/>
              </w:rPr>
              <w:t xml:space="preserve">Backend API</w:t>
            </w:r>
          </w:p>
        </w:tc>
        <w:tc>
          <w:tcPr>
            <w:tcW w:type="dxa" w:w="3600"/>
            <w:tcMar>
              <w:top w:type="dxa" w:w="80"/>
              <w:left w:type="dxa" w:w="120"/>
              <w:bottom w:type="dxa" w:w="80"/>
              <w:right w:type="dxa" w:w="120"/>
            </w:tcMar>
            <w:vAlign w:val="center"/>
          </w:tcPr>
          <w:p>
            <w:pPr>
              <w:jc w:val="left"/>
            </w:pPr>
            <w:r>
              <w:rPr>
                <w:b w:val="false"/>
                <w:bCs w:val="false"/>
                <w:color w:val="222222"/>
              </w:rPr>
              <w:t xml:space="preserve">Node.js or Python service layer</w:t>
            </w:r>
          </w:p>
        </w:tc>
        <w:tc>
          <w:tcPr>
            <w:tcW w:type="dxa" w:w="3750"/>
            <w:tcMar>
              <w:top w:type="dxa" w:w="80"/>
              <w:left w:type="dxa" w:w="120"/>
              <w:bottom w:type="dxa" w:w="80"/>
              <w:right w:type="dxa" w:w="120"/>
            </w:tcMar>
            <w:vAlign w:val="center"/>
          </w:tcPr>
          <w:p>
            <w:pPr>
              <w:jc w:val="left"/>
            </w:pPr>
            <w:r>
              <w:rPr>
                <w:b w:val="false"/>
                <w:bCs w:val="false"/>
                <w:color w:val="222222"/>
              </w:rPr>
              <w:t xml:space="preserve">Orchestrates astrology-API calls, runs the interpretation engine, manages users/reports</w:t>
            </w:r>
          </w:p>
        </w:tc>
      </w:tr>
      <w:tr>
        <w:tc>
          <w:tcPr>
            <w:tcW w:type="dxa" w:w="2000"/>
            <w:shd w:fill="F2EEF7" w:val="clear"/>
            <w:tcMar>
              <w:top w:type="dxa" w:w="80"/>
              <w:left w:type="dxa" w:w="120"/>
              <w:bottom w:type="dxa" w:w="80"/>
              <w:right w:type="dxa" w:w="120"/>
            </w:tcMar>
            <w:vAlign w:val="center"/>
          </w:tcPr>
          <w:p>
            <w:pPr>
              <w:jc w:val="left"/>
            </w:pPr>
            <w:r>
              <w:rPr>
                <w:b w:val="false"/>
                <w:bCs w:val="false"/>
                <w:color w:val="222222"/>
              </w:rPr>
              <w:t xml:space="preserve">Astrology calculations</w:t>
            </w:r>
          </w:p>
        </w:tc>
        <w:tc>
          <w:tcPr>
            <w:tcW w:type="dxa" w:w="3600"/>
            <w:shd w:fill="F2EEF7" w:val="clear"/>
            <w:tcMar>
              <w:top w:type="dxa" w:w="80"/>
              <w:left w:type="dxa" w:w="120"/>
              <w:bottom w:type="dxa" w:w="80"/>
              <w:right w:type="dxa" w:w="120"/>
            </w:tcMar>
            <w:vAlign w:val="center"/>
          </w:tcPr>
          <w:p>
            <w:pPr>
              <w:jc w:val="left"/>
            </w:pPr>
            <w:r>
              <w:rPr>
                <w:b w:val="false"/>
                <w:bCs w:val="false"/>
                <w:color w:val="222222"/>
              </w:rPr>
              <w:t xml:space="preserve">Licensed API (see §5.1) behind an internal adapter</w:t>
            </w:r>
          </w:p>
        </w:tc>
        <w:tc>
          <w:tcPr>
            <w:tcW w:type="dxa" w:w="3750"/>
            <w:shd w:fill="F2EEF7" w:val="clear"/>
            <w:tcMar>
              <w:top w:type="dxa" w:w="80"/>
              <w:left w:type="dxa" w:w="120"/>
              <w:bottom w:type="dxa" w:w="80"/>
              <w:right w:type="dxa" w:w="120"/>
            </w:tcMar>
            <w:vAlign w:val="center"/>
          </w:tcPr>
          <w:p>
            <w:pPr>
              <w:jc w:val="left"/>
            </w:pPr>
            <w:r>
              <w:rPr>
                <w:b w:val="false"/>
                <w:bCs w:val="false"/>
                <w:color w:val="222222"/>
              </w:rPr>
              <w:t xml:space="preserve">Avoids reimplementing ephemeris math; adapter keeps you portable between providers</w:t>
            </w:r>
          </w:p>
        </w:tc>
      </w:tr>
      <w:tr>
        <w:tc>
          <w:tcPr>
            <w:tcW w:type="dxa" w:w="2000"/>
            <w:tcMar>
              <w:top w:type="dxa" w:w="80"/>
              <w:left w:type="dxa" w:w="120"/>
              <w:bottom w:type="dxa" w:w="80"/>
              <w:right w:type="dxa" w:w="120"/>
            </w:tcMar>
            <w:vAlign w:val="center"/>
          </w:tcPr>
          <w:p>
            <w:pPr>
              <w:jc w:val="left"/>
            </w:pPr>
            <w:r>
              <w:rPr>
                <w:b w:val="false"/>
                <w:bCs w:val="false"/>
                <w:color w:val="222222"/>
              </w:rPr>
              <w:t xml:space="preserve">Palm computer vision</w:t>
            </w:r>
          </w:p>
        </w:tc>
        <w:tc>
          <w:tcPr>
            <w:tcW w:type="dxa" w:w="3600"/>
            <w:tcMar>
              <w:top w:type="dxa" w:w="80"/>
              <w:left w:type="dxa" w:w="120"/>
              <w:bottom w:type="dxa" w:w="80"/>
              <w:right w:type="dxa" w:w="120"/>
            </w:tcMar>
            <w:vAlign w:val="center"/>
          </w:tcPr>
          <w:p>
            <w:pPr>
              <w:jc w:val="left"/>
            </w:pPr>
            <w:r>
              <w:rPr>
                <w:b w:val="false"/>
                <w:bCs w:val="false"/>
                <w:color w:val="222222"/>
              </w:rPr>
              <w:t xml:space="preserve">Separate Python microservice (MediaPipe / OpenCV)</w:t>
            </w:r>
          </w:p>
        </w:tc>
        <w:tc>
          <w:tcPr>
            <w:tcW w:type="dxa" w:w="3750"/>
            <w:tcMar>
              <w:top w:type="dxa" w:w="80"/>
              <w:left w:type="dxa" w:w="120"/>
              <w:bottom w:type="dxa" w:w="80"/>
              <w:right w:type="dxa" w:w="120"/>
            </w:tcMar>
            <w:vAlign w:val="center"/>
          </w:tcPr>
          <w:p>
            <w:pPr>
              <w:jc w:val="left"/>
            </w:pPr>
            <w:r>
              <w:rPr>
                <w:b w:val="false"/>
                <w:bCs w:val="false"/>
                <w:color w:val="222222"/>
              </w:rPr>
              <w:t xml:space="preserve">Isolates the heaviest, most experimental component from the core API</w:t>
            </w:r>
          </w:p>
        </w:tc>
      </w:tr>
      <w:tr>
        <w:tc>
          <w:tcPr>
            <w:tcW w:type="dxa" w:w="2000"/>
            <w:shd w:fill="F2EEF7" w:val="clear"/>
            <w:tcMar>
              <w:top w:type="dxa" w:w="80"/>
              <w:left w:type="dxa" w:w="120"/>
              <w:bottom w:type="dxa" w:w="80"/>
              <w:right w:type="dxa" w:w="120"/>
            </w:tcMar>
            <w:vAlign w:val="center"/>
          </w:tcPr>
          <w:p>
            <w:pPr>
              <w:jc w:val="left"/>
            </w:pPr>
            <w:r>
              <w:rPr>
                <w:b w:val="false"/>
                <w:bCs w:val="false"/>
                <w:color w:val="222222"/>
              </w:rPr>
              <w:t xml:space="preserve">Database</w:t>
            </w:r>
          </w:p>
        </w:tc>
        <w:tc>
          <w:tcPr>
            <w:tcW w:type="dxa" w:w="3600"/>
            <w:shd w:fill="F2EEF7" w:val="clear"/>
            <w:tcMar>
              <w:top w:type="dxa" w:w="80"/>
              <w:left w:type="dxa" w:w="120"/>
              <w:bottom w:type="dxa" w:w="80"/>
              <w:right w:type="dxa" w:w="120"/>
            </w:tcMar>
            <w:vAlign w:val="center"/>
          </w:tcPr>
          <w:p>
            <w:pPr>
              <w:jc w:val="left"/>
            </w:pPr>
            <w:r>
              <w:rPr>
                <w:b w:val="false"/>
                <w:bCs w:val="false"/>
                <w:color w:val="222222"/>
              </w:rPr>
              <w:t xml:space="preserve">PostgreSQL</w:t>
            </w:r>
          </w:p>
        </w:tc>
        <w:tc>
          <w:tcPr>
            <w:tcW w:type="dxa" w:w="3750"/>
            <w:shd w:fill="F2EEF7" w:val="clear"/>
            <w:tcMar>
              <w:top w:type="dxa" w:w="80"/>
              <w:left w:type="dxa" w:w="120"/>
              <w:bottom w:type="dxa" w:w="80"/>
              <w:right w:type="dxa" w:w="120"/>
            </w:tcMar>
            <w:vAlign w:val="center"/>
          </w:tcPr>
          <w:p>
            <w:pPr>
              <w:jc w:val="left"/>
            </w:pPr>
            <w:r>
              <w:rPr>
                <w:b w:val="false"/>
                <w:bCs w:val="false"/>
                <w:color w:val="222222"/>
              </w:rPr>
              <w:t xml:space="preserve">User accounts, birth data, generated reports</w:t>
            </w:r>
          </w:p>
        </w:tc>
      </w:tr>
      <w:tr>
        <w:tc>
          <w:tcPr>
            <w:tcW w:type="dxa" w:w="2000"/>
            <w:tcMar>
              <w:top w:type="dxa" w:w="80"/>
              <w:left w:type="dxa" w:w="120"/>
              <w:bottom w:type="dxa" w:w="80"/>
              <w:right w:type="dxa" w:w="120"/>
            </w:tcMar>
            <w:vAlign w:val="center"/>
          </w:tcPr>
          <w:p>
            <w:pPr>
              <w:jc w:val="left"/>
            </w:pPr>
            <w:r>
              <w:rPr>
                <w:b w:val="false"/>
                <w:bCs w:val="false"/>
                <w:color w:val="222222"/>
              </w:rPr>
              <w:t xml:space="preserve">Media storage</w:t>
            </w:r>
          </w:p>
        </w:tc>
        <w:tc>
          <w:tcPr>
            <w:tcW w:type="dxa" w:w="3600"/>
            <w:tcMar>
              <w:top w:type="dxa" w:w="80"/>
              <w:left w:type="dxa" w:w="120"/>
              <w:bottom w:type="dxa" w:w="80"/>
              <w:right w:type="dxa" w:w="120"/>
            </w:tcMar>
            <w:vAlign w:val="center"/>
          </w:tcPr>
          <w:p>
            <w:pPr>
              <w:jc w:val="left"/>
            </w:pPr>
            <w:r>
              <w:rPr>
                <w:b w:val="false"/>
                <w:bCs w:val="false"/>
                <w:color w:val="222222"/>
              </w:rPr>
              <w:t xml:space="preserve">S3-compatible object storage, short retention policy</w:t>
            </w:r>
          </w:p>
        </w:tc>
        <w:tc>
          <w:tcPr>
            <w:tcW w:type="dxa" w:w="3750"/>
            <w:tcMar>
              <w:top w:type="dxa" w:w="80"/>
              <w:left w:type="dxa" w:w="120"/>
              <w:bottom w:type="dxa" w:w="80"/>
              <w:right w:type="dxa" w:w="120"/>
            </w:tcMar>
            <w:vAlign w:val="center"/>
          </w:tcPr>
          <w:p>
            <w:pPr>
              <w:jc w:val="left"/>
            </w:pPr>
            <w:r>
              <w:rPr>
                <w:b w:val="false"/>
                <w:bCs w:val="false"/>
                <w:color w:val="222222"/>
              </w:rPr>
              <w:t xml:space="preserve">Palm photos should be processed and not kept longer than needed — see §8</w:t>
            </w:r>
          </w:p>
        </w:tc>
      </w:tr>
      <w:tr>
        <w:tc>
          <w:tcPr>
            <w:tcW w:type="dxa" w:w="2000"/>
            <w:shd w:fill="F2EEF7" w:val="clear"/>
            <w:tcMar>
              <w:top w:type="dxa" w:w="80"/>
              <w:left w:type="dxa" w:w="120"/>
              <w:bottom w:type="dxa" w:w="80"/>
              <w:right w:type="dxa" w:w="120"/>
            </w:tcMar>
            <w:vAlign w:val="center"/>
          </w:tcPr>
          <w:p>
            <w:pPr>
              <w:jc w:val="left"/>
            </w:pPr>
            <w:r>
              <w:rPr>
                <w:b w:val="false"/>
                <w:bCs w:val="false"/>
                <w:color w:val="222222"/>
              </w:rPr>
              <w:t xml:space="preserve">Payments</w:t>
            </w:r>
          </w:p>
        </w:tc>
        <w:tc>
          <w:tcPr>
            <w:tcW w:type="dxa" w:w="3600"/>
            <w:shd w:fill="F2EEF7" w:val="clear"/>
            <w:tcMar>
              <w:top w:type="dxa" w:w="80"/>
              <w:left w:type="dxa" w:w="120"/>
              <w:bottom w:type="dxa" w:w="80"/>
              <w:right w:type="dxa" w:w="120"/>
            </w:tcMar>
            <w:vAlign w:val="center"/>
          </w:tcPr>
          <w:p>
            <w:pPr>
              <w:jc w:val="left"/>
            </w:pPr>
            <w:r>
              <w:rPr>
                <w:b w:val="false"/>
                <w:bCs w:val="false"/>
                <w:color w:val="222222"/>
              </w:rPr>
              <w:t xml:space="preserve">Razorpay (India) + Stripe (global)</w:t>
            </w:r>
          </w:p>
        </w:tc>
        <w:tc>
          <w:tcPr>
            <w:tcW w:type="dxa" w:w="3750"/>
            <w:shd w:fill="F2EEF7" w:val="clear"/>
            <w:tcMar>
              <w:top w:type="dxa" w:w="80"/>
              <w:left w:type="dxa" w:w="120"/>
              <w:bottom w:type="dxa" w:w="80"/>
              <w:right w:type="dxa" w:w="120"/>
            </w:tcMar>
            <w:vAlign w:val="center"/>
          </w:tcPr>
          <w:p>
            <w:pPr>
              <w:jc w:val="left"/>
            </w:pPr>
            <w:r>
              <w:rPr>
                <w:b w:val="false"/>
                <w:bCs w:val="false"/>
                <w:color w:val="222222"/>
              </w:rPr>
              <w:t xml:space="preserve">Covers UPI/cards domestically and international cards</w:t>
            </w:r>
          </w:p>
        </w:tc>
      </w:tr>
      <w:tr>
        <w:tc>
          <w:tcPr>
            <w:tcW w:type="dxa" w:w="2000"/>
            <w:tcMar>
              <w:top w:type="dxa" w:w="80"/>
              <w:left w:type="dxa" w:w="120"/>
              <w:bottom w:type="dxa" w:w="80"/>
              <w:right w:type="dxa" w:w="120"/>
            </w:tcMar>
            <w:vAlign w:val="center"/>
          </w:tcPr>
          <w:p>
            <w:pPr>
              <w:jc w:val="left"/>
            </w:pPr>
            <w:r>
              <w:rPr>
                <w:b w:val="false"/>
                <w:bCs w:val="false"/>
                <w:color w:val="222222"/>
              </w:rPr>
              <w:t xml:space="preserve">Notifications</w:t>
            </w:r>
          </w:p>
        </w:tc>
        <w:tc>
          <w:tcPr>
            <w:tcW w:type="dxa" w:w="3600"/>
            <w:tcMar>
              <w:top w:type="dxa" w:w="80"/>
              <w:left w:type="dxa" w:w="120"/>
              <w:bottom w:type="dxa" w:w="80"/>
              <w:right w:type="dxa" w:w="120"/>
            </w:tcMar>
            <w:vAlign w:val="center"/>
          </w:tcPr>
          <w:p>
            <w:pPr>
              <w:jc w:val="left"/>
            </w:pPr>
            <w:r>
              <w:rPr>
                <w:b w:val="false"/>
                <w:bCs w:val="false"/>
                <w:color w:val="222222"/>
              </w:rPr>
              <w:t xml:space="preserve">Firebase Cloud Messaging</w:t>
            </w:r>
          </w:p>
        </w:tc>
        <w:tc>
          <w:tcPr>
            <w:tcW w:type="dxa" w:w="3750"/>
            <w:tcMar>
              <w:top w:type="dxa" w:w="80"/>
              <w:left w:type="dxa" w:w="120"/>
              <w:bottom w:type="dxa" w:w="80"/>
              <w:right w:type="dxa" w:w="120"/>
            </w:tcMar>
            <w:vAlign w:val="center"/>
          </w:tcPr>
          <w:p>
            <w:pPr>
              <w:jc w:val="left"/>
            </w:pPr>
            <w:r>
              <w:rPr>
                <w:b w:val="false"/>
                <w:bCs w:val="false"/>
                <w:color w:val="222222"/>
              </w:rPr>
              <w:t xml:space="preserve">Daily horoscope / love-energy push notifications</w:t>
            </w:r>
          </w:p>
        </w:tc>
      </w:tr>
    </w:tbl>
    <w:p>
      <w:pPr>
        <w:pStyle w:val="Heading1"/>
        <w:pBdr>
          <w:bottom w:val="single" w:color="B08D57" w:sz="8" w:space="4"/>
        </w:pBdr>
        <w:spacing w:after="200" w:before="480"/>
      </w:pPr>
      <w:r>
        <w:rPr>
          <w:b/>
          <w:bCs/>
          <w:color w:val="1B1032"/>
        </w:rPr>
        <w:t xml:space="preserve">7. Monetization Strategy</w:t>
      </w:r>
    </w:p>
    <w:p>
      <w:pPr>
        <w:spacing w:after="160" w:line="276"/>
      </w:pPr>
      <w:r>
        <w:t xml:space="preserve">Mirror the funnel visible in Astro Rekha's own creative: a free, low-commitment teaser (basic sun-sign summary, one free palm or love-energy check) that earns trust, followed by a paywall for the deeper reports — exactly the pattern in their “Future Partner Report” and “50% off all palm reads” promotional material.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50"/>
      </w:tblGrid>
      <w:tr>
        <w:trPr>
          <w:tblHeader/>
        </w:trPr>
        <w:tc>
          <w:tcPr>
            <w:tcW w:type="dxa" w:w="1900"/>
            <w:shd w:fill="1B1032" w:val="clear"/>
            <w:tcMar>
              <w:top w:type="dxa" w:w="80"/>
              <w:left w:type="dxa" w:w="120"/>
              <w:bottom w:type="dxa" w:w="80"/>
              <w:right w:type="dxa" w:w="120"/>
            </w:tcMar>
            <w:vAlign w:val="center"/>
          </w:tcPr>
          <w:p>
            <w:pPr>
              <w:jc w:val="left"/>
            </w:pPr>
            <w:r>
              <w:rPr>
                <w:b/>
                <w:bCs/>
                <w:color w:val="FFFFFF"/>
              </w:rPr>
              <w:t xml:space="preserve">Tier</w:t>
            </w:r>
          </w:p>
        </w:tc>
        <w:tc>
          <w:tcPr>
            <w:tcW w:type="dxa" w:w="2400"/>
            <w:shd w:fill="1B1032" w:val="clear"/>
            <w:tcMar>
              <w:top w:type="dxa" w:w="80"/>
              <w:left w:type="dxa" w:w="120"/>
              <w:bottom w:type="dxa" w:w="80"/>
              <w:right w:type="dxa" w:w="120"/>
            </w:tcMar>
            <w:vAlign w:val="center"/>
          </w:tcPr>
          <w:p>
            <w:pPr>
              <w:jc w:val="left"/>
            </w:pPr>
            <w:r>
              <w:rPr>
                <w:b/>
                <w:bCs/>
                <w:color w:val="FFFFFF"/>
              </w:rPr>
              <w:t xml:space="preserve">Price range (India)</w:t>
            </w:r>
          </w:p>
        </w:tc>
        <w:tc>
          <w:tcPr>
            <w:tcW w:type="dxa" w:w="5050"/>
            <w:shd w:fill="1B1032" w:val="clear"/>
            <w:tcMar>
              <w:top w:type="dxa" w:w="80"/>
              <w:left w:type="dxa" w:w="120"/>
              <w:bottom w:type="dxa" w:w="80"/>
              <w:right w:type="dxa" w:w="120"/>
            </w:tcMar>
            <w:vAlign w:val="center"/>
          </w:tcPr>
          <w:p>
            <w:pPr>
              <w:jc w:val="left"/>
            </w:pPr>
            <w:r>
              <w:rPr>
                <w:b/>
                <w:bCs/>
                <w:color w:val="FFFFFF"/>
              </w:rPr>
              <w:t xml:space="preserve">What's included</w:t>
            </w:r>
          </w:p>
        </w:tc>
      </w:tr>
      <w:tr>
        <w:tc>
          <w:tcPr>
            <w:tcW w:type="dxa" w:w="1900"/>
            <w:tcMar>
              <w:top w:type="dxa" w:w="80"/>
              <w:left w:type="dxa" w:w="120"/>
              <w:bottom w:type="dxa" w:w="80"/>
              <w:right w:type="dxa" w:w="120"/>
            </w:tcMar>
            <w:vAlign w:val="center"/>
          </w:tcPr>
          <w:p>
            <w:pPr>
              <w:jc w:val="left"/>
            </w:pPr>
            <w:r>
              <w:rPr>
                <w:b w:val="false"/>
                <w:bCs w:val="false"/>
                <w:color w:val="222222"/>
              </w:rPr>
              <w:t xml:space="preserve">Free</w:t>
            </w:r>
          </w:p>
        </w:tc>
        <w:tc>
          <w:tcPr>
            <w:tcW w:type="dxa" w:w="2400"/>
            <w:tcMar>
              <w:top w:type="dxa" w:w="80"/>
              <w:left w:type="dxa" w:w="120"/>
              <w:bottom w:type="dxa" w:w="80"/>
              <w:right w:type="dxa" w:w="120"/>
            </w:tcMar>
            <w:vAlign w:val="center"/>
          </w:tcPr>
          <w:p>
            <w:pPr>
              <w:jc w:val="left"/>
            </w:pPr>
            <w:r>
              <w:rPr>
                <w:b w:val="false"/>
                <w:bCs w:val="false"/>
                <w:color w:val="222222"/>
              </w:rPr>
              <w:t xml:space="preserve">₹0</w:t>
            </w:r>
          </w:p>
        </w:tc>
        <w:tc>
          <w:tcPr>
            <w:tcW w:type="dxa" w:w="5050"/>
            <w:tcMar>
              <w:top w:type="dxa" w:w="80"/>
              <w:left w:type="dxa" w:w="120"/>
              <w:bottom w:type="dxa" w:w="80"/>
              <w:right w:type="dxa" w:w="120"/>
            </w:tcMar>
            <w:vAlign w:val="center"/>
          </w:tcPr>
          <w:p>
            <w:pPr>
              <w:jc w:val="left"/>
            </w:pPr>
            <w:r>
              <w:rPr>
                <w:b w:val="false"/>
                <w:bCs w:val="false"/>
                <w:color w:val="222222"/>
              </w:rPr>
              <w:t xml:space="preserve">Sun-sign summary, one free daily love-energy check, teaser palm read</w:t>
            </w:r>
          </w:p>
        </w:tc>
      </w:tr>
      <w:tr>
        <w:tc>
          <w:tcPr>
            <w:tcW w:type="dxa" w:w="1900"/>
            <w:shd w:fill="F2EEF7" w:val="clear"/>
            <w:tcMar>
              <w:top w:type="dxa" w:w="80"/>
              <w:left w:type="dxa" w:w="120"/>
              <w:bottom w:type="dxa" w:w="80"/>
              <w:right w:type="dxa" w:w="120"/>
            </w:tcMar>
            <w:vAlign w:val="center"/>
          </w:tcPr>
          <w:p>
            <w:pPr>
              <w:jc w:val="left"/>
            </w:pPr>
            <w:r>
              <w:rPr>
                <w:b w:val="false"/>
                <w:bCs w:val="false"/>
                <w:color w:val="222222"/>
              </w:rPr>
              <w:t xml:space="preserve">One-time report</w:t>
            </w:r>
          </w:p>
        </w:tc>
        <w:tc>
          <w:tcPr>
            <w:tcW w:type="dxa" w:w="2400"/>
            <w:shd w:fill="F2EEF7" w:val="clear"/>
            <w:tcMar>
              <w:top w:type="dxa" w:w="80"/>
              <w:left w:type="dxa" w:w="120"/>
              <w:bottom w:type="dxa" w:w="80"/>
              <w:right w:type="dxa" w:w="120"/>
            </w:tcMar>
            <w:vAlign w:val="center"/>
          </w:tcPr>
          <w:p>
            <w:pPr>
              <w:jc w:val="left"/>
            </w:pPr>
            <w:r>
              <w:rPr>
                <w:b w:val="false"/>
                <w:bCs w:val="false"/>
                <w:color w:val="222222"/>
              </w:rPr>
              <w:t xml:space="preserve">₹149–₹399</w:t>
            </w:r>
          </w:p>
        </w:tc>
        <w:tc>
          <w:tcPr>
            <w:tcW w:type="dxa" w:w="5050"/>
            <w:shd w:fill="F2EEF7" w:val="clear"/>
            <w:tcMar>
              <w:top w:type="dxa" w:w="80"/>
              <w:left w:type="dxa" w:w="120"/>
              <w:bottom w:type="dxa" w:w="80"/>
              <w:right w:type="dxa" w:w="120"/>
            </w:tcMar>
            <w:vAlign w:val="center"/>
          </w:tcPr>
          <w:p>
            <w:pPr>
              <w:jc w:val="left"/>
            </w:pPr>
            <w:r>
              <w:rPr>
                <w:b w:val="false"/>
                <w:bCs w:val="false"/>
                <w:color w:val="222222"/>
              </w:rPr>
              <w:t xml:space="preserve">Full palm reading, single deep-dive report (e.g. “Year Ahead”)</w:t>
            </w:r>
          </w:p>
        </w:tc>
      </w:tr>
      <w:tr>
        <w:tc>
          <w:tcPr>
            <w:tcW w:type="dxa" w:w="1900"/>
            <w:tcMar>
              <w:top w:type="dxa" w:w="80"/>
              <w:left w:type="dxa" w:w="120"/>
              <w:bottom w:type="dxa" w:w="80"/>
              <w:right w:type="dxa" w:w="120"/>
            </w:tcMar>
            <w:vAlign w:val="center"/>
          </w:tcPr>
          <w:p>
            <w:pPr>
              <w:jc w:val="left"/>
            </w:pPr>
            <w:r>
              <w:rPr>
                <w:b w:val="false"/>
                <w:bCs w:val="false"/>
                <w:color w:val="222222"/>
              </w:rPr>
              <w:t xml:space="preserve">Subscription</w:t>
            </w:r>
          </w:p>
        </w:tc>
        <w:tc>
          <w:tcPr>
            <w:tcW w:type="dxa" w:w="2400"/>
            <w:tcMar>
              <w:top w:type="dxa" w:w="80"/>
              <w:left w:type="dxa" w:w="120"/>
              <w:bottom w:type="dxa" w:w="80"/>
              <w:right w:type="dxa" w:w="120"/>
            </w:tcMar>
            <w:vAlign w:val="center"/>
          </w:tcPr>
          <w:p>
            <w:pPr>
              <w:jc w:val="left"/>
            </w:pPr>
            <w:r>
              <w:rPr>
                <w:b w:val="false"/>
                <w:bCs w:val="false"/>
                <w:color w:val="222222"/>
              </w:rPr>
              <w:t xml:space="preserve">₹199–₹499 / month</w:t>
            </w:r>
          </w:p>
        </w:tc>
        <w:tc>
          <w:tcPr>
            <w:tcW w:type="dxa" w:w="5050"/>
            <w:tcMar>
              <w:top w:type="dxa" w:w="80"/>
              <w:left w:type="dxa" w:w="120"/>
              <w:bottom w:type="dxa" w:w="80"/>
              <w:right w:type="dxa" w:w="120"/>
            </w:tcMar>
            <w:vAlign w:val="center"/>
          </w:tcPr>
          <w:p>
            <w:pPr>
              <w:jc w:val="left"/>
            </w:pPr>
            <w:r>
              <w:rPr>
                <w:b w:val="false"/>
                <w:bCs w:val="false"/>
                <w:color w:val="222222"/>
              </w:rPr>
              <w:t xml:space="preserve">Weekly horoscope + unlimited love-energy checks + member pricing on reports</w:t>
            </w:r>
          </w:p>
        </w:tc>
      </w:tr>
      <w:tr>
        <w:tc>
          <w:tcPr>
            <w:tcW w:type="dxa" w:w="1900"/>
            <w:shd w:fill="F2EEF7" w:val="clear"/>
            <w:tcMar>
              <w:top w:type="dxa" w:w="80"/>
              <w:left w:type="dxa" w:w="120"/>
              <w:bottom w:type="dxa" w:w="80"/>
              <w:right w:type="dxa" w:w="120"/>
            </w:tcMar>
            <w:vAlign w:val="center"/>
          </w:tcPr>
          <w:p>
            <w:pPr>
              <w:jc w:val="left"/>
            </w:pPr>
            <w:r>
              <w:rPr>
                <w:b w:val="false"/>
                <w:bCs w:val="false"/>
                <w:color w:val="222222"/>
              </w:rPr>
              <w:t xml:space="preserve">Premium bundle</w:t>
            </w:r>
          </w:p>
        </w:tc>
        <w:tc>
          <w:tcPr>
            <w:tcW w:type="dxa" w:w="2400"/>
            <w:shd w:fill="F2EEF7" w:val="clear"/>
            <w:tcMar>
              <w:top w:type="dxa" w:w="80"/>
              <w:left w:type="dxa" w:w="120"/>
              <w:bottom w:type="dxa" w:w="80"/>
              <w:right w:type="dxa" w:w="120"/>
            </w:tcMar>
            <w:vAlign w:val="center"/>
          </w:tcPr>
          <w:p>
            <w:pPr>
              <w:jc w:val="left"/>
            </w:pPr>
            <w:r>
              <w:rPr>
                <w:b w:val="false"/>
                <w:bCs w:val="false"/>
                <w:color w:val="222222"/>
              </w:rPr>
              <w:t xml:space="preserve">₹599–₹999</w:t>
            </w:r>
          </w:p>
        </w:tc>
        <w:tc>
          <w:tcPr>
            <w:tcW w:type="dxa" w:w="5050"/>
            <w:shd w:fill="F2EEF7" w:val="clear"/>
            <w:tcMar>
              <w:top w:type="dxa" w:w="80"/>
              <w:left w:type="dxa" w:w="120"/>
              <w:bottom w:type="dxa" w:w="80"/>
              <w:right w:type="dxa" w:w="120"/>
            </w:tcMar>
            <w:vAlign w:val="center"/>
          </w:tcPr>
          <w:p>
            <w:pPr>
              <w:jc w:val="left"/>
            </w:pPr>
            <w:r>
              <w:rPr>
                <w:b w:val="false"/>
                <w:bCs w:val="false"/>
                <w:color w:val="222222"/>
              </w:rPr>
              <w:t xml:space="preserve">Palm + astrology + Future Partner Report bundled, positioned as the gift-worthy tier</w:t>
            </w:r>
          </w:p>
        </w:tc>
      </w:tr>
    </w:tbl>
    <w:p>
      <w:pPr>
        <w:spacing w:after="160" w:line="276"/>
      </w:pPr>
      <w:r>
        <w:t xml:space="preserve"/>
      </w:r>
    </w:p>
    <w:p>
      <w:pPr>
        <w:spacing w:after="160" w:line="276"/>
      </w:pPr>
      <w:r>
        <w:t xml:space="preserve">Note the two monetization philosophies in the competitive set: AstroTalk scales revenue through pay-per-minute human consultations, which requires building and managing an astrologer network — an operations business as much as a software one. Co-Star, Nebula, and The Pattern monetize through subscriptions and one-off reports with no human involvement, which is the cheaper, faster path and the better fit for a v1 built on a rule-based engine. Limited-time discount banners and countdown-style urgency (visible in Astro Rekha's own “50% off” creative) are a proven mechanic in this category and worth using deliberately rather than as an afterthought.</w:t>
      </w:r>
    </w:p>
    <w:p>
      <w:pPr>
        <w:pStyle w:val="Heading1"/>
        <w:pBdr>
          <w:bottom w:val="single" w:color="B08D57" w:sz="8" w:space="4"/>
        </w:pBdr>
        <w:spacing w:after="200" w:before="480"/>
      </w:pPr>
      <w:r>
        <w:rPr>
          <w:b/>
          <w:bCs/>
          <w:color w:val="1B1032"/>
        </w:rPr>
        <w:t xml:space="preserve">8. Legal, Compliance &amp; Trust</w:t>
      </w:r>
    </w:p>
    <w:p>
      <w:pPr>
        <w:pStyle w:val="Heading2"/>
        <w:spacing w:after="140" w:before="320"/>
      </w:pPr>
      <w:r>
        <w:rPr>
          <w:b/>
          <w:bCs/>
          <w:color w:val="6C4E8C"/>
        </w:rPr>
        <w:t xml:space="preserve">8.1 Entertainment framing is a legal shield, not just copy</w:t>
      </w:r>
    </w:p>
    <w:p>
      <w:pPr>
        <w:spacing w:after="160" w:line="276"/>
      </w:pPr>
      <w:r>
        <w:t xml:space="preserve">Every prediction screen — especially anything with the specificity of the “Future Partner Report” format (predicted marriage year, partner age, compatibility percentage) — needs a persistent, visible “for entertainment purposes only” label on the screen itself, not buried in the terms and conditions. This is exactly what's visible in the reference screenshot, and it's doing real work: it's the difference between a fun product and a target for consumer-protection complaints about false or misleading claims.</w:t>
      </w:r>
    </w:p>
    <w:p>
      <w:pPr>
        <w:pStyle w:val="Heading2"/>
        <w:spacing w:after="140" w:before="320"/>
      </w:pPr>
      <w:r>
        <w:rPr>
          <w:b/>
          <w:bCs/>
          <w:color w:val="6C4E8C"/>
        </w:rPr>
        <w:t xml:space="preserve">8.2 App-store rules on AI-generated content</w:t>
      </w:r>
    </w:p>
    <w:p>
      <w:pPr>
        <w:spacing w:after="160" w:line="276"/>
      </w:pPr>
      <w:r>
        <w:t xml:space="preserve">Google Play's 2026 policy requires a visible, on-screen label on any user-facing content generated by a generative AI model — text, image, audio, or video — and as of July 2026 this extends to content generated via third-party LLM APIs your app calls, not just first-party AI. Apple's Guideline 5.1.2(i) separately requires explicit, specific consent before personal data (including birth details and photos) is sent to any third-party AI service. Since you've chosen a rule-based engine over freeform AI text generation, most of this exposure is avoided by design — as long as any phrasing layer stays templated rather than being routed through a generative model at request time. If a “make this read more naturally” generative pass gets added later, plan for the disclosure requirement at that point rather than retrofitting it.</w:t>
      </w:r>
    </w:p>
    <w:p>
      <w:pPr>
        <w:pStyle w:val="Heading2"/>
        <w:spacing w:after="140" w:before="320"/>
      </w:pPr>
      <w:r>
        <w:rPr>
          <w:b/>
          <w:bCs/>
          <w:color w:val="6C4E8C"/>
        </w:rPr>
        <w:t xml:space="preserve">8.3 Data privacy — birth data and palm photos</w:t>
      </w:r>
    </w:p>
    <w:p>
      <w:pPr>
        <w:spacing w:after="160" w:line="276"/>
      </w:pPr>
      <w:r>
        <w:t xml:space="preserve">India's Digital Personal Data Protection Act (DPDP Act, 2023) doesn't carve out a separate “sensitive personal data” category the way GDPR does, but birth date/time/place and palm photos should be treated as sensitive in practice regardless: obtain explicit, purpose-specific consent before requesting camera or photo-library access (required by both Apple's and Google's platform policies independent of DPDP), state a clear retention policy, and default to processing palm photos to extract line features and then deleting the original image rather than storing it indefinitely — keep only the derived report. If the product ever reaches EU/UK users, GDPR treats biometric-type data more strictly, so “process, don't retain” is the safer global default rather than a India-only accommodation.</w:t>
      </w:r>
    </w:p>
    <w:p>
      <w:pPr>
        <w:pStyle w:val="Heading2"/>
        <w:spacing w:after="140" w:before="320"/>
      </w:pPr>
      <w:r>
        <w:rPr>
          <w:b/>
          <w:bCs/>
          <w:color w:val="6C4E8C"/>
        </w:rPr>
        <w:t xml:space="preserve">8.4 Other guardrails</w:t>
      </w:r>
    </w:p>
    <w:p>
      <w:pPr>
        <w:pStyle w:val="ListParagraph"/>
        <w:numPr>
          <w:ilvl w:val="0"/>
          <w:numId w:val="3"/>
        </w:numPr>
        <w:spacing w:after="100" w:line="276"/>
      </w:pPr>
      <w:r>
        <w:t xml:space="preserve">Avoid language in the “Career &amp; Finance” or health-adjacent sections that could read as medical, financial, or legal advice — keep it in the register of guidance and reflection, not prediction of fact.</w:t>
      </w:r>
    </w:p>
    <w:p>
      <w:pPr>
        <w:pStyle w:val="ListParagraph"/>
        <w:numPr>
          <w:ilvl w:val="0"/>
          <w:numId w:val="3"/>
        </w:numPr>
        <w:spacing w:after="100" w:line="276"/>
      </w:pPr>
      <w:r>
        <w:t xml:space="preserve">Age-gate at 18+, or require verifiable parental consent below that, given both the relationship/marriage-themed content and the photo-based data collection.</w:t>
      </w:r>
    </w:p>
    <w:p>
      <w:pPr>
        <w:pStyle w:val="ListParagraph"/>
        <w:numPr>
          <w:ilvl w:val="0"/>
          <w:numId w:val="3"/>
        </w:numPr>
        <w:spacing w:after="100" w:line="276"/>
      </w:pPr>
      <w:r>
        <w:t xml:space="preserve">Keep a visible, easy-to-find refund/support path for paid reports — disputed charges are the fastest way to accumulate app-store complaints in this category.</w:t>
      </w:r>
    </w:p>
    <w:p>
      <w:pPr>
        <w:pStyle w:val="Heading1"/>
        <w:pBdr>
          <w:bottom w:val="single" w:color="B08D57" w:sz="8" w:space="4"/>
        </w:pBdr>
        <w:spacing w:after="200" w:before="480"/>
      </w:pPr>
      <w:r>
        <w:rPr>
          <w:b/>
          <w:bCs/>
          <w:color w:val="1B1032"/>
        </w:rPr>
        <w:t xml:space="preserve">9.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950"/>
        <w:gridCol w:w="5650"/>
      </w:tblGrid>
      <w:tr>
        <w:trPr>
          <w:tblHeader/>
        </w:trPr>
        <w:tc>
          <w:tcPr>
            <w:tcW w:type="dxa" w:w="1750"/>
            <w:shd w:fill="1B1032" w:val="clear"/>
            <w:tcMar>
              <w:top w:type="dxa" w:w="80"/>
              <w:left w:type="dxa" w:w="120"/>
              <w:bottom w:type="dxa" w:w="80"/>
              <w:right w:type="dxa" w:w="120"/>
            </w:tcMar>
            <w:vAlign w:val="center"/>
          </w:tcPr>
          <w:p>
            <w:pPr>
              <w:jc w:val="left"/>
            </w:pPr>
            <w:r>
              <w:rPr>
                <w:b/>
                <w:bCs/>
                <w:color w:val="FFFFFF"/>
              </w:rPr>
              <w:t xml:space="preserve">Phase</w:t>
            </w:r>
          </w:p>
        </w:tc>
        <w:tc>
          <w:tcPr>
            <w:tcW w:type="dxa" w:w="1950"/>
            <w:shd w:fill="1B1032" w:val="clear"/>
            <w:tcMar>
              <w:top w:type="dxa" w:w="80"/>
              <w:left w:type="dxa" w:w="120"/>
              <w:bottom w:type="dxa" w:w="80"/>
              <w:right w:type="dxa" w:w="120"/>
            </w:tcMar>
            <w:vAlign w:val="center"/>
          </w:tcPr>
          <w:p>
            <w:pPr>
              <w:jc w:val="left"/>
            </w:pPr>
            <w:r>
              <w:rPr>
                <w:b/>
                <w:bCs/>
                <w:color w:val="FFFFFF"/>
              </w:rPr>
              <w:t xml:space="preserve">Timeline</w:t>
            </w:r>
          </w:p>
        </w:tc>
        <w:tc>
          <w:tcPr>
            <w:tcW w:type="dxa" w:w="5650"/>
            <w:shd w:fill="1B1032" w:val="clear"/>
            <w:tcMar>
              <w:top w:type="dxa" w:w="80"/>
              <w:left w:type="dxa" w:w="120"/>
              <w:bottom w:type="dxa" w:w="80"/>
              <w:right w:type="dxa" w:w="120"/>
            </w:tcMar>
            <w:vAlign w:val="center"/>
          </w:tcPr>
          <w:p>
            <w:pPr>
              <w:jc w:val="left"/>
            </w:pPr>
            <w:r>
              <w:rPr>
                <w:b/>
                <w:bCs/>
                <w:color w:val="FFFFFF"/>
              </w:rPr>
              <w:t xml:space="preserve">Focus</w:t>
            </w:r>
          </w:p>
        </w:tc>
      </w:tr>
      <w:tr>
        <w:tc>
          <w:tcPr>
            <w:tcW w:type="dxa" w:w="1750"/>
            <w:tcMar>
              <w:top w:type="dxa" w:w="80"/>
              <w:left w:type="dxa" w:w="120"/>
              <w:bottom w:type="dxa" w:w="80"/>
              <w:right w:type="dxa" w:w="120"/>
            </w:tcMar>
            <w:vAlign w:val="center"/>
          </w:tcPr>
          <w:p>
            <w:pPr>
              <w:jc w:val="left"/>
            </w:pPr>
            <w:r>
              <w:rPr>
                <w:b w:val="false"/>
                <w:bCs w:val="false"/>
                <w:color w:val="222222"/>
              </w:rPr>
              <w:t xml:space="preserve">Phase 0 — Validate</w:t>
            </w:r>
          </w:p>
        </w:tc>
        <w:tc>
          <w:tcPr>
            <w:tcW w:type="dxa" w:w="1950"/>
            <w:tcMar>
              <w:top w:type="dxa" w:w="80"/>
              <w:left w:type="dxa" w:w="120"/>
              <w:bottom w:type="dxa" w:w="80"/>
              <w:right w:type="dxa" w:w="120"/>
            </w:tcMar>
            <w:vAlign w:val="center"/>
          </w:tcPr>
          <w:p>
            <w:pPr>
              <w:jc w:val="left"/>
            </w:pPr>
            <w:r>
              <w:rPr>
                <w:b w:val="false"/>
                <w:bCs w:val="false"/>
                <w:color w:val="222222"/>
              </w:rPr>
              <w:t xml:space="preserve">Weeks 1–4</w:t>
            </w:r>
          </w:p>
        </w:tc>
        <w:tc>
          <w:tcPr>
            <w:tcW w:type="dxa" w:w="5650"/>
            <w:tcMar>
              <w:top w:type="dxa" w:w="80"/>
              <w:left w:type="dxa" w:w="120"/>
              <w:bottom w:type="dxa" w:w="80"/>
              <w:right w:type="dxa" w:w="120"/>
            </w:tcMar>
            <w:vAlign w:val="center"/>
          </w:tcPr>
          <w:p>
            <w:pPr>
              <w:jc w:val="left"/>
            </w:pPr>
            <w:r>
              <w:rPr>
                <w:b w:val="false"/>
                <w:bCs w:val="false"/>
                <w:color w:val="222222"/>
              </w:rPr>
              <w:t xml:space="preserve">Instagram-style landing page + waitlist (no app yet); test which report type drives the most signups and shares</w:t>
            </w:r>
          </w:p>
        </w:tc>
      </w:tr>
      <w:tr>
        <w:tc>
          <w:tcPr>
            <w:tcW w:type="dxa" w:w="1750"/>
            <w:shd w:fill="F2EEF7" w:val="clear"/>
            <w:tcMar>
              <w:top w:type="dxa" w:w="80"/>
              <w:left w:type="dxa" w:w="120"/>
              <w:bottom w:type="dxa" w:w="80"/>
              <w:right w:type="dxa" w:w="120"/>
            </w:tcMar>
            <w:vAlign w:val="center"/>
          </w:tcPr>
          <w:p>
            <w:pPr>
              <w:jc w:val="left"/>
            </w:pPr>
            <w:r>
              <w:rPr>
                <w:b w:val="false"/>
                <w:bCs w:val="false"/>
                <w:color w:val="222222"/>
              </w:rPr>
              <w:t xml:space="preserve">Phase 1 — MVP</w:t>
            </w:r>
          </w:p>
        </w:tc>
        <w:tc>
          <w:tcPr>
            <w:tcW w:type="dxa" w:w="1950"/>
            <w:shd w:fill="F2EEF7" w:val="clear"/>
            <w:tcMar>
              <w:top w:type="dxa" w:w="80"/>
              <w:left w:type="dxa" w:w="120"/>
              <w:bottom w:type="dxa" w:w="80"/>
              <w:right w:type="dxa" w:w="120"/>
            </w:tcMar>
            <w:vAlign w:val="center"/>
          </w:tcPr>
          <w:p>
            <w:pPr>
              <w:jc w:val="left"/>
            </w:pPr>
            <w:r>
              <w:rPr>
                <w:b w:val="false"/>
                <w:bCs w:val="false"/>
                <w:color w:val="222222"/>
              </w:rPr>
              <w:t xml:space="preserve">Weeks 5–14 (~2.5 months)</w:t>
            </w:r>
          </w:p>
        </w:tc>
        <w:tc>
          <w:tcPr>
            <w:tcW w:type="dxa" w:w="5650"/>
            <w:shd w:fill="F2EEF7" w:val="clear"/>
            <w:tcMar>
              <w:top w:type="dxa" w:w="80"/>
              <w:left w:type="dxa" w:w="120"/>
              <w:bottom w:type="dxa" w:w="80"/>
              <w:right w:type="dxa" w:w="120"/>
            </w:tcMar>
            <w:vAlign w:val="center"/>
          </w:tcPr>
          <w:p>
            <w:pPr>
              <w:jc w:val="left"/>
            </w:pPr>
            <w:r>
              <w:rPr>
                <w:b w:val="false"/>
                <w:bCs w:val="false"/>
                <w:color w:val="222222"/>
              </w:rPr>
              <w:t xml:space="preserve">Licensed astrology API integration, weekly horoscope, sun-sign content library, web app / lightweight app shell, one-time report purchase, shareable cards</w:t>
            </w:r>
          </w:p>
        </w:tc>
      </w:tr>
      <w:tr>
        <w:tc>
          <w:tcPr>
            <w:tcW w:type="dxa" w:w="1750"/>
            <w:tcMar>
              <w:top w:type="dxa" w:w="80"/>
              <w:left w:type="dxa" w:w="120"/>
              <w:bottom w:type="dxa" w:w="80"/>
              <w:right w:type="dxa" w:w="120"/>
            </w:tcMar>
            <w:vAlign w:val="center"/>
          </w:tcPr>
          <w:p>
            <w:pPr>
              <w:jc w:val="left"/>
            </w:pPr>
            <w:r>
              <w:rPr>
                <w:b w:val="false"/>
                <w:bCs w:val="false"/>
                <w:color w:val="222222"/>
              </w:rPr>
              <w:t xml:space="preserve">Phase 2</w:t>
            </w:r>
          </w:p>
        </w:tc>
        <w:tc>
          <w:tcPr>
            <w:tcW w:type="dxa" w:w="1950"/>
            <w:tcMar>
              <w:top w:type="dxa" w:w="80"/>
              <w:left w:type="dxa" w:w="120"/>
              <w:bottom w:type="dxa" w:w="80"/>
              <w:right w:type="dxa" w:w="120"/>
            </w:tcMar>
            <w:vAlign w:val="center"/>
          </w:tcPr>
          <w:p>
            <w:pPr>
              <w:jc w:val="left"/>
            </w:pPr>
            <w:r>
              <w:rPr>
                <w:b w:val="false"/>
                <w:bCs w:val="false"/>
                <w:color w:val="222222"/>
              </w:rPr>
              <w:t xml:space="preserve">Months 4–6</w:t>
            </w:r>
          </w:p>
        </w:tc>
        <w:tc>
          <w:tcPr>
            <w:tcW w:type="dxa" w:w="5650"/>
            <w:tcMar>
              <w:top w:type="dxa" w:w="80"/>
              <w:left w:type="dxa" w:w="120"/>
              <w:bottom w:type="dxa" w:w="80"/>
              <w:right w:type="dxa" w:w="120"/>
            </w:tcMar>
            <w:vAlign w:val="center"/>
          </w:tcPr>
          <w:p>
            <w:pPr>
              <w:jc w:val="left"/>
            </w:pPr>
            <w:r>
              <w:rPr>
                <w:b w:val="false"/>
                <w:bCs w:val="false"/>
                <w:color w:val="222222"/>
              </w:rPr>
              <w:t xml:space="preserve">Assisted palm-scan v1, compatibility report, subscription tier, push notifications</w:t>
            </w:r>
          </w:p>
        </w:tc>
      </w:tr>
      <w:tr>
        <w:tc>
          <w:tcPr>
            <w:tcW w:type="dxa" w:w="1750"/>
            <w:shd w:fill="F2EEF7" w:val="clear"/>
            <w:tcMar>
              <w:top w:type="dxa" w:w="80"/>
              <w:left w:type="dxa" w:w="120"/>
              <w:bottom w:type="dxa" w:w="80"/>
              <w:right w:type="dxa" w:w="120"/>
            </w:tcMar>
            <w:vAlign w:val="center"/>
          </w:tcPr>
          <w:p>
            <w:pPr>
              <w:jc w:val="left"/>
            </w:pPr>
            <w:r>
              <w:rPr>
                <w:b w:val="false"/>
                <w:bCs w:val="false"/>
                <w:color w:val="222222"/>
              </w:rPr>
              <w:t xml:space="preserve">Phase 3</w:t>
            </w:r>
          </w:p>
        </w:tc>
        <w:tc>
          <w:tcPr>
            <w:tcW w:type="dxa" w:w="1950"/>
            <w:shd w:fill="F2EEF7" w:val="clear"/>
            <w:tcMar>
              <w:top w:type="dxa" w:w="80"/>
              <w:left w:type="dxa" w:w="120"/>
              <w:bottom w:type="dxa" w:w="80"/>
              <w:right w:type="dxa" w:w="120"/>
            </w:tcMar>
            <w:vAlign w:val="center"/>
          </w:tcPr>
          <w:p>
            <w:pPr>
              <w:jc w:val="left"/>
            </w:pPr>
            <w:r>
              <w:rPr>
                <w:b w:val="false"/>
                <w:bCs w:val="false"/>
                <w:color w:val="222222"/>
              </w:rPr>
              <w:t xml:space="preserve">Months 7–9</w:t>
            </w:r>
          </w:p>
        </w:tc>
        <w:tc>
          <w:tcPr>
            <w:tcW w:type="dxa" w:w="5650"/>
            <w:shd w:fill="F2EEF7" w:val="clear"/>
            <w:tcMar>
              <w:top w:type="dxa" w:w="80"/>
              <w:left w:type="dxa" w:w="120"/>
              <w:bottom w:type="dxa" w:w="80"/>
              <w:right w:type="dxa" w:w="120"/>
            </w:tcMar>
            <w:vAlign w:val="center"/>
          </w:tcPr>
          <w:p>
            <w:pPr>
              <w:jc w:val="left"/>
            </w:pPr>
            <w:r>
              <w:rPr>
                <w:b w:val="false"/>
                <w:bCs w:val="false"/>
                <w:color w:val="222222"/>
              </w:rPr>
              <w:t xml:space="preserve">Automatic palm computer-vision pipeline, Future Partner Report, gifting flow, multi-language</w:t>
            </w:r>
          </w:p>
        </w:tc>
      </w:tr>
      <w:tr>
        <w:tc>
          <w:tcPr>
            <w:tcW w:type="dxa" w:w="1750"/>
            <w:tcMar>
              <w:top w:type="dxa" w:w="80"/>
              <w:left w:type="dxa" w:w="120"/>
              <w:bottom w:type="dxa" w:w="80"/>
              <w:right w:type="dxa" w:w="120"/>
            </w:tcMar>
            <w:vAlign w:val="center"/>
          </w:tcPr>
          <w:p>
            <w:pPr>
              <w:jc w:val="left"/>
            </w:pPr>
            <w:r>
              <w:rPr>
                <w:b w:val="false"/>
                <w:bCs w:val="false"/>
                <w:color w:val="222222"/>
              </w:rPr>
              <w:t xml:space="preserve">Phase 4</w:t>
            </w:r>
          </w:p>
        </w:tc>
        <w:tc>
          <w:tcPr>
            <w:tcW w:type="dxa" w:w="1950"/>
            <w:tcMar>
              <w:top w:type="dxa" w:w="80"/>
              <w:left w:type="dxa" w:w="120"/>
              <w:bottom w:type="dxa" w:w="80"/>
              <w:right w:type="dxa" w:w="120"/>
            </w:tcMar>
            <w:vAlign w:val="center"/>
          </w:tcPr>
          <w:p>
            <w:pPr>
              <w:jc w:val="left"/>
            </w:pPr>
            <w:r>
              <w:rPr>
                <w:b w:val="false"/>
                <w:bCs w:val="false"/>
                <w:color w:val="222222"/>
              </w:rPr>
              <w:t xml:space="preserve">Month 10+</w:t>
            </w:r>
          </w:p>
        </w:tc>
        <w:tc>
          <w:tcPr>
            <w:tcW w:type="dxa" w:w="5650"/>
            <w:tcMar>
              <w:top w:type="dxa" w:w="80"/>
              <w:left w:type="dxa" w:w="120"/>
              <w:bottom w:type="dxa" w:w="80"/>
              <w:right w:type="dxa" w:w="120"/>
            </w:tcMar>
            <w:vAlign w:val="center"/>
          </w:tcPr>
          <w:p>
            <w:pPr>
              <w:jc w:val="left"/>
            </w:pPr>
            <w:r>
              <w:rPr>
                <w:b w:val="false"/>
                <w:bCs w:val="false"/>
                <w:color w:val="222222"/>
              </w:rPr>
              <w:t xml:space="preserve">Optional live-astrologer marketplace add-on, community/social feed of shareable cards</w:t>
            </w:r>
          </w:p>
        </w:tc>
      </w:tr>
    </w:tbl>
    <w:p>
      <w:pPr>
        <w:pStyle w:val="Heading1"/>
        <w:pBdr>
          <w:bottom w:val="single" w:color="B08D57" w:sz="8" w:space="4"/>
        </w:pBdr>
        <w:spacing w:after="200" w:before="480"/>
      </w:pPr>
      <w:r>
        <w:rPr>
          <w:b/>
          <w:bCs/>
          <w:color w:val="1B1032"/>
        </w:rPr>
        <w:t xml:space="preserve">10. Team &amp; Cost Estimate</w:t>
      </w:r>
    </w:p>
    <w:p>
      <w:pPr>
        <w:spacing w:after="160" w:line="276"/>
      </w:pPr>
      <w:r>
        <w:t xml:space="preserve">Two realistic paths, both assuming you license an astrology API rather than building ephemeris calculations from scratch:</w:t>
      </w:r>
    </w:p>
    <w:p>
      <w:pPr>
        <w:pStyle w:val="Heading2"/>
        <w:spacing w:after="140" w:before="320"/>
      </w:pPr>
      <w:r>
        <w:rPr>
          <w:b/>
          <w:bCs/>
          <w:color w:val="6C4E8C"/>
        </w:rPr>
        <w:t xml:space="preserve">10.1 Lean path</w:t>
      </w:r>
    </w:p>
    <w:p>
      <w:pPr>
        <w:spacing w:after="160" w:line="276"/>
      </w:pPr>
      <w:r>
        <w:t xml:space="preserve">One full-stack developer plus you handling product and marketing, with a contract designer for the visual system. An astrology API keeps the hardest math off your plate, so an MVP (Phase 1) is realistically reachable in about 2–3 months. Rough out-of-pocket cost if outsourcing the pieces you can't do yourself: roughly $3,000–$8,000 in tooling, API, and contractor costs — significantly less if you or a co-founder are doing the engineering directly.</w:t>
      </w:r>
    </w:p>
    <w:p>
      <w:pPr>
        <w:pStyle w:val="Heading2"/>
        <w:spacing w:after="140" w:before="320"/>
      </w:pPr>
      <w:r>
        <w:rPr>
          <w:b/>
          <w:bCs/>
          <w:color w:val="6C4E8C"/>
        </w:rPr>
        <w:t xml:space="preserve">10.2 Small-team path</w:t>
      </w:r>
    </w:p>
    <w:p>
      <w:pPr>
        <w:spacing w:after="160" w:line="276"/>
      </w:pPr>
      <w:r>
        <w:t xml:space="preserve">Two engineers (one mobile/full-stack, one backend/computer-vision focused), one designer, and a part-time astrology/palmistry content consultant to build a credible interpretation rule library — this last role matters more than it sounds, since the quality of that content library is your main differentiator. Reaching Phase 2 (including the assisted palm-scan flow) in 4–6 months this way typically runs somewhere in the $25,000–$60,000 range depending on whether you hire in India, offshore, or via freelancers.</w:t>
      </w:r>
    </w:p>
    <w:p>
      <w:pPr>
        <w:pStyle w:val="Heading2"/>
        <w:spacing w:after="140" w:before="320"/>
      </w:pPr>
      <w:r>
        <w:rPr>
          <w:b/>
          <w:bCs/>
          <w:color w:val="6C4E8C"/>
        </w:rPr>
        <w:t xml:space="preserve">10.3 Ongoing costs</w:t>
      </w:r>
    </w:p>
    <w:p>
      <w:pPr>
        <w:spacing w:after="160" w:line="276"/>
      </w:pPr>
      <w:r>
        <w:t xml:space="preserve">Astrology API usage costs stay low at MVP scale — entry tiers across providers run roughly $12–$40/month (see §5.1) — and only become worth bringing in-house once volume is high enough that per-call pricing outweighs the engineering cost of running your own ephemeris layer.</w:t>
      </w:r>
    </w:p>
    <w:p>
      <w:pPr>
        <w:pStyle w:val="Heading1"/>
        <w:pBdr>
          <w:bottom w:val="single" w:color="B08D57" w:sz="8" w:space="4"/>
        </w:pBdr>
        <w:spacing w:after="200" w:before="480"/>
      </w:pPr>
      <w:r>
        <w:rPr>
          <w:b/>
          <w:bCs/>
          <w:color w:val="1B1032"/>
        </w:rPr>
        <w:t xml:space="preserve">11. Success Metrics</w:t>
      </w:r>
    </w:p>
    <w:p>
      <w:pPr>
        <w:pStyle w:val="ListParagraph"/>
        <w:numPr>
          <w:ilvl w:val="0"/>
          <w:numId w:val="3"/>
        </w:numPr>
        <w:spacing w:after="100" w:line="276"/>
      </w:pPr>
      <w:r>
        <w:t xml:space="preserve">Top of funnel: Instagram reach and engagement → landing-page conversion rate (email or account signups).</w:t>
      </w:r>
    </w:p>
    <w:p>
      <w:pPr>
        <w:pStyle w:val="ListParagraph"/>
        <w:numPr>
          <w:ilvl w:val="0"/>
          <w:numId w:val="3"/>
        </w:numPr>
        <w:spacing w:after="100" w:line="276"/>
      </w:pPr>
      <w:r>
        <w:t xml:space="preserve">Activation: percentage of signups who complete birth-chart entry or a palm scan.</w:t>
      </w:r>
    </w:p>
    <w:p>
      <w:pPr>
        <w:pStyle w:val="ListParagraph"/>
        <w:numPr>
          <w:ilvl w:val="0"/>
          <w:numId w:val="3"/>
        </w:numPr>
        <w:spacing w:after="100" w:line="276"/>
      </w:pPr>
      <w:r>
        <w:t xml:space="preserve">Monetization: free-to-paid conversion rate, average revenue per user, and share rate on the free shareable cards (every share is free distribution).</w:t>
      </w:r>
    </w:p>
    <w:p>
      <w:pPr>
        <w:pStyle w:val="ListParagraph"/>
        <w:numPr>
          <w:ilvl w:val="0"/>
          <w:numId w:val="3"/>
        </w:numPr>
        <w:spacing w:after="100" w:line="276"/>
      </w:pPr>
      <w:r>
        <w:t xml:space="preserve">Retention: weekly-horoscope open rate, day-7 and day-30 return rate.</w:t>
      </w:r>
    </w:p>
    <w:p>
      <w:pPr>
        <w:pStyle w:val="ListParagraph"/>
        <w:numPr>
          <w:ilvl w:val="0"/>
          <w:numId w:val="3"/>
        </w:numPr>
        <w:spacing w:after="100" w:line="276"/>
      </w:pPr>
      <w:r>
        <w:t xml:space="preserve">Trust: refund/complaint rate on paid reports, app-store rating and review sentiment.</w:t>
      </w:r>
    </w:p>
    <w:p>
      <w:pPr>
        <w:pStyle w:val="Heading1"/>
        <w:pBdr>
          <w:bottom w:val="single" w:color="B08D57" w:sz="8" w:space="4"/>
        </w:pBdr>
        <w:spacing w:after="200" w:before="480"/>
      </w:pPr>
      <w:r>
        <w:rPr>
          <w:b/>
          <w:bCs/>
          <w:color w:val="1B1032"/>
        </w:rPr>
        <w:t xml:space="preserve">12.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tblHeader/>
        </w:trPr>
        <w:tc>
          <w:tcPr>
            <w:tcW w:type="dxa" w:w="3350"/>
            <w:shd w:fill="1B1032" w:val="clear"/>
            <w:tcMar>
              <w:top w:type="dxa" w:w="80"/>
              <w:left w:type="dxa" w:w="120"/>
              <w:bottom w:type="dxa" w:w="80"/>
              <w:right w:type="dxa" w:w="120"/>
            </w:tcMar>
            <w:vAlign w:val="center"/>
          </w:tcPr>
          <w:p>
            <w:pPr>
              <w:jc w:val="left"/>
            </w:pPr>
            <w:r>
              <w:rPr>
                <w:b/>
                <w:bCs/>
                <w:color w:val="FFFFFF"/>
              </w:rPr>
              <w:t xml:space="preserve">Risk</w:t>
            </w:r>
          </w:p>
        </w:tc>
        <w:tc>
          <w:tcPr>
            <w:tcW w:type="dxa" w:w="6000"/>
            <w:shd w:fill="1B1032" w:val="clear"/>
            <w:tcMar>
              <w:top w:type="dxa" w:w="80"/>
              <w:left w:type="dxa" w:w="120"/>
              <w:bottom w:type="dxa" w:w="80"/>
              <w:right w:type="dxa" w:w="120"/>
            </w:tcMar>
            <w:vAlign w:val="center"/>
          </w:tcPr>
          <w:p>
            <w:pPr>
              <w:jc w:val="left"/>
            </w:pPr>
            <w:r>
              <w:rPr>
                <w:b/>
                <w:bCs/>
                <w:color w:val="FFFFFF"/>
              </w:rPr>
              <w:t xml:space="preserve">Mitigation</w:t>
            </w:r>
          </w:p>
        </w:tc>
      </w:tr>
      <w:tr>
        <w:tc>
          <w:tcPr>
            <w:tcW w:type="dxa" w:w="3350"/>
            <w:tcMar>
              <w:top w:type="dxa" w:w="80"/>
              <w:left w:type="dxa" w:w="120"/>
              <w:bottom w:type="dxa" w:w="80"/>
              <w:right w:type="dxa" w:w="120"/>
            </w:tcMar>
            <w:vAlign w:val="center"/>
          </w:tcPr>
          <w:p>
            <w:pPr>
              <w:jc w:val="left"/>
            </w:pPr>
            <w:r>
              <w:rPr>
                <w:b w:val="false"/>
                <w:bCs w:val="false"/>
                <w:color w:val="222222"/>
              </w:rPr>
              <w:t xml:space="preserve">Palm computer-vision accuracy disappoints users on real phone photos</w:t>
            </w:r>
          </w:p>
        </w:tc>
        <w:tc>
          <w:tcPr>
            <w:tcW w:type="dxa" w:w="6000"/>
            <w:tcMar>
              <w:top w:type="dxa" w:w="80"/>
              <w:left w:type="dxa" w:w="120"/>
              <w:bottom w:type="dxa" w:w="80"/>
              <w:right w:type="dxa" w:w="120"/>
            </w:tcMar>
            <w:vAlign w:val="center"/>
          </w:tcPr>
          <w:p>
            <w:pPr>
              <w:jc w:val="left"/>
            </w:pPr>
            <w:r>
              <w:rPr>
                <w:b w:val="false"/>
                <w:bCs w:val="false"/>
                <w:color w:val="222222"/>
              </w:rPr>
              <w:t xml:space="preserve">Launch with the assisted/guided marking flow before promising full automatic detection; set expectations as “guided,” not “magic”</w:t>
            </w:r>
          </w:p>
        </w:tc>
      </w:tr>
      <w:tr>
        <w:tc>
          <w:tcPr>
            <w:tcW w:type="dxa" w:w="3350"/>
            <w:shd w:fill="F2EEF7" w:val="clear"/>
            <w:tcMar>
              <w:top w:type="dxa" w:w="80"/>
              <w:left w:type="dxa" w:w="120"/>
              <w:bottom w:type="dxa" w:w="80"/>
              <w:right w:type="dxa" w:w="120"/>
            </w:tcMar>
            <w:vAlign w:val="center"/>
          </w:tcPr>
          <w:p>
            <w:pPr>
              <w:jc w:val="left"/>
            </w:pPr>
            <w:r>
              <w:rPr>
                <w:b w:val="false"/>
                <w:bCs w:val="false"/>
                <w:color w:val="222222"/>
              </w:rPr>
              <w:t xml:space="preserve">App-store rejection over AI-content disclosure rules</w:t>
            </w:r>
          </w:p>
        </w:tc>
        <w:tc>
          <w:tcPr>
            <w:tcW w:type="dxa" w:w="6000"/>
            <w:shd w:fill="F2EEF7" w:val="clear"/>
            <w:tcMar>
              <w:top w:type="dxa" w:w="80"/>
              <w:left w:type="dxa" w:w="120"/>
              <w:bottom w:type="dxa" w:w="80"/>
              <w:right w:type="dxa" w:w="120"/>
            </w:tcMar>
            <w:vAlign w:val="center"/>
          </w:tcPr>
          <w:p>
            <w:pPr>
              <w:jc w:val="left"/>
            </w:pPr>
            <w:r>
              <w:rPr>
                <w:b w:val="false"/>
                <w:bCs w:val="false"/>
                <w:color w:val="222222"/>
              </w:rPr>
              <w:t xml:space="preserve">Keep the interpretation layer templated/rule-based as planned; add visible labels proactively if a generative phrasing pass is added later</w:t>
            </w:r>
          </w:p>
        </w:tc>
      </w:tr>
      <w:tr>
        <w:tc>
          <w:tcPr>
            <w:tcW w:type="dxa" w:w="3350"/>
            <w:tcMar>
              <w:top w:type="dxa" w:w="80"/>
              <w:left w:type="dxa" w:w="120"/>
              <w:bottom w:type="dxa" w:w="80"/>
              <w:right w:type="dxa" w:w="120"/>
            </w:tcMar>
            <w:vAlign w:val="center"/>
          </w:tcPr>
          <w:p>
            <w:pPr>
              <w:jc w:val="left"/>
            </w:pPr>
            <w:r>
              <w:rPr>
                <w:b w:val="false"/>
                <w:bCs w:val="false"/>
                <w:color w:val="222222"/>
              </w:rPr>
              <w:t xml:space="preserve">Regulatory or reputational risk from specific-sounding claims (marriage year, partner age)</w:t>
            </w:r>
          </w:p>
        </w:tc>
        <w:tc>
          <w:tcPr>
            <w:tcW w:type="dxa" w:w="6000"/>
            <w:tcMar>
              <w:top w:type="dxa" w:w="80"/>
              <w:left w:type="dxa" w:w="120"/>
              <w:bottom w:type="dxa" w:w="80"/>
              <w:right w:type="dxa" w:w="120"/>
            </w:tcMar>
            <w:vAlign w:val="center"/>
          </w:tcPr>
          <w:p>
            <w:pPr>
              <w:jc w:val="left"/>
            </w:pPr>
            <w:r>
              <w:rPr>
                <w:b w:val="false"/>
                <w:bCs w:val="false"/>
                <w:color w:val="222222"/>
              </w:rPr>
              <w:t xml:space="preserve">Persistent, on-screen entertainment disclaimers; avoid language implying certainty</w:t>
            </w:r>
          </w:p>
        </w:tc>
      </w:tr>
      <w:tr>
        <w:tc>
          <w:tcPr>
            <w:tcW w:type="dxa" w:w="3350"/>
            <w:shd w:fill="F2EEF7" w:val="clear"/>
            <w:tcMar>
              <w:top w:type="dxa" w:w="80"/>
              <w:left w:type="dxa" w:w="120"/>
              <w:bottom w:type="dxa" w:w="80"/>
              <w:right w:type="dxa" w:w="120"/>
            </w:tcMar>
            <w:vAlign w:val="center"/>
          </w:tcPr>
          <w:p>
            <w:pPr>
              <w:jc w:val="left"/>
            </w:pPr>
            <w:r>
              <w:rPr>
                <w:b w:val="false"/>
                <w:bCs w:val="false"/>
                <w:color w:val="222222"/>
              </w:rPr>
              <w:t xml:space="preserve">Low differentiation versus AstroTalk or Astro Rekha directly</w:t>
            </w:r>
          </w:p>
        </w:tc>
        <w:tc>
          <w:tcPr>
            <w:tcW w:type="dxa" w:w="6000"/>
            <w:shd w:fill="F2EEF7" w:val="clear"/>
            <w:tcMar>
              <w:top w:type="dxa" w:w="80"/>
              <w:left w:type="dxa" w:w="120"/>
              <w:bottom w:type="dxa" w:w="80"/>
              <w:right w:type="dxa" w:w="120"/>
            </w:tcMar>
            <w:vAlign w:val="center"/>
          </w:tcPr>
          <w:p>
            <w:pPr>
              <w:jc w:val="left"/>
            </w:pPr>
            <w:r>
              <w:rPr>
                <w:b w:val="false"/>
                <w:bCs w:val="false"/>
                <w:color w:val="222222"/>
              </w:rPr>
              <w:t xml:space="preserve">Lean into “transparent, rule-based methodology” as an explicit trust differentiator versus black-box AI competitors</w:t>
            </w:r>
          </w:p>
        </w:tc>
      </w:tr>
      <w:tr>
        <w:tc>
          <w:tcPr>
            <w:tcW w:type="dxa" w:w="3350"/>
            <w:tcMar>
              <w:top w:type="dxa" w:w="80"/>
              <w:left w:type="dxa" w:w="120"/>
              <w:bottom w:type="dxa" w:w="80"/>
              <w:right w:type="dxa" w:w="120"/>
            </w:tcMar>
            <w:vAlign w:val="center"/>
          </w:tcPr>
          <w:p>
            <w:pPr>
              <w:jc w:val="left"/>
            </w:pPr>
            <w:r>
              <w:rPr>
                <w:b w:val="false"/>
                <w:bCs w:val="false"/>
                <w:color w:val="222222"/>
              </w:rPr>
              <w:t xml:space="preserve">Privacy backlash over photo/biometric-style data</w:t>
            </w:r>
          </w:p>
        </w:tc>
        <w:tc>
          <w:tcPr>
            <w:tcW w:type="dxa" w:w="6000"/>
            <w:tcMar>
              <w:top w:type="dxa" w:w="80"/>
              <w:left w:type="dxa" w:w="120"/>
              <w:bottom w:type="dxa" w:w="80"/>
              <w:right w:type="dxa" w:w="120"/>
            </w:tcMar>
            <w:vAlign w:val="center"/>
          </w:tcPr>
          <w:p>
            <w:pPr>
              <w:jc w:val="left"/>
            </w:pPr>
            <w:r>
              <w:rPr>
                <w:b w:val="false"/>
                <w:bCs w:val="false"/>
                <w:color w:val="222222"/>
              </w:rPr>
              <w:t xml:space="preserve">Default to process-then-delete for palm photos; clear, specific consent screens before camera/photo access</w:t>
            </w:r>
          </w:p>
        </w:tc>
      </w:tr>
    </w:tbl>
    <w:p>
      <w:pPr>
        <w:pStyle w:val="Heading1"/>
        <w:pBdr>
          <w:bottom w:val="single" w:color="B08D57" w:sz="8" w:space="4"/>
        </w:pBdr>
        <w:spacing w:after="200" w:before="480"/>
      </w:pPr>
      <w:r>
        <w:rPr>
          <w:b/>
          <w:bCs/>
          <w:color w:val="1B1032"/>
        </w:rPr>
        <w:t xml:space="preserve">13. Suggested Next Steps</w:t>
      </w:r>
    </w:p>
    <w:p>
      <w:pPr>
        <w:pStyle w:val="ListParagraph"/>
        <w:numPr>
          <w:ilvl w:val="0"/>
          <w:numId w:val="4"/>
        </w:numPr>
        <w:spacing w:after="100" w:line="276"/>
      </w:pPr>
      <w:r>
        <w:t xml:space="preserve">Decide on a brand name and confirm India-first vs. global-first positioning.</w:t>
      </w:r>
    </w:p>
    <w:p>
      <w:pPr>
        <w:pStyle w:val="ListParagraph"/>
        <w:numPr>
          <w:ilvl w:val="0"/>
          <w:numId w:val="4"/>
        </w:numPr>
        <w:spacing w:after="100" w:line="276"/>
      </w:pPr>
      <w:r>
        <w:t xml:space="preserve">Build a simple landing page and a few pieces of Instagram-native creative to validate demand before writing app code — this is the fastest, cheapest way to test which report type resonates.</w:t>
      </w:r>
    </w:p>
    <w:p>
      <w:pPr>
        <w:pStyle w:val="ListParagraph"/>
        <w:numPr>
          <w:ilvl w:val="0"/>
          <w:numId w:val="4"/>
        </w:numPr>
        <w:spacing w:after="100" w:line="276"/>
      </w:pPr>
      <w:r>
        <w:t xml:space="preserve">Pick one astrology API vendor from §5.1 and prototype the weekly-horoscope flow end to end.</w:t>
      </w:r>
    </w:p>
    <w:p>
      <w:pPr>
        <w:pStyle w:val="ListParagraph"/>
        <w:numPr>
          <w:ilvl w:val="0"/>
          <w:numId w:val="4"/>
        </w:numPr>
        <w:spacing w:after="100" w:line="276"/>
      </w:pPr>
      <w:r>
        <w:t xml:space="preserve">Decide the palm-reading MVP scope — assisted marking vs. investing in automatic detection — before committing engineering time.</w:t>
      </w:r>
    </w:p>
    <w:p>
      <w:pPr>
        <w:pStyle w:val="ListParagraph"/>
        <w:numPr>
          <w:ilvl w:val="0"/>
          <w:numId w:val="4"/>
        </w:numPr>
        <w:spacing w:after="100" w:line="276"/>
      </w:pPr>
      <w:r>
        <w:t xml:space="preserve">From here, I can help build any of the following: the validation landing page, the astrology interpretation content library, a working prototype of the horoscope flow, or an investor-facing version of this plan.</w:t>
      </w:r>
    </w:p>
    <w:p>
      <w:pPr>
        <w:spacing w:before="400"/>
      </w:pPr>
      <w:r>
        <w:rPr>
          <w:sz w:val="2"/>
          <w:szCs w:val="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Rule-Based Astrology &amp; Palmistry App — Product &amp;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B1032"/>
      <w:sz w:val="30"/>
      <w:szCs w:val="30"/>
    </w:rPr>
  </w:style>
  <w:style w:type="paragraph" w:styleId="Heading2">
    <w:name w:val="Heading 2"/>
    <w:basedOn w:val="Normal"/>
    <w:next w:val="Normal"/>
    <w:rPr>
      <w:rFonts w:ascii="Calibri" w:cs="Calibri" w:eastAsia="Calibri" w:hAnsi="Calibri"/>
      <w:b/>
      <w:bCs/>
      <w:color w:val="6C4E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2026-08-17T15:30:00.887Z</dcterms:created>
  <dcterms:modified xsi:type="dcterms:W3CDTF">2026-08-17T15:30:00.887Z</dcterms:modified>
</cp:coreProperties>
</file>

<file path=docProps/custom.xml><?xml version="1.0" encoding="utf-8"?>
<Properties xmlns="http://schemas.openxmlformats.org/officeDocument/2006/custom-properties" xmlns:vt="http://schemas.openxmlformats.org/officeDocument/2006/docPropsVTypes"/>
</file>