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Freight Rate Prediction</w:t>
      </w:r>
    </w:p>
    <w:p>
      <w:pPr>
        <w:jc w:val="center"/>
      </w:pPr>
      <w:r>
        <w:t>Spotter Machine Learning Engineer Assessment Report</w:t>
      </w:r>
    </w:p>
    <w:p>
      <w:r>
        <w:t>Prepared from reproducible project outputs; internal metrics are not official Spotter scores.</w:t>
      </w:r>
    </w:p>
    <w:p>
      <w:pPr>
        <w:pStyle w:val="Heading1"/>
      </w:pPr>
      <w:r>
        <w:t>1. Executive Summary</w:t>
      </w:r>
    </w:p>
    <w:p>
      <w:r>
        <w:t>This project predicts freight rates for unseen loads. The final solution uses a Ridge regression pipeline trained on all 48,000 labeled January–October 2025 loads. It applies deterministic cleaning, compact geographic/calendar features, training-fitted imputation, and unknown-category-safe encoding. A chronological September–October holdout was used to simulate future prediction. The selected candidate achieved internal holdout MAE of $149.63, RMSE of $643.53, and R² of 0.8222. Final predictions for 12,000 validation loads and 31 December scenario rows passed the supplied scorer validation.</w:t>
      </w:r>
    </w:p>
    <w:p>
      <w:pPr>
        <w:pStyle w:val="Heading1"/>
      </w:pPr>
      <w:r>
        <w:t>2. Problem Understanding</w:t>
      </w:r>
    </w:p>
    <w:p>
      <w:r>
        <w:t>The task is supervised regression: learn posted_rate from labeled historical loads and predict posted_rate for the unlabeled validation loads. The final validation file contains 12,000 unique load IDs and later dates than development data.</w:t>
      </w:r>
    </w:p>
    <w:p>
      <w:pPr>
        <w:pStyle w:val="Heading1"/>
      </w:pPr>
      <w:r>
        <w:t>3. Dataset Overview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Dataset</w:t>
            </w:r>
          </w:p>
        </w:tc>
        <w:tc>
          <w:tcPr>
            <w:tcW w:type="dxa" w:w="2556"/>
          </w:tcPr>
          <w:p>
            <w:r>
              <w:t>Rows</w:t>
            </w:r>
          </w:p>
        </w:tc>
        <w:tc>
          <w:tcPr>
            <w:tcW w:type="dxa" w:w="2556"/>
          </w:tcPr>
          <w:p>
            <w:r>
              <w:t>Columns</w:t>
            </w:r>
          </w:p>
        </w:tc>
        <w:tc>
          <w:tcPr>
            <w:tcW w:type="dxa" w:w="2556"/>
          </w:tcPr>
          <w:p>
            <w:r>
              <w:t>Date coverage</w:t>
            </w:r>
          </w:p>
        </w:tc>
      </w:tr>
      <w:tr>
        <w:tc>
          <w:tcPr>
            <w:tcW w:type="dxa" w:w="2556"/>
          </w:tcPr>
          <w:p>
            <w:r>
              <w:t>Development</w:t>
            </w:r>
          </w:p>
        </w:tc>
        <w:tc>
          <w:tcPr>
            <w:tcW w:type="dxa" w:w="2556"/>
          </w:tcPr>
          <w:p>
            <w:r>
              <w:t>48,000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2025-01-01 to 2025-10-31</w:t>
            </w:r>
          </w:p>
        </w:tc>
      </w:tr>
      <w:tr>
        <w:tc>
          <w:tcPr>
            <w:tcW w:type="dxa" w:w="2556"/>
          </w:tcPr>
          <w:p>
            <w:r>
              <w:t>Final validation</w:t>
            </w:r>
          </w:p>
        </w:tc>
        <w:tc>
          <w:tcPr>
            <w:tcW w:type="dxa" w:w="2556"/>
          </w:tcPr>
          <w:p>
            <w:r>
              <w:t>12,000</w:t>
            </w:r>
          </w:p>
        </w:tc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2025-11-01 to 2025-12-31</w:t>
            </w:r>
          </w:p>
        </w:tc>
      </w:tr>
      <w:tr>
        <w:tc>
          <w:tcPr>
            <w:tcW w:type="dxa" w:w="2556"/>
          </w:tcPr>
          <w:p>
            <w:r>
              <w:t>December scenario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2025-12-01 to 2025-12-31</w:t>
            </w:r>
          </w:p>
        </w:tc>
      </w:tr>
    </w:tbl>
    <w:p>
      <w:r>
        <w:t>Target: posted_rate. Validation includes the same input schema as development except for the target.</w:t>
      </w:r>
    </w:p>
    <w:p>
      <w:pPr>
        <w:pStyle w:val="Heading1"/>
      </w:pPr>
      <w:r>
        <w:t>4. Exploratory Data Analysis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Target statistic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Minimum</w:t>
            </w:r>
          </w:p>
        </w:tc>
        <w:tc>
          <w:tcPr>
            <w:tcW w:type="dxa" w:w="5112"/>
          </w:tcPr>
          <w:p>
            <w:r>
              <w:t>$57.22</w:t>
            </w:r>
          </w:p>
        </w:tc>
      </w:tr>
      <w:tr>
        <w:tc>
          <w:tcPr>
            <w:tcW w:type="dxa" w:w="5112"/>
          </w:tcPr>
          <w:p>
            <w:r>
              <w:t>Median</w:t>
            </w:r>
          </w:p>
        </w:tc>
        <w:tc>
          <w:tcPr>
            <w:tcW w:type="dxa" w:w="5112"/>
          </w:tcPr>
          <w:p>
            <w:r>
              <w:t>$2030.76</w:t>
            </w:r>
          </w:p>
        </w:tc>
      </w:tr>
      <w:tr>
        <w:tc>
          <w:tcPr>
            <w:tcW w:type="dxa" w:w="5112"/>
          </w:tcPr>
          <w:p>
            <w:r>
              <w:t>Mean</w:t>
            </w:r>
          </w:p>
        </w:tc>
        <w:tc>
          <w:tcPr>
            <w:tcW w:type="dxa" w:w="5112"/>
          </w:tcPr>
          <w:p>
            <w:r>
              <w:t>$2373.98</w:t>
            </w:r>
          </w:p>
        </w:tc>
      </w:tr>
      <w:tr>
        <w:tc>
          <w:tcPr>
            <w:tcW w:type="dxa" w:w="5112"/>
          </w:tcPr>
          <w:p>
            <w:r>
              <w:t>Standard deviation</w:t>
            </w:r>
          </w:p>
        </w:tc>
        <w:tc>
          <w:tcPr>
            <w:tcW w:type="dxa" w:w="5112"/>
          </w:tcPr>
          <w:p>
            <w:r>
              <w:t>$1486.49</w:t>
            </w:r>
          </w:p>
        </w:tc>
      </w:tr>
      <w:tr>
        <w:tc>
          <w:tcPr>
            <w:tcW w:type="dxa" w:w="5112"/>
          </w:tcPr>
          <w:p>
            <w:r>
              <w:t>95th percentile</w:t>
            </w:r>
          </w:p>
        </w:tc>
        <w:tc>
          <w:tcPr>
            <w:tcW w:type="dxa" w:w="5112"/>
          </w:tcPr>
          <w:p>
            <w:r>
              <w:t>$4953.77</w:t>
            </w:r>
          </w:p>
        </w:tc>
      </w:tr>
      <w:tr>
        <w:tc>
          <w:tcPr>
            <w:tcW w:type="dxa" w:w="5112"/>
          </w:tcPr>
          <w:p>
            <w:r>
              <w:t>99th percentile</w:t>
            </w:r>
          </w:p>
        </w:tc>
        <w:tc>
          <w:tcPr>
            <w:tcW w:type="dxa" w:w="5112"/>
          </w:tcPr>
          <w:p>
            <w:r>
              <w:t>$5972.83</w:t>
            </w:r>
          </w:p>
        </w:tc>
      </w:tr>
      <w:tr>
        <w:tc>
          <w:tcPr>
            <w:tcW w:type="dxa" w:w="5112"/>
          </w:tcPr>
          <w:p>
            <w:r>
              <w:t>Maximum</w:t>
            </w:r>
          </w:p>
        </w:tc>
        <w:tc>
          <w:tcPr>
            <w:tcW w:type="dxa" w:w="5112"/>
          </w:tcPr>
          <w:p>
            <w:r>
              <w:t>$25533.00</w:t>
            </w:r>
          </w:p>
        </w:tc>
      </w:tr>
    </w:tbl>
    <w:p>
      <w:r>
        <w:t>Posted rates are right-skewed: the mean exceeds the median and the maximum is substantially above the 99th percentile. Distance is the strongest numeric relationship with posted_rate (Pearson correlation 0.9085). Reefer loads had the highest mean rate ($2,553.64), followed by Flatbed ($2,445.09) and Dry Van ($2,271.55).</w:t>
      </w:r>
    </w:p>
    <w:p>
      <w:r>
        <w:drawing>
          <wp:inline xmlns:a="http://schemas.openxmlformats.org/drawingml/2006/main" xmlns:pic="http://schemas.openxmlformats.org/drawingml/2006/picture">
            <wp:extent cx="5989320" cy="3724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ance_vs_posted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2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Distance has a strong positive, but not perfectly linear, relationship with posted rate.</w:t>
      </w:r>
    </w:p>
    <w:p>
      <w:pPr>
        <w:pStyle w:val="Heading1"/>
      </w:pPr>
      <w:r>
        <w:t>5. Data Quality Issues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Issue</w:t>
            </w:r>
          </w:p>
        </w:tc>
        <w:tc>
          <w:tcPr>
            <w:tcW w:type="dxa" w:w="2556"/>
          </w:tcPr>
          <w:p>
            <w:r>
              <w:t>Development</w:t>
            </w:r>
          </w:p>
        </w:tc>
        <w:tc>
          <w:tcPr>
            <w:tcW w:type="dxa" w:w="2556"/>
          </w:tcPr>
          <w:p>
            <w:r>
              <w:t>Validation</w:t>
            </w:r>
          </w:p>
        </w:tc>
        <w:tc>
          <w:tcPr>
            <w:tcW w:type="dxa" w:w="2556"/>
          </w:tcPr>
          <w:p>
            <w:r>
              <w:t>Finding</w:t>
            </w:r>
          </w:p>
        </w:tc>
      </w:tr>
      <w:tr>
        <w:tc>
          <w:tcPr>
            <w:tcW w:type="dxa" w:w="2556"/>
          </w:tcPr>
          <w:p>
            <w:r>
              <w:t>Missing weight</w:t>
            </w:r>
          </w:p>
        </w:tc>
        <w:tc>
          <w:tcPr>
            <w:tcW w:type="dxa" w:w="2556"/>
          </w:tcPr>
          <w:p>
            <w:r>
              <w:t>300</w:t>
            </w:r>
          </w:p>
        </w:tc>
        <w:tc>
          <w:tcPr>
            <w:tcW w:type="dxa" w:w="2556"/>
          </w:tcPr>
          <w:p>
            <w:r>
              <w:t>165</w:t>
            </w:r>
          </w:p>
        </w:tc>
        <w:tc>
          <w:tcPr>
            <w:tcW w:type="dxa" w:w="2556"/>
          </w:tcPr>
          <w:p>
            <w:r>
              <w:t>Requires consistent numeric handling</w:t>
            </w:r>
          </w:p>
        </w:tc>
      </w:tr>
      <w:tr>
        <w:tc>
          <w:tcPr>
            <w:tcW w:type="dxa" w:w="2556"/>
          </w:tcPr>
          <w:p>
            <w:r>
              <w:t>Missing market_index</w:t>
            </w:r>
          </w:p>
        </w:tc>
        <w:tc>
          <w:tcPr>
            <w:tcW w:type="dxa" w:w="2556"/>
          </w:tcPr>
          <w:p>
            <w:r>
              <w:t>374</w:t>
            </w:r>
          </w:p>
        </w:tc>
        <w:tc>
          <w:tcPr>
            <w:tcW w:type="dxa" w:w="2556"/>
          </w:tcPr>
          <w:p>
            <w:r>
              <w:t>249</w:t>
            </w:r>
          </w:p>
        </w:tc>
        <w:tc>
          <w:tcPr>
            <w:tcW w:type="dxa" w:w="2556"/>
          </w:tcPr>
          <w:p>
            <w:r>
              <w:t>Requires consistent numeric handling</w:t>
            </w:r>
          </w:p>
        </w:tc>
      </w:tr>
      <w:tr>
        <w:tc>
          <w:tcPr>
            <w:tcW w:type="dxa" w:w="2556"/>
          </w:tcPr>
          <w:p>
            <w:r>
              <w:t>Negative weight</w:t>
            </w:r>
          </w:p>
        </w:tc>
        <w:tc>
          <w:tcPr>
            <w:tcW w:type="dxa" w:w="2556"/>
          </w:tcPr>
          <w:p>
            <w:r>
              <w:t>292</w:t>
            </w:r>
          </w:p>
        </w:tc>
        <w:tc>
          <w:tcPr>
            <w:tcW w:type="dxa" w:w="2556"/>
          </w:tcPr>
          <w:p>
            <w:r>
              <w:t>145</w:t>
            </w:r>
          </w:p>
        </w:tc>
        <w:tc>
          <w:tcPr>
            <w:tcW w:type="dxa" w:w="2556"/>
          </w:tcPr>
          <w:p>
            <w:r>
              <w:t>Physically invalid</w:t>
            </w:r>
          </w:p>
        </w:tc>
      </w:tr>
      <w:tr>
        <w:tc>
          <w:tcPr>
            <w:tcW w:type="dxa" w:w="2556"/>
          </w:tcPr>
          <w:p>
            <w:r>
              <w:t>Duplicate rows / load IDs</w:t>
            </w:r>
          </w:p>
        </w:tc>
        <w:tc>
          <w:tcPr>
            <w:tcW w:type="dxa" w:w="2556"/>
          </w:tcPr>
          <w:p>
            <w:r>
              <w:t>0 / 0</w:t>
            </w:r>
          </w:p>
        </w:tc>
        <w:tc>
          <w:tcPr>
            <w:tcW w:type="dxa" w:w="2556"/>
          </w:tcPr>
          <w:p>
            <w:r>
              <w:t>0 / 0</w:t>
            </w:r>
          </w:p>
        </w:tc>
        <w:tc>
          <w:tcPr>
            <w:tcW w:type="dxa" w:w="2556"/>
          </w:tcPr>
          <w:p>
            <w:r>
              <w:t>No removal required</w:t>
            </w:r>
          </w:p>
        </w:tc>
      </w:tr>
      <w:tr>
        <w:tc>
          <w:tcPr>
            <w:tcW w:type="dxa" w:w="2556"/>
          </w:tcPr>
          <w:p>
            <w:r>
              <w:t>Validation-only cities</w:t>
            </w:r>
          </w:p>
        </w:tc>
        <w:tc>
          <w:tcPr>
            <w:tcW w:type="dxa" w:w="2556"/>
          </w:tcPr>
          <w:p>
            <w:r>
              <w:t>N/A</w:t>
            </w:r>
          </w:p>
        </w:tc>
        <w:tc>
          <w:tcPr>
            <w:tcW w:type="dxa" w:w="2556"/>
          </w:tcPr>
          <w:p>
            <w:r>
              <w:t>8 pickup and 8 delivery values</w:t>
            </w:r>
          </w:p>
        </w:tc>
        <w:tc>
          <w:tcPr>
            <w:tcW w:type="dxa" w:w="2556"/>
          </w:tcPr>
          <w:p>
            <w:r>
              <w:t>Must support unseen categories</w:t>
            </w:r>
          </w:p>
        </w:tc>
      </w:tr>
    </w:tbl>
    <w:p>
      <w:r>
        <w:t>All dates parsed successfully. No non-positive distances, invalid coordinate ranges, or non-positive training targets were found.</w:t>
      </w:r>
    </w:p>
    <w:p>
      <w:pPr>
        <w:pStyle w:val="Heading1"/>
      </w:pPr>
      <w:r>
        <w:t>6. Data Cleaning Strategy</w:t>
      </w:r>
    </w:p>
    <w:p>
      <w:pPr>
        <w:pStyle w:val="ListBullet"/>
      </w:pPr>
      <w:r>
        <w:t>Negative weights were not dropped or converted to absolute values. They were converted to missing values and retained through weight_was_negative.</w:t>
      </w:r>
    </w:p>
    <w:p>
      <w:pPr>
        <w:pStyle w:val="ListBullet"/>
      </w:pPr>
      <w:r>
        <w:t>Numeric fields are median-imputed inside the training-fitted pipeline, with missing-value indicators.</w:t>
      </w:r>
    </w:p>
    <w:p>
      <w:pPr>
        <w:pStyle w:val="ListBullet"/>
      </w:pPr>
      <w:r>
        <w:t>Categorical fields use most-frequent imputation and one-hot encoding with handle_unknown='ignore'.</w:t>
      </w:r>
    </w:p>
    <w:p>
      <w:pPr>
        <w:pStyle w:val="ListBullet"/>
      </w:pPr>
      <w:r>
        <w:t>No preprocessing statistic is fitted on final validation data.</w:t>
      </w:r>
    </w:p>
    <w:p>
      <w:pPr>
        <w:pStyle w:val="Heading1"/>
      </w:pPr>
      <w:r>
        <w:t>7. Feature Engineering</w:t>
      </w:r>
    </w:p>
    <w:p>
      <w:r>
        <w:t>The final features retain raw coordinates, distance, weight, market index, quote signal, equipment, and city fields. Added features are distance_log1p, latitude/longitude differences, haversine distance, distance × market index, day of week, cyclic day-of-year features, and weight_was_negative. The route string was intentionally rejected: development had 4,014 routes and 1,461 validation rows used unseen routes.</w:t>
      </w:r>
    </w:p>
    <w:p>
      <w:pPr>
        <w:pStyle w:val="Heading1"/>
      </w:pPr>
      <w:r>
        <w:t>8. Train/Validation Split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Partition</w:t>
            </w:r>
          </w:p>
        </w:tc>
        <w:tc>
          <w:tcPr>
            <w:tcW w:type="dxa" w:w="2556"/>
          </w:tcPr>
          <w:p>
            <w:r>
              <w:t>Rows</w:t>
            </w:r>
          </w:p>
        </w:tc>
        <w:tc>
          <w:tcPr>
            <w:tcW w:type="dxa" w:w="2556"/>
          </w:tcPr>
          <w:p>
            <w:r>
              <w:t>Dates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Fit</w:t>
            </w:r>
          </w:p>
        </w:tc>
        <w:tc>
          <w:tcPr>
            <w:tcW w:type="dxa" w:w="2556"/>
          </w:tcPr>
          <w:p>
            <w:r>
              <w:t>38,477</w:t>
            </w:r>
          </w:p>
        </w:tc>
        <w:tc>
          <w:tcPr>
            <w:tcW w:type="dxa" w:w="2556"/>
          </w:tcPr>
          <w:p>
            <w:r>
              <w:t>2025-01-01 to 2025-08-31</w:t>
            </w:r>
          </w:p>
        </w:tc>
        <w:tc>
          <w:tcPr>
            <w:tcW w:type="dxa" w:w="2556"/>
          </w:tcPr>
          <w:p>
            <w:r>
              <w:t>Fit candidate pipelines</w:t>
            </w:r>
          </w:p>
        </w:tc>
      </w:tr>
      <w:tr>
        <w:tc>
          <w:tcPr>
            <w:tcW w:type="dxa" w:w="2556"/>
          </w:tcPr>
          <w:p>
            <w:r>
              <w:t>Internal holdout</w:t>
            </w:r>
          </w:p>
        </w:tc>
        <w:tc>
          <w:tcPr>
            <w:tcW w:type="dxa" w:w="2556"/>
          </w:tcPr>
          <w:p>
            <w:r>
              <w:t>9,523</w:t>
            </w:r>
          </w:p>
        </w:tc>
        <w:tc>
          <w:tcPr>
            <w:tcW w:type="dxa" w:w="2556"/>
          </w:tcPr>
          <w:p>
            <w:r>
              <w:t>2025-09-01 to 2025-10-31</w:t>
            </w:r>
          </w:p>
        </w:tc>
        <w:tc>
          <w:tcPr>
            <w:tcW w:type="dxa" w:w="2556"/>
          </w:tcPr>
          <w:p>
            <w:r>
              <w:t>Future-like model comparison</w:t>
            </w:r>
          </w:p>
        </w:tc>
      </w:tr>
      <w:tr>
        <w:tc>
          <w:tcPr>
            <w:tcW w:type="dxa" w:w="2556"/>
          </w:tcPr>
          <w:p>
            <w:r>
              <w:t>Final validation</w:t>
            </w:r>
          </w:p>
        </w:tc>
        <w:tc>
          <w:tcPr>
            <w:tcW w:type="dxa" w:w="2556"/>
          </w:tcPr>
          <w:p>
            <w:r>
              <w:t>12,000</w:t>
            </w:r>
          </w:p>
        </w:tc>
        <w:tc>
          <w:tcPr>
            <w:tcW w:type="dxa" w:w="2556"/>
          </w:tcPr>
          <w:p>
            <w:r>
              <w:t>2025-11-01 to 2025-12-31</w:t>
            </w:r>
          </w:p>
        </w:tc>
        <w:tc>
          <w:tcPr>
            <w:tcW w:type="dxa" w:w="2556"/>
          </w:tcPr>
          <w:p>
            <w:r>
              <w:t>Unlabeled final prediction</w:t>
            </w:r>
          </w:p>
        </w:tc>
      </w:tr>
    </w:tbl>
    <w:p>
      <w:r>
        <w:t>A chronological cutoff of 2025-09-01 was chosen because the 61-day September–October holdout matches the 61-day November–December final horizon. A random split would mix earlier and later dates in both partitions and produce a less realistic estimate of future performance.</w:t>
      </w:r>
    </w:p>
    <w:p>
      <w:pPr>
        <w:pStyle w:val="Heading1"/>
      </w:pPr>
      <w:r>
        <w:t>9. Baseline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Model</w:t>
            </w:r>
          </w:p>
        </w:tc>
        <w:tc>
          <w:tcPr>
            <w:tcW w:type="dxa" w:w="2045"/>
          </w:tcPr>
          <w:p>
            <w:r>
              <w:t>MAE</w:t>
            </w:r>
          </w:p>
        </w:tc>
        <w:tc>
          <w:tcPr>
            <w:tcW w:type="dxa" w:w="2045"/>
          </w:tcPr>
          <w:p>
            <w:r>
              <w:t>RMSE</w:t>
            </w:r>
          </w:p>
        </w:tc>
        <w:tc>
          <w:tcPr>
            <w:tcW w:type="dxa" w:w="2045"/>
          </w:tcPr>
          <w:p>
            <w:r>
              <w:t>R²</w:t>
            </w:r>
          </w:p>
        </w:tc>
        <w:tc>
          <w:tcPr>
            <w:tcW w:type="dxa" w:w="2045"/>
          </w:tcPr>
          <w:p>
            <w:r>
              <w:t>Observation</w:t>
            </w:r>
          </w:p>
        </w:tc>
      </w:tr>
      <w:tr>
        <w:tc>
          <w:tcPr>
            <w:tcW w:type="dxa" w:w="2045"/>
          </w:tcPr>
          <w:p>
            <w:r>
              <w:t>Ridge baseline</w:t>
            </w:r>
          </w:p>
        </w:tc>
        <w:tc>
          <w:tcPr>
            <w:tcW w:type="dxa" w:w="2045"/>
          </w:tcPr>
          <w:p>
            <w:r>
              <w:t>$149.70</w:t>
            </w:r>
          </w:p>
        </w:tc>
        <w:tc>
          <w:tcPr>
            <w:tcW w:type="dxa" w:w="2045"/>
          </w:tcPr>
          <w:p>
            <w:r>
              <w:t>$643.54</w:t>
            </w:r>
          </w:p>
        </w:tc>
        <w:tc>
          <w:tcPr>
            <w:tcW w:type="dxa" w:w="2045"/>
          </w:tcPr>
          <w:p>
            <w:r>
              <w:t>0.8222</w:t>
            </w:r>
          </w:p>
        </w:tc>
        <w:tc>
          <w:tcPr>
            <w:tcW w:type="dxa" w:w="2045"/>
          </w:tcPr>
          <w:p>
            <w:r>
              <w:t>Underpredicted rare high-rate loads; 11 non-positive raw estimates</w:t>
            </w:r>
          </w:p>
        </w:tc>
      </w:tr>
    </w:tbl>
    <w:p>
      <w:pPr>
        <w:pStyle w:val="Heading1"/>
      </w:pPr>
      <w:r>
        <w:t>10. Model Experiments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Model</w:t>
            </w:r>
          </w:p>
        </w:tc>
        <w:tc>
          <w:tcPr>
            <w:tcW w:type="dxa" w:w="1704"/>
          </w:tcPr>
          <w:p>
            <w:r>
              <w:t>MAE</w:t>
            </w:r>
          </w:p>
        </w:tc>
        <w:tc>
          <w:tcPr>
            <w:tcW w:type="dxa" w:w="1704"/>
          </w:tcPr>
          <w:p>
            <w:r>
              <w:t>RMSE</w:t>
            </w:r>
          </w:p>
        </w:tc>
        <w:tc>
          <w:tcPr>
            <w:tcW w:type="dxa" w:w="1704"/>
          </w:tcPr>
          <w:p>
            <w:r>
              <w:t>R²</w:t>
            </w:r>
          </w:p>
        </w:tc>
        <w:tc>
          <w:tcPr>
            <w:tcW w:type="dxa" w:w="1704"/>
          </w:tcPr>
          <w:p>
            <w:r>
              <w:t>RMSE gap</w:t>
            </w:r>
          </w:p>
        </w:tc>
        <w:tc>
          <w:tcPr>
            <w:tcW w:type="dxa" w:w="1704"/>
          </w:tcPr>
          <w:p>
            <w:r>
              <w:t>Train sec</w:t>
            </w:r>
          </w:p>
        </w:tc>
      </w:tr>
      <w:tr>
        <w:tc>
          <w:tcPr>
            <w:tcW w:type="dxa" w:w="1704"/>
          </w:tcPr>
          <w:p>
            <w:r>
              <w:t>ridge</w:t>
            </w:r>
          </w:p>
        </w:tc>
        <w:tc>
          <w:tcPr>
            <w:tcW w:type="dxa" w:w="1704"/>
          </w:tcPr>
          <w:p>
            <w:r>
              <w:t>$149.63</w:t>
            </w:r>
          </w:p>
        </w:tc>
        <w:tc>
          <w:tcPr>
            <w:tcW w:type="dxa" w:w="1704"/>
          </w:tcPr>
          <w:p>
            <w:r>
              <w:t>$643.53</w:t>
            </w:r>
          </w:p>
        </w:tc>
        <w:tc>
          <w:tcPr>
            <w:tcW w:type="dxa" w:w="1704"/>
          </w:tcPr>
          <w:p>
            <w:r>
              <w:t>0.8222</w:t>
            </w:r>
          </w:p>
        </w:tc>
        <w:tc>
          <w:tcPr>
            <w:tcW w:type="dxa" w:w="1704"/>
          </w:tcPr>
          <w:p>
            <w:r>
              <w:t>58.44</w:t>
            </w:r>
          </w:p>
        </w:tc>
        <w:tc>
          <w:tcPr>
            <w:tcW w:type="dxa" w:w="1704"/>
          </w:tcPr>
          <w:p>
            <w:r>
              <w:t>0.37</w:t>
            </w:r>
          </w:p>
        </w:tc>
      </w:tr>
      <w:tr>
        <w:tc>
          <w:tcPr>
            <w:tcW w:type="dxa" w:w="1704"/>
          </w:tcPr>
          <w:p>
            <w:r>
              <w:t>extra_trees</w:t>
            </w:r>
          </w:p>
        </w:tc>
        <w:tc>
          <w:tcPr>
            <w:tcW w:type="dxa" w:w="1704"/>
          </w:tcPr>
          <w:p>
            <w:r>
              <w:t>$156.30</w:t>
            </w:r>
          </w:p>
        </w:tc>
        <w:tc>
          <w:tcPr>
            <w:tcW w:type="dxa" w:w="1704"/>
          </w:tcPr>
          <w:p>
            <w:r>
              <w:t>$661.28</w:t>
            </w:r>
          </w:p>
        </w:tc>
        <w:tc>
          <w:tcPr>
            <w:tcW w:type="dxa" w:w="1704"/>
          </w:tcPr>
          <w:p>
            <w:r>
              <w:t>0.8122</w:t>
            </w:r>
          </w:p>
        </w:tc>
        <w:tc>
          <w:tcPr>
            <w:tcW w:type="dxa" w:w="1704"/>
          </w:tcPr>
          <w:p>
            <w:r>
              <w:t>326.90</w:t>
            </w:r>
          </w:p>
        </w:tc>
        <w:tc>
          <w:tcPr>
            <w:tcW w:type="dxa" w:w="1704"/>
          </w:tcPr>
          <w:p>
            <w:r>
              <w:t>71.50</w:t>
            </w:r>
          </w:p>
        </w:tc>
      </w:tr>
      <w:tr>
        <w:tc>
          <w:tcPr>
            <w:tcW w:type="dxa" w:w="1704"/>
          </w:tcPr>
          <w:p>
            <w:r>
              <w:t>random_forest</w:t>
            </w:r>
          </w:p>
        </w:tc>
        <w:tc>
          <w:tcPr>
            <w:tcW w:type="dxa" w:w="1704"/>
          </w:tcPr>
          <w:p>
            <w:r>
              <w:t>$160.27</w:t>
            </w:r>
          </w:p>
        </w:tc>
        <w:tc>
          <w:tcPr>
            <w:tcW w:type="dxa" w:w="1704"/>
          </w:tcPr>
          <w:p>
            <w:r>
              <w:t>$655.92</w:t>
            </w:r>
          </w:p>
        </w:tc>
        <w:tc>
          <w:tcPr>
            <w:tcW w:type="dxa" w:w="1704"/>
          </w:tcPr>
          <w:p>
            <w:r>
              <w:t>0.8153</w:t>
            </w:r>
          </w:p>
        </w:tc>
        <w:tc>
          <w:tcPr>
            <w:tcW w:type="dxa" w:w="1704"/>
          </w:tcPr>
          <w:p>
            <w:r>
              <w:t>269.43</w:t>
            </w:r>
          </w:p>
        </w:tc>
        <w:tc>
          <w:tcPr>
            <w:tcW w:type="dxa" w:w="1704"/>
          </w:tcPr>
          <w:p>
            <w:r>
              <w:t>36.35</w:t>
            </w:r>
          </w:p>
        </w:tc>
      </w:tr>
      <w:tr>
        <w:tc>
          <w:tcPr>
            <w:tcW w:type="dxa" w:w="1704"/>
          </w:tcPr>
          <w:p>
            <w:r>
              <w:t>hist_gradient_boosting</w:t>
            </w:r>
          </w:p>
        </w:tc>
        <w:tc>
          <w:tcPr>
            <w:tcW w:type="dxa" w:w="1704"/>
          </w:tcPr>
          <w:p>
            <w:r>
              <w:t>$166.61</w:t>
            </w:r>
          </w:p>
        </w:tc>
        <w:tc>
          <w:tcPr>
            <w:tcW w:type="dxa" w:w="1704"/>
          </w:tcPr>
          <w:p>
            <w:r>
              <w:t>$652.90</w:t>
            </w:r>
          </w:p>
        </w:tc>
        <w:tc>
          <w:tcPr>
            <w:tcW w:type="dxa" w:w="1704"/>
          </w:tcPr>
          <w:p>
            <w:r>
              <w:t>0.8170</w:t>
            </w:r>
          </w:p>
        </w:tc>
        <w:tc>
          <w:tcPr>
            <w:tcW w:type="dxa" w:w="1704"/>
          </w:tcPr>
          <w:p>
            <w:r>
              <w:t>192.95</w:t>
            </w:r>
          </w:p>
        </w:tc>
        <w:tc>
          <w:tcPr>
            <w:tcW w:type="dxa" w:w="1704"/>
          </w:tcPr>
          <w:p>
            <w:r>
              <w:t>6.68</w:t>
            </w:r>
          </w:p>
        </w:tc>
      </w:tr>
    </w:tbl>
    <w:p>
      <w:r>
        <w:t>All values are internal chronological-holdout metrics, not official Spotter scores.</w:t>
      </w:r>
    </w:p>
    <w:p>
      <w:pPr>
        <w:pStyle w:val="Heading1"/>
      </w:pPr>
      <w:r>
        <w:t>11. Final Model Selection</w:t>
      </w:r>
    </w:p>
    <w:p>
      <w:r>
        <w:t>Ridge was selected because it had the lowest chronological-holdout MAE ($149.63), lowest RMSE ($643.53), highest R² (0.8222), and smallest RMSE generalization gap (58.44). The tree models fitted historical rows more closely but did not improve performance on later unseen rows. The final Ridge pipeline includes a 0.01 positive prediction floor required by the scorer.</w:t>
      </w:r>
    </w:p>
    <w:p>
      <w:pPr>
        <w:pStyle w:val="Heading1"/>
      </w:pPr>
      <w:r>
        <w:t>12. Validation Results</w:t>
      </w:r>
    </w:p>
    <w:p>
      <w:r>
        <w:t>The selected model's internal evaluation is based only on September–October rows, with all preprocessing fit on January–August. The project does not claim an official Spotter score: final validation metrics are calculated by Spotter after submission.</w:t>
      </w:r>
    </w:p>
    <w:p>
      <w:pPr>
        <w:pStyle w:val="Heading1"/>
      </w:pPr>
      <w:r>
        <w:t>13. Final Validation Prediction Generation</w:t>
      </w:r>
    </w:p>
    <w:p>
      <w:r>
        <w:t>The saved pipeline was retrained on all 48,000 development rows and applied to all 12,000 final validation loads. validation_predictions.csv contains exactly load_id and predicted_rate, preserves template order, has no duplicate IDs or missing values, and passed local scorer-compatible checks.</w:t>
      </w:r>
    </w:p>
    <w:p>
      <w:pPr>
        <w:pStyle w:val="Heading1"/>
      </w:pPr>
      <w:r>
        <w:t>14. December Prediction Analysis</w:t>
      </w:r>
    </w:p>
    <w:p>
      <w:r>
        <w:t>For the fixed Lexington-to-Fort Wayne scenario (360 miles, Dry Van, 32,000 lb), all 31 December dates were predicted. Predictions range from $902.91 to $967.81. Only date changes across the scenario.</w:t>
      </w:r>
    </w:p>
    <w:p>
      <w:pPr>
        <w:pStyle w:val="Heading1"/>
      </w:pPr>
      <w:r>
        <w:t>15. candidate_december.png</w:t>
      </w:r>
    </w:p>
    <w:p>
      <w:r>
        <w:drawing>
          <wp:inline xmlns:a="http://schemas.openxmlformats.org/drawingml/2006/main" xmlns:pic="http://schemas.openxmlformats.org/drawingml/2006/picture">
            <wp:extent cx="5989320" cy="1950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5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Candidate December 2025 predicted load rate, generated by the supplied score.py.</w:t>
      </w:r>
    </w:p>
    <w:p>
      <w:pPr>
        <w:pStyle w:val="Heading1"/>
      </w:pPr>
      <w:r>
        <w:t>16. Limitations</w:t>
      </w:r>
    </w:p>
    <w:p>
      <w:pPr>
        <w:pStyle w:val="ListBullet"/>
      </w:pPr>
      <w:r>
        <w:t>Only one chronological holdout window was used because of the assessment time limit; repeated rolling-origin validation could provide more confidence.</w:t>
      </w:r>
    </w:p>
    <w:p>
      <w:pPr>
        <w:pStyle w:val="ListBullet"/>
      </w:pPr>
      <w:r>
        <w:t>Rare extreme-rate loads remain challenging: Ridge underpredicted the highest actual-rate holdout decile on average.</w:t>
      </w:r>
    </w:p>
    <w:p>
      <w:pPr>
        <w:pStyle w:val="ListBullet"/>
      </w:pPr>
      <w:r>
        <w:t>The final validation period has a lower market_index distribution than development data, creating temporal distribution shift.</w:t>
      </w:r>
    </w:p>
    <w:p>
      <w:pPr>
        <w:pStyle w:val="ListBullet"/>
      </w:pPr>
      <w:r>
        <w:t>December inputs omit market_index and quote_signal; the saved pipeline uses development-fitted imputation for those unavailable fields.</w:t>
      </w:r>
    </w:p>
    <w:p>
      <w:pPr>
        <w:pStyle w:val="ListBullet"/>
      </w:pPr>
      <w:r>
        <w:t>The business provenance of market_index and quote_signal should be confirmed to ensure they are available at quote time.</w:t>
      </w:r>
    </w:p>
    <w:p>
      <w:pPr>
        <w:pStyle w:val="Heading1"/>
      </w:pPr>
      <w:r>
        <w:t>17. Reproducibility / How to Run</w:t>
      </w:r>
    </w:p>
    <w:p>
      <w:r>
        <w:t>From the repository root:</w:t>
      </w:r>
    </w:p>
    <w:p>
      <w:pPr>
        <w:pStyle w:val="IntenseQuote"/>
      </w:pPr>
      <w:r>
        <w:t>python -m pip install -r requirements.txt</w:t>
        <w:br/>
        <w:t>python scripts/train_final_model.py</w:t>
        <w:br/>
        <w:t>python scripts/predict_validation.py</w:t>
        <w:br/>
        <w:t>python scripts/predict_december.py</w:t>
        <w:br/>
        <w:t>python score.py --predictions validation_predictions.csv --december-predictions data/december-chart-inputs.csv</w:t>
      </w:r>
    </w:p>
    <w:p>
      <w:r>
        <w:t>To regenerate this report: python scripts/generate_assessment_report.py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64A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