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Krishnaprasad.nocode.06</w:t>
      </w:r>
    </w:p>
    <w:p>
      <w:pPr>
        <w:jc w:val="center"/>
      </w:pPr>
      <w:r>
        <w:rPr>
          <w:b/>
          <w:sz w:val="30"/>
        </w:rPr>
        <w:t>Exploration of Cloud Service Models (IaaS, PaaS, SaaS) Using a Free-Tier Cloud Platform</w:t>
      </w:r>
    </w:p>
    <w:p>
      <w:pPr>
        <w:spacing w:before="140" w:after="60"/>
      </w:pPr>
      <w:r>
        <w:rPr>
          <w:b/>
          <w:sz w:val="24"/>
        </w:rPr>
        <w:t>Aim</w:t>
      </w:r>
    </w:p>
    <w:p>
      <w:r>
        <w:t>To explore Infrastructure as a Service (IaaS), Platform as a Service (PaaS), and Software as a Service (SaaS) using a cloud provider’s free-tier or trial offerings, and compare their features, responsibilities, use cases, and limitations.</w:t>
      </w:r>
    </w:p>
    <w:p>
      <w:pPr>
        <w:spacing w:before="140" w:after="60"/>
      </w:pPr>
      <w:r>
        <w:rPr>
          <w:b/>
          <w:sz w:val="24"/>
        </w:rPr>
        <w:t>Objectives</w:t>
      </w:r>
    </w:p>
    <w:p>
      <w:pPr>
        <w:pStyle w:val="ListBullet"/>
      </w:pPr>
      <w:r>
        <w:t>Understand the basic concept of cloud computing.</w:t>
      </w:r>
    </w:p>
    <w:p>
      <w:pPr>
        <w:pStyle w:val="ListBullet"/>
      </w:pPr>
      <w:r>
        <w:t>Differentiate IaaS, PaaS, and SaaS by service scope and user responsibility.</w:t>
      </w:r>
    </w:p>
    <w:p>
      <w:pPr>
        <w:pStyle w:val="ListBullet"/>
      </w:pPr>
      <w:r>
        <w:t>Identify suitable examples and practical use cases for each model.</w:t>
      </w:r>
    </w:p>
    <w:p>
      <w:pPr>
        <w:pStyle w:val="ListBullet"/>
      </w:pPr>
      <w:r>
        <w:t>Plan a safe, low-cost hands-on exploration using free-tier resources.</w:t>
      </w:r>
    </w:p>
    <w:p>
      <w:pPr>
        <w:pStyle w:val="ListBullet"/>
      </w:pPr>
      <w:r>
        <w:t>Compare benefits, risks, and selection criteria for a sample application.</w:t>
      </w:r>
    </w:p>
    <w:p>
      <w:pPr>
        <w:spacing w:before="140" w:after="60"/>
      </w:pPr>
      <w:r>
        <w:rPr>
          <w:b/>
          <w:sz w:val="24"/>
        </w:rPr>
        <w:t>Selected Case Study</w:t>
      </w:r>
    </w:p>
    <w:p>
      <w:r>
        <w:t>Cloud-based Student Assignment Portal (demonstration application)</w:t>
      </w:r>
    </w:p>
    <w:p>
      <w:pPr>
        <w:spacing w:before="140" w:after="60"/>
      </w:pPr>
      <w:r>
        <w:rPr>
          <w:b/>
          <w:sz w:val="24"/>
        </w:rPr>
        <w:t>Overview</w:t>
      </w:r>
    </w:p>
    <w:p>
      <w:r>
        <w:t>A student assignment portal allows learners to view course work, submit files, and check submission status. Instructors publish assignments and review submissions. For a controlled demonstration, the portal can be represented using a managed application platform, a small virtual server, or an already-hosted productivity service. No real student records or sensitive information should be used.</w:t>
      </w:r>
    </w:p>
    <w:p>
      <w:pPr>
        <w:spacing w:before="140" w:after="60"/>
      </w:pPr>
      <w:r>
        <w:rPr>
          <w:b/>
          <w:sz w:val="24"/>
        </w:rPr>
        <w:t>Core Functional Requirements</w:t>
      </w:r>
    </w:p>
    <w:p>
      <w:pPr>
        <w:pStyle w:val="ListBullet"/>
      </w:pPr>
      <w:r>
        <w:t>Student sign-in and role-based access</w:t>
      </w:r>
    </w:p>
    <w:p>
      <w:pPr>
        <w:pStyle w:val="ListBullet"/>
      </w:pPr>
      <w:r>
        <w:t>View course and assignment details</w:t>
      </w:r>
    </w:p>
    <w:p>
      <w:pPr>
        <w:pStyle w:val="ListBullet"/>
      </w:pPr>
      <w:r>
        <w:t>Submit a file and receive a confirmation</w:t>
      </w:r>
    </w:p>
    <w:p>
      <w:pPr>
        <w:pStyle w:val="ListBullet"/>
      </w:pPr>
      <w:r>
        <w:t>Instructor creates assignments and reviews submissions</w:t>
      </w:r>
    </w:p>
    <w:p>
      <w:pPr>
        <w:pStyle w:val="ListBullet"/>
      </w:pPr>
      <w:r>
        <w:t>Store records and files securely</w:t>
      </w:r>
    </w:p>
    <w:p>
      <w:pPr>
        <w:pStyle w:val="ListBullet"/>
      </w:pPr>
      <w:r>
        <w:t>Display status and basic activity reports</w:t>
      </w:r>
    </w:p>
    <w:p>
      <w:pPr>
        <w:spacing w:before="140" w:after="60"/>
      </w:pPr>
      <w:r>
        <w:rPr>
          <w:b/>
          <w:sz w:val="24"/>
        </w:rPr>
        <w:t>Cloud Computing and Service Models</w:t>
      </w:r>
    </w:p>
    <w:p>
      <w:r>
        <w:t>Cloud computing provides on-demand access to computing resources over a network. Resources can be provisioned rapidly, scaled as needed, and billed according to the provider’s terms. The service model determines how much of the technology stack the provider operates and how much the customer configures.</w:t>
      </w:r>
    </w:p>
    <w:p>
      <w:pPr>
        <w:spacing w:before="140" w:after="60"/>
      </w:pPr>
      <w:r>
        <w:rPr>
          <w:b/>
          <w:sz w:val="24"/>
        </w:rPr>
        <w:t>IaaS (Infrastructure as a Service)</w:t>
      </w:r>
    </w:p>
    <w:p>
      <w:r>
        <w:t>The provider supplies virtual machines, networking, and storage. The customer manages the operating system, runtime, application, data, and many security settings. Example: a small virtual machine hosting a web server and application database. For the portal, IaaS offers flexibility but requires operating-system patching, server configuration, backups, and monitoring.</w:t>
      </w:r>
    </w:p>
    <w:p>
      <w:pPr>
        <w:spacing w:before="140" w:after="60"/>
      </w:pPr>
      <w:r>
        <w:rPr>
          <w:b/>
          <w:sz w:val="24"/>
        </w:rPr>
        <w:t>PaaS (Platform as a Service)</w:t>
      </w:r>
    </w:p>
    <w:p>
      <w:r>
        <w:t>The provider manages infrastructure and much of the operating system/runtime layer. The customer deploys application code and manages application configuration and data. Example: a managed web-app platform or application runtime. For the portal, PaaS can shorten deployment time and reduce server administration, while imposing platform limits and some vendor dependency.</w:t>
      </w:r>
    </w:p>
    <w:p>
      <w:pPr>
        <w:spacing w:before="140" w:after="60"/>
      </w:pPr>
      <w:r>
        <w:rPr>
          <w:b/>
          <w:sz w:val="24"/>
        </w:rPr>
        <w:t>SaaS (Software as a Service)</w:t>
      </w:r>
    </w:p>
    <w:p>
      <w:r>
        <w:t>The provider delivers a complete application accessed through a browser or client. The customer mainly configures users, permissions, and business data. Example: a hosted learning-management or form-and-workflow application. SaaS is quickest to adopt, but offers less control over underlying software and customisation.</w:t>
      </w:r>
    </w:p>
    <w:p>
      <w:pPr>
        <w:spacing w:before="140" w:after="60"/>
      </w:pPr>
      <w:r>
        <w:rPr>
          <w:b/>
          <w:sz w:val="24"/>
        </w:rPr>
        <w:t>Service Model Responsibility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rFonts w:ascii="Times New Roman" w:hAnsi="Times New Roman"/>
                <w:b/>
                <w:sz w:val="18"/>
              </w:rPr>
              <w:t>Model</w:t>
            </w:r>
          </w:p>
        </w:tc>
        <w:tc>
          <w:tcPr>
            <w:tcW w:type="dxa" w:w="2520"/>
            <w:vAlign w:val="center"/>
          </w:tcPr>
          <w:p>
            <w:pPr>
              <w:spacing w:after="20"/>
            </w:pPr>
            <w:r>
              <w:rPr>
                <w:rFonts w:ascii="Times New Roman" w:hAnsi="Times New Roman"/>
                <w:b/>
                <w:sz w:val="18"/>
              </w:rPr>
              <w:t>Provider typically manages</w:t>
            </w:r>
          </w:p>
        </w:tc>
        <w:tc>
          <w:tcPr>
            <w:tcW w:type="dxa" w:w="2520"/>
            <w:vAlign w:val="center"/>
          </w:tcPr>
          <w:p>
            <w:pPr>
              <w:spacing w:after="20"/>
            </w:pPr>
            <w:r>
              <w:rPr>
                <w:rFonts w:ascii="Times New Roman" w:hAnsi="Times New Roman"/>
                <w:b/>
                <w:sz w:val="18"/>
              </w:rPr>
              <w:t>Customer typically manages</w:t>
            </w:r>
          </w:p>
        </w:tc>
        <w:tc>
          <w:tcPr>
            <w:tcW w:type="dxa" w:w="2520"/>
            <w:vAlign w:val="center"/>
          </w:tcPr>
          <w:p>
            <w:pPr>
              <w:spacing w:after="20"/>
            </w:pPr>
            <w:r>
              <w:rPr>
                <w:rFonts w:ascii="Times New Roman" w:hAnsi="Times New Roman"/>
                <w:b/>
                <w:sz w:val="18"/>
              </w:rPr>
              <w:t>Portal example</w:t>
            </w:r>
          </w:p>
        </w:tc>
      </w:tr>
      <w:tr>
        <w:tc>
          <w:tcPr>
            <w:tcW w:type="dxa" w:w="2520"/>
            <w:vAlign w:val="center"/>
          </w:tcPr>
          <w:p>
            <w:pPr>
              <w:spacing w:after="20"/>
            </w:pPr>
            <w:r>
              <w:rPr>
                <w:rFonts w:ascii="Times New Roman" w:hAnsi="Times New Roman"/>
                <w:sz w:val="18"/>
              </w:rPr>
              <w:t>IaaS</w:t>
            </w:r>
          </w:p>
        </w:tc>
        <w:tc>
          <w:tcPr>
            <w:tcW w:type="dxa" w:w="2520"/>
            <w:vAlign w:val="center"/>
          </w:tcPr>
          <w:p>
            <w:pPr>
              <w:spacing w:after="20"/>
            </w:pPr>
            <w:r>
              <w:rPr>
                <w:rFonts w:ascii="Times New Roman" w:hAnsi="Times New Roman"/>
                <w:sz w:val="18"/>
              </w:rPr>
              <w:t>Physical data centre, hardware, virtualisation</w:t>
            </w:r>
          </w:p>
        </w:tc>
        <w:tc>
          <w:tcPr>
            <w:tcW w:type="dxa" w:w="2520"/>
            <w:vAlign w:val="center"/>
          </w:tcPr>
          <w:p>
            <w:pPr>
              <w:spacing w:after="20"/>
            </w:pPr>
            <w:r>
              <w:rPr>
                <w:rFonts w:ascii="Times New Roman" w:hAnsi="Times New Roman"/>
                <w:sz w:val="18"/>
              </w:rPr>
              <w:t>OS, runtime, application, data, access configuration</w:t>
            </w:r>
          </w:p>
        </w:tc>
        <w:tc>
          <w:tcPr>
            <w:tcW w:type="dxa" w:w="2520"/>
            <w:vAlign w:val="center"/>
          </w:tcPr>
          <w:p>
            <w:pPr>
              <w:spacing w:after="20"/>
            </w:pPr>
            <w:r>
              <w:rPr>
                <w:rFonts w:ascii="Times New Roman" w:hAnsi="Times New Roman"/>
                <w:sz w:val="18"/>
              </w:rPr>
              <w:t>Deploy portal on a virtual machine</w:t>
            </w:r>
          </w:p>
        </w:tc>
      </w:tr>
      <w:tr>
        <w:tc>
          <w:tcPr>
            <w:tcW w:type="dxa" w:w="2520"/>
            <w:vAlign w:val="center"/>
          </w:tcPr>
          <w:p>
            <w:pPr>
              <w:spacing w:after="20"/>
            </w:pPr>
            <w:r>
              <w:rPr>
                <w:rFonts w:ascii="Times New Roman" w:hAnsi="Times New Roman"/>
                <w:sz w:val="18"/>
              </w:rPr>
              <w:t>PaaS</w:t>
            </w:r>
          </w:p>
        </w:tc>
        <w:tc>
          <w:tcPr>
            <w:tcW w:type="dxa" w:w="2520"/>
            <w:vAlign w:val="center"/>
          </w:tcPr>
          <w:p>
            <w:pPr>
              <w:spacing w:after="20"/>
            </w:pPr>
            <w:r>
              <w:rPr>
                <w:rFonts w:ascii="Times New Roman" w:hAnsi="Times New Roman"/>
                <w:sz w:val="18"/>
              </w:rPr>
              <w:t>Infrastructure, OS/platform, runtime services</w:t>
            </w:r>
          </w:p>
        </w:tc>
        <w:tc>
          <w:tcPr>
            <w:tcW w:type="dxa" w:w="2520"/>
            <w:vAlign w:val="center"/>
          </w:tcPr>
          <w:p>
            <w:pPr>
              <w:spacing w:after="20"/>
            </w:pPr>
            <w:r>
              <w:rPr>
                <w:rFonts w:ascii="Times New Roman" w:hAnsi="Times New Roman"/>
                <w:sz w:val="18"/>
              </w:rPr>
              <w:t>Application code, data, app settings, user access</w:t>
            </w:r>
          </w:p>
        </w:tc>
        <w:tc>
          <w:tcPr>
            <w:tcW w:type="dxa" w:w="2520"/>
            <w:vAlign w:val="center"/>
          </w:tcPr>
          <w:p>
            <w:pPr>
              <w:spacing w:after="20"/>
            </w:pPr>
            <w:r>
              <w:rPr>
                <w:rFonts w:ascii="Times New Roman" w:hAnsi="Times New Roman"/>
                <w:sz w:val="18"/>
              </w:rPr>
              <w:t>Deploy portal to managed app hosting</w:t>
            </w:r>
          </w:p>
        </w:tc>
      </w:tr>
      <w:tr>
        <w:tc>
          <w:tcPr>
            <w:tcW w:type="dxa" w:w="2520"/>
            <w:vAlign w:val="center"/>
          </w:tcPr>
          <w:p>
            <w:pPr>
              <w:spacing w:after="20"/>
            </w:pPr>
            <w:r>
              <w:rPr>
                <w:rFonts w:ascii="Times New Roman" w:hAnsi="Times New Roman"/>
                <w:sz w:val="18"/>
              </w:rPr>
              <w:t>SaaS</w:t>
            </w:r>
          </w:p>
        </w:tc>
        <w:tc>
          <w:tcPr>
            <w:tcW w:type="dxa" w:w="2520"/>
            <w:vAlign w:val="center"/>
          </w:tcPr>
          <w:p>
            <w:pPr>
              <w:spacing w:after="20"/>
            </w:pPr>
            <w:r>
              <w:rPr>
                <w:rFonts w:ascii="Times New Roman" w:hAnsi="Times New Roman"/>
                <w:sz w:val="18"/>
              </w:rPr>
              <w:t>Application and underlying technology stack</w:t>
            </w:r>
          </w:p>
        </w:tc>
        <w:tc>
          <w:tcPr>
            <w:tcW w:type="dxa" w:w="2520"/>
            <w:vAlign w:val="center"/>
          </w:tcPr>
          <w:p>
            <w:pPr>
              <w:spacing w:after="20"/>
            </w:pPr>
            <w:r>
              <w:rPr>
                <w:rFonts w:ascii="Times New Roman" w:hAnsi="Times New Roman"/>
                <w:sz w:val="18"/>
              </w:rPr>
              <w:t>Users, configuration, content, data governance</w:t>
            </w:r>
          </w:p>
        </w:tc>
        <w:tc>
          <w:tcPr>
            <w:tcW w:type="dxa" w:w="2520"/>
            <w:vAlign w:val="center"/>
          </w:tcPr>
          <w:p>
            <w:pPr>
              <w:spacing w:after="20"/>
            </w:pPr>
            <w:r>
              <w:rPr>
                <w:rFonts w:ascii="Times New Roman" w:hAnsi="Times New Roman"/>
                <w:sz w:val="18"/>
              </w:rPr>
              <w:t>Use a hosted assignment/LMS product</w:t>
            </w:r>
          </w:p>
        </w:tc>
      </w:tr>
    </w:tbl>
    <w:p>
      <w:pPr>
        <w:spacing w:before="140" w:after="60"/>
      </w:pPr>
      <w:r>
        <w:rPr>
          <w:b/>
          <w:sz w:val="24"/>
        </w:rPr>
        <w:t>Free-Tier Exploration Plan</w:t>
      </w:r>
    </w:p>
    <w:p>
      <w:pPr>
        <w:pStyle w:val="ListBullet"/>
      </w:pPr>
      <w:r>
        <w:t>Create or use an account only with permission and enable multi-factor authentication.</w:t>
      </w:r>
    </w:p>
    <w:p>
      <w:pPr>
        <w:pStyle w:val="ListBullet"/>
      </w:pPr>
      <w:r>
        <w:t>Review current free-tier eligibility, quotas, regional availability, trial duration, and billing rules before provisioning. Offers change; do not assume a resource is permanently free.</w:t>
      </w:r>
    </w:p>
    <w:p>
      <w:pPr>
        <w:pStyle w:val="ListBullet"/>
      </w:pPr>
      <w:r>
        <w:t>Explore one representative service for each model: a virtual compute instance (IaaS), a managed app/runtime service (PaaS), and a hosted application (SaaS). Use provider documentation and avoid creating resources that are not needed.</w:t>
      </w:r>
    </w:p>
    <w:p>
      <w:pPr>
        <w:pStyle w:val="ListBullet"/>
      </w:pPr>
      <w:r>
        <w:t>For a practical demonstration, deploy a simple static or sample portal to the managed platform; inspect the virtual machine configuration without exposing it publicly; and configure a hosted SaaS workspace with sample data.</w:t>
      </w:r>
    </w:p>
    <w:p>
      <w:pPr>
        <w:pStyle w:val="ListBullet"/>
      </w:pPr>
      <w:r>
        <w:t>Set budget alerts where available. Record resource names and delete or stop billable resources after the exercise. Verify that storage, public IPs, snapshots, logs, and data transfer are also removed or accounted for.</w:t>
      </w:r>
    </w:p>
    <w:p>
      <w:pPr>
        <w:spacing w:before="140" w:after="60"/>
      </w:pPr>
      <w:r>
        <w:rPr>
          <w:b/>
          <w:sz w:val="24"/>
        </w:rPr>
        <w:t>Comparison of Operational Responsibilities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20"/>
            </w:pPr>
            <w:r>
              <w:rPr>
                <w:rFonts w:ascii="Times New Roman" w:hAnsi="Times New Roman"/>
                <w:b/>
                <w:sz w:val="18"/>
              </w:rPr>
              <w:t>Area</w:t>
            </w:r>
          </w:p>
        </w:tc>
        <w:tc>
          <w:tcPr>
            <w:tcW w:type="dxa" w:w="2520"/>
            <w:vAlign w:val="center"/>
          </w:tcPr>
          <w:p>
            <w:pPr>
              <w:spacing w:after="20"/>
            </w:pPr>
            <w:r>
              <w:rPr>
                <w:rFonts w:ascii="Times New Roman" w:hAnsi="Times New Roman"/>
                <w:b/>
                <w:sz w:val="18"/>
              </w:rPr>
              <w:t>IaaS</w:t>
            </w:r>
          </w:p>
        </w:tc>
        <w:tc>
          <w:tcPr>
            <w:tcW w:type="dxa" w:w="2520"/>
            <w:vAlign w:val="center"/>
          </w:tcPr>
          <w:p>
            <w:pPr>
              <w:spacing w:after="20"/>
            </w:pPr>
            <w:r>
              <w:rPr>
                <w:rFonts w:ascii="Times New Roman" w:hAnsi="Times New Roman"/>
                <w:b/>
                <w:sz w:val="18"/>
              </w:rPr>
              <w:t>PaaS</w:t>
            </w:r>
          </w:p>
        </w:tc>
        <w:tc>
          <w:tcPr>
            <w:tcW w:type="dxa" w:w="2520"/>
            <w:vAlign w:val="center"/>
          </w:tcPr>
          <w:p>
            <w:pPr>
              <w:spacing w:after="20"/>
            </w:pPr>
            <w:r>
              <w:rPr>
                <w:rFonts w:ascii="Times New Roman" w:hAnsi="Times New Roman"/>
                <w:b/>
                <w:sz w:val="18"/>
              </w:rPr>
              <w:t>SaaS</w:t>
            </w:r>
          </w:p>
        </w:tc>
      </w:tr>
      <w:tr>
        <w:tc>
          <w:tcPr>
            <w:tcW w:type="dxa" w:w="2520"/>
            <w:vAlign w:val="center"/>
          </w:tcPr>
          <w:p>
            <w:pPr>
              <w:spacing w:after="20"/>
            </w:pPr>
            <w:r>
              <w:rPr>
                <w:rFonts w:ascii="Times New Roman" w:hAnsi="Times New Roman"/>
                <w:sz w:val="18"/>
              </w:rPr>
              <w:t>Application code</w:t>
            </w:r>
          </w:p>
        </w:tc>
        <w:tc>
          <w:tcPr>
            <w:tcW w:type="dxa" w:w="2520"/>
            <w:vAlign w:val="center"/>
          </w:tcPr>
          <w:p>
            <w:pPr>
              <w:spacing w:after="20"/>
            </w:pPr>
            <w:r>
              <w:rPr>
                <w:rFonts w:ascii="Times New Roman" w:hAnsi="Times New Roman"/>
                <w:sz w:val="18"/>
              </w:rPr>
              <w:t>Customer</w:t>
            </w:r>
          </w:p>
        </w:tc>
        <w:tc>
          <w:tcPr>
            <w:tcW w:type="dxa" w:w="2520"/>
            <w:vAlign w:val="center"/>
          </w:tcPr>
          <w:p>
            <w:pPr>
              <w:spacing w:after="20"/>
            </w:pPr>
            <w:r>
              <w:rPr>
                <w:rFonts w:ascii="Times New Roman" w:hAnsi="Times New Roman"/>
                <w:sz w:val="18"/>
              </w:rPr>
              <w:t>Customer</w:t>
            </w:r>
          </w:p>
        </w:tc>
        <w:tc>
          <w:tcPr>
            <w:tcW w:type="dxa" w:w="2520"/>
            <w:vAlign w:val="center"/>
          </w:tcPr>
          <w:p>
            <w:pPr>
              <w:spacing w:after="20"/>
            </w:pPr>
            <w:r>
              <w:rPr>
                <w:rFonts w:ascii="Times New Roman" w:hAnsi="Times New Roman"/>
                <w:sz w:val="18"/>
              </w:rPr>
              <w:t>Provider</w:t>
            </w:r>
          </w:p>
        </w:tc>
      </w:tr>
      <w:tr>
        <w:tc>
          <w:tcPr>
            <w:tcW w:type="dxa" w:w="2520"/>
            <w:vAlign w:val="center"/>
          </w:tcPr>
          <w:p>
            <w:pPr>
              <w:spacing w:after="20"/>
            </w:pPr>
            <w:r>
              <w:rPr>
                <w:rFonts w:ascii="Times New Roman" w:hAnsi="Times New Roman"/>
                <w:sz w:val="18"/>
              </w:rPr>
              <w:t>Operating system/runtime</w:t>
            </w:r>
          </w:p>
        </w:tc>
        <w:tc>
          <w:tcPr>
            <w:tcW w:type="dxa" w:w="2520"/>
            <w:vAlign w:val="center"/>
          </w:tcPr>
          <w:p>
            <w:pPr>
              <w:spacing w:after="20"/>
            </w:pPr>
            <w:r>
              <w:rPr>
                <w:rFonts w:ascii="Times New Roman" w:hAnsi="Times New Roman"/>
                <w:sz w:val="18"/>
              </w:rPr>
              <w:t>Customer</w:t>
            </w:r>
          </w:p>
        </w:tc>
        <w:tc>
          <w:tcPr>
            <w:tcW w:type="dxa" w:w="2520"/>
            <w:vAlign w:val="center"/>
          </w:tcPr>
          <w:p>
            <w:pPr>
              <w:spacing w:after="20"/>
            </w:pPr>
            <w:r>
              <w:rPr>
                <w:rFonts w:ascii="Times New Roman" w:hAnsi="Times New Roman"/>
                <w:sz w:val="18"/>
              </w:rPr>
              <w:t>Provider (platform-managed)</w:t>
            </w:r>
          </w:p>
        </w:tc>
        <w:tc>
          <w:tcPr>
            <w:tcW w:type="dxa" w:w="2520"/>
            <w:vAlign w:val="center"/>
          </w:tcPr>
          <w:p>
            <w:pPr>
              <w:spacing w:after="20"/>
            </w:pPr>
            <w:r>
              <w:rPr>
                <w:rFonts w:ascii="Times New Roman" w:hAnsi="Times New Roman"/>
                <w:sz w:val="18"/>
              </w:rPr>
              <w:t>Provider</w:t>
            </w:r>
          </w:p>
        </w:tc>
      </w:tr>
      <w:tr>
        <w:tc>
          <w:tcPr>
            <w:tcW w:type="dxa" w:w="2520"/>
            <w:vAlign w:val="center"/>
          </w:tcPr>
          <w:p>
            <w:pPr>
              <w:spacing w:after="20"/>
            </w:pPr>
            <w:r>
              <w:rPr>
                <w:rFonts w:ascii="Times New Roman" w:hAnsi="Times New Roman"/>
                <w:sz w:val="18"/>
              </w:rPr>
              <w:t>Scaling</w:t>
            </w:r>
          </w:p>
        </w:tc>
        <w:tc>
          <w:tcPr>
            <w:tcW w:type="dxa" w:w="2520"/>
            <w:vAlign w:val="center"/>
          </w:tcPr>
          <w:p>
            <w:pPr>
              <w:spacing w:after="20"/>
            </w:pPr>
            <w:r>
              <w:rPr>
                <w:rFonts w:ascii="Times New Roman" w:hAnsi="Times New Roman"/>
                <w:sz w:val="18"/>
              </w:rPr>
              <w:t>Customer configures</w:t>
            </w:r>
          </w:p>
        </w:tc>
        <w:tc>
          <w:tcPr>
            <w:tcW w:type="dxa" w:w="2520"/>
            <w:vAlign w:val="center"/>
          </w:tcPr>
          <w:p>
            <w:pPr>
              <w:spacing w:after="20"/>
            </w:pPr>
            <w:r>
              <w:rPr>
                <w:rFonts w:ascii="Times New Roman" w:hAnsi="Times New Roman"/>
                <w:sz w:val="18"/>
              </w:rPr>
              <w:t>Often platform-assisted/configured</w:t>
            </w:r>
          </w:p>
        </w:tc>
        <w:tc>
          <w:tcPr>
            <w:tcW w:type="dxa" w:w="2520"/>
            <w:vAlign w:val="center"/>
          </w:tcPr>
          <w:p>
            <w:pPr>
              <w:spacing w:after="20"/>
            </w:pPr>
            <w:r>
              <w:rPr>
                <w:rFonts w:ascii="Times New Roman" w:hAnsi="Times New Roman"/>
                <w:sz w:val="18"/>
              </w:rPr>
              <w:t>Provider-managed within plan</w:t>
            </w:r>
          </w:p>
        </w:tc>
      </w:tr>
      <w:tr>
        <w:tc>
          <w:tcPr>
            <w:tcW w:type="dxa" w:w="2520"/>
            <w:vAlign w:val="center"/>
          </w:tcPr>
          <w:p>
            <w:pPr>
              <w:spacing w:after="20"/>
            </w:pPr>
            <w:r>
              <w:rPr>
                <w:rFonts w:ascii="Times New Roman" w:hAnsi="Times New Roman"/>
                <w:sz w:val="18"/>
              </w:rPr>
              <w:t>Security configuration</w:t>
            </w:r>
          </w:p>
        </w:tc>
        <w:tc>
          <w:tcPr>
            <w:tcW w:type="dxa" w:w="2520"/>
            <w:vAlign w:val="center"/>
          </w:tcPr>
          <w:p>
            <w:pPr>
              <w:spacing w:after="20"/>
            </w:pPr>
            <w:r>
              <w:rPr>
                <w:rFonts w:ascii="Times New Roman" w:hAnsi="Times New Roman"/>
                <w:sz w:val="18"/>
              </w:rPr>
              <w:t>Shared; customer controls many layers</w:t>
            </w:r>
          </w:p>
        </w:tc>
        <w:tc>
          <w:tcPr>
            <w:tcW w:type="dxa" w:w="2520"/>
            <w:vAlign w:val="center"/>
          </w:tcPr>
          <w:p>
            <w:pPr>
              <w:spacing w:after="20"/>
            </w:pPr>
            <w:r>
              <w:rPr>
                <w:rFonts w:ascii="Times New Roman" w:hAnsi="Times New Roman"/>
                <w:sz w:val="18"/>
              </w:rPr>
              <w:t>Shared; app/data controls remain with customer</w:t>
            </w:r>
          </w:p>
        </w:tc>
        <w:tc>
          <w:tcPr>
            <w:tcW w:type="dxa" w:w="2520"/>
            <w:vAlign w:val="center"/>
          </w:tcPr>
          <w:p>
            <w:pPr>
              <w:spacing w:after="20"/>
            </w:pPr>
            <w:r>
              <w:rPr>
                <w:rFonts w:ascii="Times New Roman" w:hAnsi="Times New Roman"/>
                <w:sz w:val="18"/>
              </w:rPr>
              <w:t>Customer manages users/data settings; provider secures service</w:t>
            </w:r>
          </w:p>
        </w:tc>
      </w:tr>
      <w:tr>
        <w:tc>
          <w:tcPr>
            <w:tcW w:type="dxa" w:w="2520"/>
            <w:vAlign w:val="center"/>
          </w:tcPr>
          <w:p>
            <w:pPr>
              <w:spacing w:after="20"/>
            </w:pPr>
            <w:r>
              <w:rPr>
                <w:rFonts w:ascii="Times New Roman" w:hAnsi="Times New Roman"/>
                <w:sz w:val="18"/>
              </w:rPr>
              <w:t>Maintenance burden</w:t>
            </w:r>
          </w:p>
        </w:tc>
        <w:tc>
          <w:tcPr>
            <w:tcW w:type="dxa" w:w="2520"/>
            <w:vAlign w:val="center"/>
          </w:tcPr>
          <w:p>
            <w:pPr>
              <w:spacing w:after="20"/>
            </w:pPr>
            <w:r>
              <w:rPr>
                <w:rFonts w:ascii="Times New Roman" w:hAnsi="Times New Roman"/>
                <w:sz w:val="18"/>
              </w:rPr>
              <w:t>Highest</w:t>
            </w:r>
          </w:p>
        </w:tc>
        <w:tc>
          <w:tcPr>
            <w:tcW w:type="dxa" w:w="2520"/>
            <w:vAlign w:val="center"/>
          </w:tcPr>
          <w:p>
            <w:pPr>
              <w:spacing w:after="20"/>
            </w:pPr>
            <w:r>
              <w:rPr>
                <w:rFonts w:ascii="Times New Roman" w:hAnsi="Times New Roman"/>
                <w:sz w:val="18"/>
              </w:rPr>
              <w:t>Moderate</w:t>
            </w:r>
          </w:p>
        </w:tc>
        <w:tc>
          <w:tcPr>
            <w:tcW w:type="dxa" w:w="2520"/>
            <w:vAlign w:val="center"/>
          </w:tcPr>
          <w:p>
            <w:pPr>
              <w:spacing w:after="20"/>
            </w:pPr>
            <w:r>
              <w:rPr>
                <w:rFonts w:ascii="Times New Roman" w:hAnsi="Times New Roman"/>
                <w:sz w:val="18"/>
              </w:rPr>
              <w:t>Lowest</w:t>
            </w:r>
          </w:p>
        </w:tc>
      </w:tr>
    </w:tbl>
    <w:p>
      <w:pPr>
        <w:spacing w:before="140" w:after="60"/>
      </w:pPr>
      <w:r>
        <w:rPr>
          <w:b/>
          <w:sz w:val="24"/>
        </w:rPr>
        <w:t>Security and Cost Considerations</w:t>
      </w:r>
    </w:p>
    <w:p>
      <w:pPr>
        <w:pStyle w:val="ListBullet"/>
      </w:pPr>
      <w:r>
        <w:t>Use fictional student names and sample files; never upload personal, academic, or confidential data to a demo account.</w:t>
      </w:r>
    </w:p>
    <w:p>
      <w:pPr>
        <w:pStyle w:val="ListBullet"/>
      </w:pPr>
      <w:r>
        <w:t>Apply least-privilege access and avoid sharing administrator credentials.</w:t>
      </w:r>
    </w:p>
    <w:p>
      <w:pPr>
        <w:pStyle w:val="ListBullet"/>
      </w:pPr>
      <w:r>
        <w:t>Use HTTPS and strong authentication for any deployed demonstration; do not expose databases or management ports publicly.</w:t>
      </w:r>
    </w:p>
    <w:p>
      <w:pPr>
        <w:pStyle w:val="ListBullet"/>
      </w:pPr>
      <w:r>
        <w:t>Free-tier limits can be exceeded. Track usage and check pricing for compute hours, storage, database services, bandwidth, and add-ons.</w:t>
      </w:r>
    </w:p>
    <w:p>
      <w:pPr>
        <w:pStyle w:val="ListBullet"/>
      </w:pPr>
      <w:r>
        <w:t>Back up required demonstration artefacts, then delete resources and verify the account’s billing/usage dashboard.</w:t>
      </w:r>
    </w:p>
    <w:p>
      <w:pPr>
        <w:spacing w:before="140" w:after="60"/>
      </w:pPr>
      <w:r>
        <w:rPr>
          <w:b/>
          <w:sz w:val="24"/>
        </w:rPr>
        <w:t>Example Evaluation Checklist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pPr>
              <w:spacing w:after="20"/>
            </w:pPr>
            <w:r>
              <w:rPr>
                <w:rFonts w:ascii="Times New Roman" w:hAnsi="Times New Roman"/>
                <w:b/>
                <w:sz w:val="18"/>
              </w:rPr>
              <w:t>Test / Check</w:t>
            </w:r>
          </w:p>
        </w:tc>
        <w:tc>
          <w:tcPr>
            <w:tcW w:type="dxa" w:w="5040"/>
            <w:vAlign w:val="center"/>
          </w:tcPr>
          <w:p>
            <w:pPr>
              <w:spacing w:after="20"/>
            </w:pPr>
            <w:r>
              <w:rPr>
                <w:rFonts w:ascii="Times New Roman" w:hAnsi="Times New Roman"/>
                <w:b/>
                <w:sz w:val="18"/>
              </w:rPr>
              <w:t>Expected result</w:t>
            </w:r>
          </w:p>
        </w:tc>
      </w:tr>
      <w:tr>
        <w:tc>
          <w:tcPr>
            <w:tcW w:type="dxa" w:w="5040"/>
            <w:vAlign w:val="center"/>
          </w:tcPr>
          <w:p>
            <w:pPr>
              <w:spacing w:after="20"/>
            </w:pPr>
            <w:r>
              <w:rPr>
                <w:rFonts w:ascii="Times New Roman" w:hAnsi="Times New Roman"/>
                <w:sz w:val="18"/>
              </w:rPr>
              <w:t>Access control</w:t>
            </w:r>
          </w:p>
        </w:tc>
        <w:tc>
          <w:tcPr>
            <w:tcW w:type="dxa" w:w="5040"/>
            <w:vAlign w:val="center"/>
          </w:tcPr>
          <w:p>
            <w:pPr>
              <w:spacing w:after="20"/>
            </w:pPr>
            <w:r>
              <w:rPr>
                <w:rFonts w:ascii="Times New Roman" w:hAnsi="Times New Roman"/>
                <w:sz w:val="18"/>
              </w:rPr>
              <w:t>Student and instructor accounts see only permitted functions</w:t>
            </w:r>
          </w:p>
        </w:tc>
      </w:tr>
      <w:tr>
        <w:tc>
          <w:tcPr>
            <w:tcW w:type="dxa" w:w="5040"/>
            <w:vAlign w:val="center"/>
          </w:tcPr>
          <w:p>
            <w:pPr>
              <w:spacing w:after="20"/>
            </w:pPr>
            <w:r>
              <w:rPr>
                <w:rFonts w:ascii="Times New Roman" w:hAnsi="Times New Roman"/>
                <w:sz w:val="18"/>
              </w:rPr>
              <w:t>Assignment display</w:t>
            </w:r>
          </w:p>
        </w:tc>
        <w:tc>
          <w:tcPr>
            <w:tcW w:type="dxa" w:w="5040"/>
            <w:vAlign w:val="center"/>
          </w:tcPr>
          <w:p>
            <w:pPr>
              <w:spacing w:after="20"/>
            </w:pPr>
            <w:r>
              <w:rPr>
                <w:rFonts w:ascii="Times New Roman" w:hAnsi="Times New Roman"/>
                <w:sz w:val="18"/>
              </w:rPr>
              <w:t>Published assignment appears with correct due date and instructions</w:t>
            </w:r>
          </w:p>
        </w:tc>
      </w:tr>
      <w:tr>
        <w:tc>
          <w:tcPr>
            <w:tcW w:type="dxa" w:w="5040"/>
            <w:vAlign w:val="center"/>
          </w:tcPr>
          <w:p>
            <w:pPr>
              <w:spacing w:after="20"/>
            </w:pPr>
            <w:r>
              <w:rPr>
                <w:rFonts w:ascii="Times New Roman" w:hAnsi="Times New Roman"/>
                <w:sz w:val="18"/>
              </w:rPr>
              <w:t>File submission</w:t>
            </w:r>
          </w:p>
        </w:tc>
        <w:tc>
          <w:tcPr>
            <w:tcW w:type="dxa" w:w="5040"/>
            <w:vAlign w:val="center"/>
          </w:tcPr>
          <w:p>
            <w:pPr>
              <w:spacing w:after="20"/>
            </w:pPr>
            <w:r>
              <w:rPr>
                <w:rFonts w:ascii="Times New Roman" w:hAnsi="Times New Roman"/>
                <w:sz w:val="18"/>
              </w:rPr>
              <w:t>Allowed sample file uploads and confirmation is shown</w:t>
            </w:r>
          </w:p>
        </w:tc>
      </w:tr>
      <w:tr>
        <w:tc>
          <w:tcPr>
            <w:tcW w:type="dxa" w:w="5040"/>
            <w:vAlign w:val="center"/>
          </w:tcPr>
          <w:p>
            <w:pPr>
              <w:spacing w:after="20"/>
            </w:pPr>
            <w:r>
              <w:rPr>
                <w:rFonts w:ascii="Times New Roman" w:hAnsi="Times New Roman"/>
                <w:sz w:val="18"/>
              </w:rPr>
              <w:t>Invalid file</w:t>
            </w:r>
          </w:p>
        </w:tc>
        <w:tc>
          <w:tcPr>
            <w:tcW w:type="dxa" w:w="5040"/>
            <w:vAlign w:val="center"/>
          </w:tcPr>
          <w:p>
            <w:pPr>
              <w:spacing w:after="20"/>
            </w:pPr>
            <w:r>
              <w:rPr>
                <w:rFonts w:ascii="Times New Roman" w:hAnsi="Times New Roman"/>
                <w:sz w:val="18"/>
              </w:rPr>
              <w:t>Unsupported type or oversized file is rejected with a clear message</w:t>
            </w:r>
          </w:p>
        </w:tc>
      </w:tr>
      <w:tr>
        <w:tc>
          <w:tcPr>
            <w:tcW w:type="dxa" w:w="5040"/>
            <w:vAlign w:val="center"/>
          </w:tcPr>
          <w:p>
            <w:pPr>
              <w:spacing w:after="20"/>
            </w:pPr>
            <w:r>
              <w:rPr>
                <w:rFonts w:ascii="Times New Roman" w:hAnsi="Times New Roman"/>
                <w:sz w:val="18"/>
              </w:rPr>
              <w:t>Availability check</w:t>
            </w:r>
          </w:p>
        </w:tc>
        <w:tc>
          <w:tcPr>
            <w:tcW w:type="dxa" w:w="5040"/>
            <w:vAlign w:val="center"/>
          </w:tcPr>
          <w:p>
            <w:pPr>
              <w:spacing w:after="20"/>
            </w:pPr>
            <w:r>
              <w:rPr>
                <w:rFonts w:ascii="Times New Roman" w:hAnsi="Times New Roman"/>
                <w:sz w:val="18"/>
              </w:rPr>
              <w:t>Portal loads from the intended test location</w:t>
            </w:r>
          </w:p>
        </w:tc>
      </w:tr>
      <w:tr>
        <w:tc>
          <w:tcPr>
            <w:tcW w:type="dxa" w:w="5040"/>
            <w:vAlign w:val="center"/>
          </w:tcPr>
          <w:p>
            <w:pPr>
              <w:spacing w:after="20"/>
            </w:pPr>
            <w:r>
              <w:rPr>
                <w:rFonts w:ascii="Times New Roman" w:hAnsi="Times New Roman"/>
                <w:sz w:val="18"/>
              </w:rPr>
              <w:t>Cleanup</w:t>
            </w:r>
          </w:p>
        </w:tc>
        <w:tc>
          <w:tcPr>
            <w:tcW w:type="dxa" w:w="5040"/>
            <w:vAlign w:val="center"/>
          </w:tcPr>
          <w:p>
            <w:pPr>
              <w:spacing w:after="20"/>
            </w:pPr>
            <w:r>
              <w:rPr>
                <w:rFonts w:ascii="Times New Roman" w:hAnsi="Times New Roman"/>
                <w:sz w:val="18"/>
              </w:rPr>
              <w:t>Temporary resources are stopped/deleted and usage is reviewed</w:t>
            </w:r>
          </w:p>
        </w:tc>
      </w:tr>
    </w:tbl>
    <w:p>
      <w:pPr>
        <w:spacing w:before="140" w:after="60"/>
      </w:pPr>
      <w:r>
        <w:rPr>
          <w:b/>
          <w:sz w:val="24"/>
        </w:rPr>
        <w:t>Results</w:t>
      </w:r>
    </w:p>
    <w:p>
      <w:pPr>
        <w:pStyle w:val="ListBullet"/>
      </w:pPr>
      <w:r>
        <w:t>IaaS provides the greatest infrastructure control but also places the greatest administration and maintenance responsibility on the user.</w:t>
      </w:r>
    </w:p>
    <w:p>
      <w:pPr>
        <w:pStyle w:val="ListBullet"/>
      </w:pPr>
      <w:r>
        <w:t>PaaS offers a practical balance for building a custom portal because deployment is faster and routine platform management is reduced.</w:t>
      </w:r>
    </w:p>
    <w:p>
      <w:pPr>
        <w:pStyle w:val="ListBullet"/>
      </w:pPr>
      <w:r>
        <w:t>SaaS is most appropriate when the institution needs standard assignment workflows quickly and does not require extensive custom development.</w:t>
      </w:r>
    </w:p>
    <w:p>
      <w:pPr>
        <w:pStyle w:val="ListBullet"/>
      </w:pPr>
      <w:r>
        <w:t>Free-tier access is useful for learning, but quotas, eligibility, and charges vary by provider and may change. Safe usage requires monitoring and cleanup.</w:t>
      </w:r>
    </w:p>
    <w:p>
      <w:pPr>
        <w:spacing w:before="140" w:after="60"/>
      </w:pPr>
      <w:r>
        <w:rPr>
          <w:b/>
          <w:sz w:val="24"/>
        </w:rPr>
        <w:t>Conclusion</w:t>
      </w:r>
    </w:p>
    <w:p>
      <w:r>
        <w:t>The case study shows that IaaS, PaaS, and SaaS differ mainly in the division of management responsibility. For a custom student assignment portal prototype, PaaS is generally the most balanced option: it supports application-specific features while reducing infrastructure administration. If the requirement is only to provide standard assignment workflows, SaaS may be more efficient. IaaS is most valuable when detailed infrastructure control is itself a learning or project requirement. The selected model should be based on customisation needs, technical skills, security obligations, and total cost—not on the free-tier label alone.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Cloud Service Models | Experiment 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