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360E" w:rsidRPr="0045360E" w:rsidRDefault="0045360E" w:rsidP="0045360E">
      <w:pPr>
        <w:spacing w:before="100" w:beforeAutospacing="1" w:after="120" w:line="240" w:lineRule="auto"/>
        <w:jc w:val="center"/>
        <w:outlineLvl w:val="0"/>
        <w:rPr>
          <w:rFonts w:ascii="Times New Roman" w:eastAsia="Times New Roman" w:hAnsi="Times New Roman" w:cs="Times New Roman"/>
          <w:b/>
          <w:bCs/>
          <w:color w:val="1F1F1F"/>
          <w:kern w:val="36"/>
          <w:sz w:val="48"/>
          <w:szCs w:val="48"/>
        </w:rPr>
      </w:pPr>
      <w:r w:rsidRPr="0045360E">
        <w:rPr>
          <w:rFonts w:ascii="Times New Roman" w:eastAsia="Times New Roman" w:hAnsi="Times New Roman" w:cs="Times New Roman"/>
          <w:b/>
          <w:bCs/>
          <w:color w:val="1F1F1F"/>
          <w:kern w:val="36"/>
          <w:sz w:val="48"/>
          <w:szCs w:val="48"/>
        </w:rPr>
        <w:t>Data Model Documentation</w:t>
      </w:r>
    </w:p>
    <w:p w:rsidR="0045360E" w:rsidRPr="0045360E" w:rsidRDefault="0045360E" w:rsidP="0045360E">
      <w:pPr>
        <w:spacing w:before="100" w:beforeAutospacing="1" w:after="120" w:line="240" w:lineRule="auto"/>
        <w:jc w:val="both"/>
        <w:outlineLvl w:val="1"/>
        <w:rPr>
          <w:rFonts w:ascii="Times New Roman" w:eastAsia="Times New Roman" w:hAnsi="Times New Roman" w:cs="Times New Roman"/>
          <w:b/>
          <w:bCs/>
          <w:color w:val="1F1F1F"/>
          <w:sz w:val="36"/>
          <w:szCs w:val="36"/>
          <w:u w:val="single"/>
        </w:rPr>
      </w:pPr>
      <w:r w:rsidRPr="0045360E">
        <w:rPr>
          <w:rFonts w:ascii="Times New Roman" w:eastAsia="Times New Roman" w:hAnsi="Times New Roman" w:cs="Times New Roman"/>
          <w:b/>
          <w:bCs/>
          <w:color w:val="1F1F1F"/>
          <w:sz w:val="36"/>
          <w:szCs w:val="36"/>
          <w:u w:val="single"/>
        </w:rPr>
        <w:t>Conceptual Data Model</w:t>
      </w:r>
    </w:p>
    <w:p w:rsidR="0045360E" w:rsidRPr="0045360E" w:rsidRDefault="0045360E" w:rsidP="0045360E">
      <w:pPr>
        <w:spacing w:before="100" w:beforeAutospacing="1" w:after="240" w:line="240" w:lineRule="auto"/>
        <w:jc w:val="both"/>
        <w:rPr>
          <w:rFonts w:ascii="Times New Roman" w:eastAsia="Times New Roman" w:hAnsi="Times New Roman" w:cs="Times New Roman"/>
          <w:color w:val="1F1F1F"/>
          <w:sz w:val="24"/>
          <w:szCs w:val="24"/>
        </w:rPr>
      </w:pPr>
      <w:r w:rsidRPr="0045360E">
        <w:rPr>
          <w:rFonts w:ascii="Times New Roman" w:eastAsia="Times New Roman" w:hAnsi="Times New Roman" w:cs="Times New Roman"/>
          <w:color w:val="1F1F1F"/>
          <w:sz w:val="24"/>
          <w:szCs w:val="24"/>
        </w:rPr>
        <w:t>The project architecture centers on a retail sales domain designed to support a global enterprise. The model follows a star schema approach where a central fact entity is supported by descriptive dimension entities. This design is optimized for analytical processing and enables efficient querying for executive dashboards.</w:t>
      </w:r>
    </w:p>
    <w:p w:rsidR="0045360E" w:rsidRPr="0045360E" w:rsidRDefault="0045360E" w:rsidP="0045360E">
      <w:pPr>
        <w:spacing w:before="100" w:beforeAutospacing="1" w:after="240" w:line="240" w:lineRule="auto"/>
        <w:jc w:val="both"/>
        <w:rPr>
          <w:rFonts w:ascii="Times New Roman" w:eastAsia="Times New Roman" w:hAnsi="Times New Roman" w:cs="Times New Roman"/>
          <w:color w:val="1F1F1F"/>
          <w:sz w:val="24"/>
          <w:szCs w:val="24"/>
        </w:rPr>
      </w:pPr>
      <w:r w:rsidRPr="0045360E">
        <w:rPr>
          <w:rFonts w:ascii="Times New Roman" w:eastAsia="Times New Roman" w:hAnsi="Times New Roman" w:cs="Times New Roman"/>
          <w:color w:val="1F1F1F"/>
          <w:sz w:val="24"/>
          <w:szCs w:val="24"/>
        </w:rPr>
        <w:t xml:space="preserve">The core relationships involve three main areas of interest. The sales transactions represent the central event capturing </w:t>
      </w:r>
      <w:proofErr w:type="gramStart"/>
      <w:r w:rsidRPr="0045360E">
        <w:rPr>
          <w:rFonts w:ascii="Times New Roman" w:eastAsia="Times New Roman" w:hAnsi="Times New Roman" w:cs="Times New Roman"/>
          <w:color w:val="1F1F1F"/>
          <w:sz w:val="24"/>
          <w:szCs w:val="24"/>
        </w:rPr>
        <w:t>the who</w:t>
      </w:r>
      <w:proofErr w:type="gramEnd"/>
      <w:r w:rsidRPr="0045360E">
        <w:rPr>
          <w:rFonts w:ascii="Times New Roman" w:eastAsia="Times New Roman" w:hAnsi="Times New Roman" w:cs="Times New Roman"/>
          <w:color w:val="1F1F1F"/>
          <w:sz w:val="24"/>
          <w:szCs w:val="24"/>
        </w:rPr>
        <w:t>, what, where, and when of a purchase. The products entity provides descriptive attributes for every item in the inventory, while the stores entity provides geographic and regional context for every retail location.</w:t>
      </w:r>
    </w:p>
    <w:p w:rsidR="0045360E" w:rsidRPr="0045360E" w:rsidRDefault="0045360E" w:rsidP="0045360E">
      <w:pPr>
        <w:spacing w:before="100" w:beforeAutospacing="1" w:after="120" w:line="240" w:lineRule="auto"/>
        <w:jc w:val="both"/>
        <w:outlineLvl w:val="1"/>
        <w:rPr>
          <w:rFonts w:ascii="Times New Roman" w:eastAsia="Times New Roman" w:hAnsi="Times New Roman" w:cs="Times New Roman"/>
          <w:b/>
          <w:bCs/>
          <w:color w:val="1F1F1F"/>
          <w:sz w:val="36"/>
          <w:szCs w:val="36"/>
          <w:u w:val="single"/>
        </w:rPr>
      </w:pPr>
      <w:r w:rsidRPr="0045360E">
        <w:rPr>
          <w:rFonts w:ascii="Times New Roman" w:eastAsia="Times New Roman" w:hAnsi="Times New Roman" w:cs="Times New Roman"/>
          <w:b/>
          <w:bCs/>
          <w:color w:val="1F1F1F"/>
          <w:sz w:val="36"/>
          <w:szCs w:val="36"/>
          <w:u w:val="single"/>
        </w:rPr>
        <w:t>Transactional Relationships and Schema</w:t>
      </w:r>
    </w:p>
    <w:p w:rsidR="0045360E" w:rsidRPr="0045360E" w:rsidRDefault="0045360E" w:rsidP="0045360E">
      <w:pPr>
        <w:spacing w:before="100" w:beforeAutospacing="1" w:after="240" w:line="240" w:lineRule="auto"/>
        <w:jc w:val="both"/>
        <w:rPr>
          <w:rFonts w:ascii="Times New Roman" w:eastAsia="Times New Roman" w:hAnsi="Times New Roman" w:cs="Times New Roman"/>
          <w:color w:val="1F1F1F"/>
          <w:sz w:val="24"/>
          <w:szCs w:val="24"/>
        </w:rPr>
      </w:pPr>
      <w:r w:rsidRPr="0045360E">
        <w:rPr>
          <w:rFonts w:ascii="Times New Roman" w:eastAsia="Times New Roman" w:hAnsi="Times New Roman" w:cs="Times New Roman"/>
          <w:color w:val="1F1F1F"/>
          <w:sz w:val="24"/>
          <w:szCs w:val="24"/>
        </w:rPr>
        <w:t>The heart of the data model is the relationship between the sales transactions and the master data. Every record in the sales table contains foreign key identifiers that link it to specific rows in the store and product masters.</w:t>
      </w:r>
    </w:p>
    <w:p w:rsidR="0045360E" w:rsidRPr="0045360E" w:rsidRDefault="0045360E" w:rsidP="0045360E">
      <w:pPr>
        <w:spacing w:before="100" w:beforeAutospacing="1" w:after="240" w:line="240" w:lineRule="auto"/>
        <w:jc w:val="both"/>
        <w:rPr>
          <w:rFonts w:ascii="Times New Roman" w:eastAsia="Times New Roman" w:hAnsi="Times New Roman" w:cs="Times New Roman"/>
          <w:color w:val="1F1F1F"/>
          <w:sz w:val="24"/>
          <w:szCs w:val="24"/>
        </w:rPr>
      </w:pPr>
      <w:r w:rsidRPr="0045360E">
        <w:rPr>
          <w:rFonts w:ascii="Times New Roman" w:eastAsia="Times New Roman" w:hAnsi="Times New Roman" w:cs="Times New Roman"/>
          <w:color w:val="1F1F1F"/>
          <w:sz w:val="24"/>
          <w:szCs w:val="24"/>
        </w:rPr>
        <w:t>For the store relationship, the store id in the sales records connects to the store master to provide context on the geographical region and country. This relationship allows the system to aggregate sales performance globally or drill down into specific regional markets like EMEA or AMER.</w:t>
      </w:r>
    </w:p>
    <w:p w:rsidR="0045360E" w:rsidRPr="0045360E" w:rsidRDefault="0045360E" w:rsidP="0045360E">
      <w:pPr>
        <w:spacing w:before="100" w:beforeAutospacing="1" w:after="240" w:line="240" w:lineRule="auto"/>
        <w:jc w:val="both"/>
        <w:rPr>
          <w:rFonts w:ascii="Times New Roman" w:eastAsia="Times New Roman" w:hAnsi="Times New Roman" w:cs="Times New Roman"/>
          <w:color w:val="1F1F1F"/>
          <w:sz w:val="24"/>
          <w:szCs w:val="24"/>
        </w:rPr>
      </w:pPr>
      <w:r w:rsidRPr="0045360E">
        <w:rPr>
          <w:rFonts w:ascii="Times New Roman" w:eastAsia="Times New Roman" w:hAnsi="Times New Roman" w:cs="Times New Roman"/>
          <w:color w:val="1F1F1F"/>
          <w:sz w:val="24"/>
          <w:szCs w:val="24"/>
        </w:rPr>
        <w:t>For the product relationship, the product id connects the transaction to the product master. This link provides the product name, category, and standard price. This relationship is critical for the product performance dashboard to calculate total units sold and revenue share per product category.</w:t>
      </w:r>
    </w:p>
    <w:p w:rsidR="0045360E" w:rsidRPr="0045360E" w:rsidRDefault="0045360E" w:rsidP="0045360E">
      <w:pPr>
        <w:spacing w:before="100" w:beforeAutospacing="1" w:after="120" w:line="240" w:lineRule="auto"/>
        <w:jc w:val="both"/>
        <w:outlineLvl w:val="1"/>
        <w:rPr>
          <w:rFonts w:ascii="Times New Roman" w:eastAsia="Times New Roman" w:hAnsi="Times New Roman" w:cs="Times New Roman"/>
          <w:b/>
          <w:bCs/>
          <w:color w:val="1F1F1F"/>
          <w:sz w:val="36"/>
          <w:szCs w:val="36"/>
          <w:u w:val="single"/>
        </w:rPr>
      </w:pPr>
      <w:r w:rsidRPr="0045360E">
        <w:rPr>
          <w:rFonts w:ascii="Times New Roman" w:eastAsia="Times New Roman" w:hAnsi="Times New Roman" w:cs="Times New Roman"/>
          <w:b/>
          <w:bCs/>
          <w:color w:val="1F1F1F"/>
          <w:sz w:val="36"/>
          <w:szCs w:val="36"/>
          <w:u w:val="single"/>
        </w:rPr>
        <w:t>Bronze Layer Data Model</w:t>
      </w:r>
    </w:p>
    <w:p w:rsidR="0045360E" w:rsidRPr="0045360E" w:rsidRDefault="0045360E" w:rsidP="0045360E">
      <w:pPr>
        <w:spacing w:before="100" w:beforeAutospacing="1" w:after="240" w:line="240" w:lineRule="auto"/>
        <w:jc w:val="both"/>
        <w:rPr>
          <w:rFonts w:ascii="Times New Roman" w:eastAsia="Times New Roman" w:hAnsi="Times New Roman" w:cs="Times New Roman"/>
          <w:color w:val="1F1F1F"/>
          <w:sz w:val="24"/>
          <w:szCs w:val="24"/>
        </w:rPr>
      </w:pPr>
      <w:r w:rsidRPr="0045360E">
        <w:rPr>
          <w:rFonts w:ascii="Times New Roman" w:eastAsia="Times New Roman" w:hAnsi="Times New Roman" w:cs="Times New Roman"/>
          <w:color w:val="1F1F1F"/>
          <w:sz w:val="24"/>
          <w:szCs w:val="24"/>
        </w:rPr>
        <w:t>The bronze layer serves as the raw storage area where data is captured in its native format to ensure a full audit trail. The physical structure matches the source legacy system exactly but includes mandatory metadata columns to support data lineage.</w:t>
      </w:r>
    </w:p>
    <w:p w:rsidR="0045360E" w:rsidRPr="0045360E" w:rsidRDefault="0045360E" w:rsidP="0045360E">
      <w:pPr>
        <w:spacing w:before="100" w:beforeAutospacing="1" w:after="240" w:line="240" w:lineRule="auto"/>
        <w:jc w:val="both"/>
        <w:rPr>
          <w:rFonts w:ascii="Times New Roman" w:eastAsia="Times New Roman" w:hAnsi="Times New Roman" w:cs="Times New Roman"/>
          <w:color w:val="1F1F1F"/>
          <w:sz w:val="24"/>
          <w:szCs w:val="24"/>
        </w:rPr>
      </w:pPr>
      <w:r w:rsidRPr="0045360E">
        <w:rPr>
          <w:rFonts w:ascii="Times New Roman" w:eastAsia="Times New Roman" w:hAnsi="Times New Roman" w:cs="Times New Roman"/>
          <w:color w:val="1F1F1F"/>
          <w:sz w:val="24"/>
          <w:szCs w:val="24"/>
        </w:rPr>
        <w:t>The schema includes the transaction id which is the primary unique identifier from the source system. It also includes store id and product id which serve as foreign keys to the dimension files. Metrics such as quantity and total amount are captured as raw values without any modification. To meet enterprise requirements, three metadata columns are added. The ingestion timestamp records the exact time of entry into the lake, the source system identifies the origin of the record, and the ingestion date is used as a physical partition column to optimize storage performance.</w:t>
      </w:r>
    </w:p>
    <w:p w:rsidR="0045360E" w:rsidRPr="0045360E" w:rsidRDefault="0045360E" w:rsidP="0045360E">
      <w:pPr>
        <w:spacing w:before="100" w:beforeAutospacing="1" w:after="120" w:line="240" w:lineRule="auto"/>
        <w:jc w:val="both"/>
        <w:outlineLvl w:val="1"/>
        <w:rPr>
          <w:rFonts w:ascii="Times New Roman" w:eastAsia="Times New Roman" w:hAnsi="Times New Roman" w:cs="Times New Roman"/>
          <w:b/>
          <w:bCs/>
          <w:color w:val="1F1F1F"/>
          <w:sz w:val="36"/>
          <w:szCs w:val="36"/>
          <w:u w:val="single"/>
        </w:rPr>
      </w:pPr>
      <w:r w:rsidRPr="0045360E">
        <w:rPr>
          <w:rFonts w:ascii="Times New Roman" w:eastAsia="Times New Roman" w:hAnsi="Times New Roman" w:cs="Times New Roman"/>
          <w:b/>
          <w:bCs/>
          <w:color w:val="1F1F1F"/>
          <w:sz w:val="36"/>
          <w:szCs w:val="36"/>
          <w:u w:val="single"/>
        </w:rPr>
        <w:t>Silver Layer Data Model and Physical Schema</w:t>
      </w:r>
    </w:p>
    <w:p w:rsidR="0045360E" w:rsidRPr="0045360E" w:rsidRDefault="0045360E" w:rsidP="0045360E">
      <w:pPr>
        <w:spacing w:before="100" w:beforeAutospacing="1" w:after="240" w:line="240" w:lineRule="auto"/>
        <w:jc w:val="both"/>
        <w:rPr>
          <w:rFonts w:ascii="Times New Roman" w:eastAsia="Times New Roman" w:hAnsi="Times New Roman" w:cs="Times New Roman"/>
          <w:color w:val="1F1F1F"/>
          <w:sz w:val="24"/>
          <w:szCs w:val="24"/>
        </w:rPr>
      </w:pPr>
      <w:r w:rsidRPr="0045360E">
        <w:rPr>
          <w:rFonts w:ascii="Times New Roman" w:eastAsia="Times New Roman" w:hAnsi="Times New Roman" w:cs="Times New Roman"/>
          <w:color w:val="1F1F1F"/>
          <w:sz w:val="24"/>
          <w:szCs w:val="24"/>
        </w:rPr>
        <w:lastRenderedPageBreak/>
        <w:t>The silver layer represents the refined version of the data where cleansing and standardization are enforced. The physical schema in the silver layer is defined by strict data types and standardized structures.</w:t>
      </w:r>
    </w:p>
    <w:p w:rsidR="0045360E" w:rsidRPr="0045360E" w:rsidRDefault="0045360E" w:rsidP="0045360E">
      <w:pPr>
        <w:spacing w:before="100" w:beforeAutospacing="1" w:after="240" w:line="240" w:lineRule="auto"/>
        <w:jc w:val="both"/>
        <w:rPr>
          <w:rFonts w:ascii="Times New Roman" w:eastAsia="Times New Roman" w:hAnsi="Times New Roman" w:cs="Times New Roman"/>
          <w:color w:val="1F1F1F"/>
          <w:sz w:val="24"/>
          <w:szCs w:val="24"/>
        </w:rPr>
      </w:pPr>
      <w:r w:rsidRPr="0045360E">
        <w:rPr>
          <w:rFonts w:ascii="Times New Roman" w:eastAsia="Times New Roman" w:hAnsi="Times New Roman" w:cs="Times New Roman"/>
          <w:color w:val="1F1F1F"/>
          <w:sz w:val="24"/>
          <w:szCs w:val="24"/>
        </w:rPr>
        <w:t xml:space="preserve">In the silver sales model, all timestamps are converted to a universal </w:t>
      </w:r>
      <w:proofErr w:type="spellStart"/>
      <w:proofErr w:type="gramStart"/>
      <w:r w:rsidRPr="0045360E">
        <w:rPr>
          <w:rFonts w:ascii="Times New Roman" w:eastAsia="Times New Roman" w:hAnsi="Times New Roman" w:cs="Times New Roman"/>
          <w:color w:val="1F1F1F"/>
          <w:sz w:val="24"/>
          <w:szCs w:val="24"/>
        </w:rPr>
        <w:t>utc</w:t>
      </w:r>
      <w:proofErr w:type="spellEnd"/>
      <w:proofErr w:type="gramEnd"/>
      <w:r w:rsidRPr="0045360E">
        <w:rPr>
          <w:rFonts w:ascii="Times New Roman" w:eastAsia="Times New Roman" w:hAnsi="Times New Roman" w:cs="Times New Roman"/>
          <w:color w:val="1F1F1F"/>
          <w:sz w:val="24"/>
          <w:szCs w:val="24"/>
        </w:rPr>
        <w:t xml:space="preserve"> standard to ensure consistency across regions. The total amount is normalized into a single base currency of </w:t>
      </w:r>
      <w:proofErr w:type="spellStart"/>
      <w:r w:rsidRPr="0045360E">
        <w:rPr>
          <w:rFonts w:ascii="Times New Roman" w:eastAsia="Times New Roman" w:hAnsi="Times New Roman" w:cs="Times New Roman"/>
          <w:color w:val="1F1F1F"/>
          <w:sz w:val="24"/>
          <w:szCs w:val="24"/>
        </w:rPr>
        <w:t>usd</w:t>
      </w:r>
      <w:proofErr w:type="spellEnd"/>
      <w:r w:rsidRPr="0045360E">
        <w:rPr>
          <w:rFonts w:ascii="Times New Roman" w:eastAsia="Times New Roman" w:hAnsi="Times New Roman" w:cs="Times New Roman"/>
          <w:color w:val="1F1F1F"/>
          <w:sz w:val="24"/>
          <w:szCs w:val="24"/>
        </w:rPr>
        <w:t xml:space="preserve"> using a fixed exchange rate. A specific data quality flag called is calibrated is added as a </w:t>
      </w:r>
      <w:proofErr w:type="spellStart"/>
      <w:proofErr w:type="gramStart"/>
      <w:r w:rsidRPr="0045360E">
        <w:rPr>
          <w:rFonts w:ascii="Times New Roman" w:eastAsia="Times New Roman" w:hAnsi="Times New Roman" w:cs="Times New Roman"/>
          <w:color w:val="1F1F1F"/>
          <w:sz w:val="24"/>
          <w:szCs w:val="24"/>
        </w:rPr>
        <w:t>boolean</w:t>
      </w:r>
      <w:proofErr w:type="spellEnd"/>
      <w:proofErr w:type="gramEnd"/>
      <w:r w:rsidRPr="0045360E">
        <w:rPr>
          <w:rFonts w:ascii="Times New Roman" w:eastAsia="Times New Roman" w:hAnsi="Times New Roman" w:cs="Times New Roman"/>
          <w:color w:val="1F1F1F"/>
          <w:sz w:val="24"/>
          <w:szCs w:val="24"/>
        </w:rPr>
        <w:t xml:space="preserve"> to identify transactions where the mathematical total was corrected during the ingestion process. Numerical metrics are stored as doubles and integers to support mathematical precision during calibration.</w:t>
      </w:r>
    </w:p>
    <w:p w:rsidR="0045360E" w:rsidRPr="0045360E" w:rsidRDefault="0045360E" w:rsidP="0045360E">
      <w:pPr>
        <w:spacing w:before="100" w:beforeAutospacing="1" w:after="240" w:line="240" w:lineRule="auto"/>
        <w:jc w:val="both"/>
        <w:rPr>
          <w:rFonts w:ascii="Times New Roman" w:eastAsia="Times New Roman" w:hAnsi="Times New Roman" w:cs="Times New Roman"/>
          <w:color w:val="1F1F1F"/>
          <w:sz w:val="24"/>
          <w:szCs w:val="24"/>
        </w:rPr>
      </w:pPr>
      <w:r w:rsidRPr="0045360E">
        <w:rPr>
          <w:rFonts w:ascii="Times New Roman" w:eastAsia="Times New Roman" w:hAnsi="Times New Roman" w:cs="Times New Roman"/>
          <w:color w:val="1F1F1F"/>
          <w:sz w:val="24"/>
          <w:szCs w:val="24"/>
        </w:rPr>
        <w:t>The product model in the silver layer implements slowly changing dimension type two logic. This allows the system to track historical price changes. Each product record includes an is current flag to identify the active version, an effective date to show when the price was set, and an end date to show when a previous price version was superseded. These columns define the temporal relationship between a product and its price at any given point in time.</w:t>
      </w:r>
    </w:p>
    <w:p w:rsidR="0045360E" w:rsidRPr="0045360E" w:rsidRDefault="0045360E" w:rsidP="0045360E">
      <w:pPr>
        <w:spacing w:before="100" w:beforeAutospacing="1" w:after="120" w:line="240" w:lineRule="auto"/>
        <w:jc w:val="both"/>
        <w:outlineLvl w:val="1"/>
        <w:rPr>
          <w:rFonts w:ascii="Times New Roman" w:eastAsia="Times New Roman" w:hAnsi="Times New Roman" w:cs="Times New Roman"/>
          <w:b/>
          <w:bCs/>
          <w:color w:val="1F1F1F"/>
          <w:sz w:val="36"/>
          <w:szCs w:val="36"/>
          <w:u w:val="single"/>
        </w:rPr>
      </w:pPr>
      <w:r w:rsidRPr="0045360E">
        <w:rPr>
          <w:rFonts w:ascii="Times New Roman" w:eastAsia="Times New Roman" w:hAnsi="Times New Roman" w:cs="Times New Roman"/>
          <w:b/>
          <w:bCs/>
          <w:color w:val="1F1F1F"/>
          <w:sz w:val="36"/>
          <w:szCs w:val="36"/>
          <w:u w:val="single"/>
        </w:rPr>
        <w:t>Gold Layer Data Model and Analytical Schema</w:t>
      </w:r>
    </w:p>
    <w:p w:rsidR="0045360E" w:rsidRPr="0045360E" w:rsidRDefault="0045360E" w:rsidP="0045360E">
      <w:pPr>
        <w:spacing w:before="100" w:beforeAutospacing="1" w:after="240" w:line="240" w:lineRule="auto"/>
        <w:jc w:val="both"/>
        <w:rPr>
          <w:rFonts w:ascii="Times New Roman" w:eastAsia="Times New Roman" w:hAnsi="Times New Roman" w:cs="Times New Roman"/>
          <w:color w:val="1F1F1F"/>
          <w:sz w:val="24"/>
          <w:szCs w:val="24"/>
        </w:rPr>
      </w:pPr>
      <w:r w:rsidRPr="0045360E">
        <w:rPr>
          <w:rFonts w:ascii="Times New Roman" w:eastAsia="Times New Roman" w:hAnsi="Times New Roman" w:cs="Times New Roman"/>
          <w:color w:val="1F1F1F"/>
          <w:sz w:val="24"/>
          <w:szCs w:val="24"/>
        </w:rPr>
        <w:t>The gold layer is the final presentation layer where data is highly optimized for reporting and analytics. In the gold layer, the schema is transformed from a relational structure into a de-normalized flat structure. This removes the complexity of relationships by pre-joining the fact and dimension tables into a single wide table to allow power bi to query aggregates without the need for expensive real time joins.</w:t>
      </w:r>
    </w:p>
    <w:p w:rsidR="0045360E" w:rsidRPr="0045360E" w:rsidRDefault="0045360E" w:rsidP="0045360E">
      <w:pPr>
        <w:spacing w:before="100" w:beforeAutospacing="1" w:after="240" w:line="240" w:lineRule="auto"/>
        <w:jc w:val="both"/>
        <w:rPr>
          <w:rFonts w:ascii="Times New Roman" w:eastAsia="Times New Roman" w:hAnsi="Times New Roman" w:cs="Times New Roman"/>
          <w:color w:val="1F1F1F"/>
          <w:sz w:val="24"/>
          <w:szCs w:val="24"/>
        </w:rPr>
      </w:pPr>
      <w:r w:rsidRPr="0045360E">
        <w:rPr>
          <w:rFonts w:ascii="Times New Roman" w:eastAsia="Times New Roman" w:hAnsi="Times New Roman" w:cs="Times New Roman"/>
          <w:color w:val="1F1F1F"/>
          <w:sz w:val="24"/>
          <w:szCs w:val="24"/>
        </w:rPr>
        <w:t>The executive sales overview is the primary analytical table. It combines sales metrics with regional attributes, allowing the reporting tool to access revenue, transaction counts, and country names from one single location. It is aggregated at a daily granularity per region and country.</w:t>
      </w:r>
    </w:p>
    <w:p w:rsidR="0045360E" w:rsidRPr="0045360E" w:rsidRDefault="0045360E" w:rsidP="0045360E">
      <w:pPr>
        <w:spacing w:before="100" w:beforeAutospacing="1" w:after="240" w:line="240" w:lineRule="auto"/>
        <w:jc w:val="both"/>
        <w:rPr>
          <w:rFonts w:ascii="Times New Roman" w:eastAsia="Times New Roman" w:hAnsi="Times New Roman" w:cs="Times New Roman"/>
          <w:color w:val="1F1F1F"/>
          <w:sz w:val="24"/>
          <w:szCs w:val="24"/>
        </w:rPr>
      </w:pPr>
      <w:r w:rsidRPr="0045360E">
        <w:rPr>
          <w:rFonts w:ascii="Times New Roman" w:eastAsia="Times New Roman" w:hAnsi="Times New Roman" w:cs="Times New Roman"/>
          <w:color w:val="1F1F1F"/>
          <w:sz w:val="24"/>
          <w:szCs w:val="24"/>
        </w:rPr>
        <w:t xml:space="preserve">The product performance model is aggregated at a monthly level per category and individual product. This </w:t>
      </w:r>
      <w:bookmarkStart w:id="0" w:name="_GoBack"/>
      <w:bookmarkEnd w:id="0"/>
      <w:r w:rsidRPr="0045360E">
        <w:rPr>
          <w:rFonts w:ascii="Times New Roman" w:eastAsia="Times New Roman" w:hAnsi="Times New Roman" w:cs="Times New Roman"/>
          <w:color w:val="1F1F1F"/>
          <w:sz w:val="24"/>
          <w:szCs w:val="24"/>
        </w:rPr>
        <w:t>model includes a pre calculated ranking column to allow the executive dashboards to instantly identify top performing items without recalculating rankings during every user interaction.</w:t>
      </w:r>
    </w:p>
    <w:p w:rsidR="0045360E" w:rsidRPr="0045360E" w:rsidRDefault="0045360E" w:rsidP="0045360E">
      <w:pPr>
        <w:spacing w:before="100" w:beforeAutospacing="1" w:after="120" w:line="240" w:lineRule="auto"/>
        <w:jc w:val="both"/>
        <w:outlineLvl w:val="1"/>
        <w:rPr>
          <w:rFonts w:ascii="Times New Roman" w:eastAsia="Times New Roman" w:hAnsi="Times New Roman" w:cs="Times New Roman"/>
          <w:b/>
          <w:bCs/>
          <w:color w:val="1F1F1F"/>
          <w:sz w:val="36"/>
          <w:szCs w:val="36"/>
          <w:u w:val="single"/>
        </w:rPr>
      </w:pPr>
      <w:r w:rsidRPr="0045360E">
        <w:rPr>
          <w:rFonts w:ascii="Times New Roman" w:eastAsia="Times New Roman" w:hAnsi="Times New Roman" w:cs="Times New Roman"/>
          <w:b/>
          <w:bCs/>
          <w:color w:val="1F1F1F"/>
          <w:sz w:val="36"/>
          <w:szCs w:val="36"/>
          <w:u w:val="single"/>
        </w:rPr>
        <w:t xml:space="preserve">Data Quality </w:t>
      </w:r>
    </w:p>
    <w:p w:rsidR="0045360E" w:rsidRPr="0045360E" w:rsidRDefault="0045360E" w:rsidP="0045360E">
      <w:pPr>
        <w:spacing w:before="100" w:beforeAutospacing="1" w:after="240" w:line="240" w:lineRule="auto"/>
        <w:jc w:val="both"/>
        <w:rPr>
          <w:rFonts w:ascii="Times New Roman" w:eastAsia="Times New Roman" w:hAnsi="Times New Roman" w:cs="Times New Roman"/>
          <w:color w:val="1F1F1F"/>
          <w:sz w:val="24"/>
          <w:szCs w:val="24"/>
        </w:rPr>
      </w:pPr>
      <w:r w:rsidRPr="0045360E">
        <w:rPr>
          <w:rFonts w:ascii="Times New Roman" w:eastAsia="Times New Roman" w:hAnsi="Times New Roman" w:cs="Times New Roman"/>
          <w:color w:val="1F1F1F"/>
          <w:sz w:val="24"/>
          <w:szCs w:val="24"/>
        </w:rPr>
        <w:t>The integrity of the model is maintained through logical constraints rather than physical database keys. The uniqueness of transactions is guaranteed by the merge logic applied during the transition from bronze to silver. Referentially, any sales record that does not have a matching store or product id is diverted to a separate quarantine model. This ensures that the primary analytical tables in silver and gold are free from orphan records or invalid data points.</w:t>
      </w:r>
    </w:p>
    <w:p w:rsidR="0045360E" w:rsidRPr="0045360E" w:rsidRDefault="0045360E" w:rsidP="0045360E">
      <w:pPr>
        <w:spacing w:before="100" w:beforeAutospacing="1" w:after="240" w:line="240" w:lineRule="auto"/>
        <w:jc w:val="both"/>
        <w:rPr>
          <w:rFonts w:ascii="Times New Roman" w:eastAsia="Times New Roman" w:hAnsi="Times New Roman" w:cs="Times New Roman"/>
          <w:color w:val="1F1F1F"/>
          <w:sz w:val="24"/>
          <w:szCs w:val="24"/>
        </w:rPr>
      </w:pPr>
      <w:r w:rsidRPr="0045360E">
        <w:rPr>
          <w:rFonts w:ascii="Times New Roman" w:eastAsia="Times New Roman" w:hAnsi="Times New Roman" w:cs="Times New Roman"/>
          <w:color w:val="1F1F1F"/>
          <w:sz w:val="24"/>
          <w:szCs w:val="24"/>
        </w:rPr>
        <w:t xml:space="preserve">Governance is managed through the addition of audit columns across all tables. Every table in the schema contains the ingestion timestamp and source system fields. This creates a metadata </w:t>
      </w:r>
      <w:r w:rsidRPr="0045360E">
        <w:rPr>
          <w:rFonts w:ascii="Times New Roman" w:eastAsia="Times New Roman" w:hAnsi="Times New Roman" w:cs="Times New Roman"/>
          <w:color w:val="1F1F1F"/>
          <w:sz w:val="24"/>
          <w:szCs w:val="24"/>
        </w:rPr>
        <w:lastRenderedPageBreak/>
        <w:t>relationship between the data sitting in the lake and its origin in the legacy system, ensuring full data lineage from the dashboard back to the raw file.</w:t>
      </w:r>
    </w:p>
    <w:p w:rsidR="001A4EB0" w:rsidRPr="0045360E" w:rsidRDefault="001A4EB0" w:rsidP="0045360E">
      <w:pPr>
        <w:jc w:val="both"/>
        <w:rPr>
          <w:rFonts w:ascii="Times New Roman" w:hAnsi="Times New Roman" w:cs="Times New Roman"/>
          <w:sz w:val="24"/>
        </w:rPr>
      </w:pPr>
    </w:p>
    <w:p w:rsidR="0045360E" w:rsidRPr="0045360E" w:rsidRDefault="0045360E">
      <w:pPr>
        <w:jc w:val="both"/>
        <w:rPr>
          <w:rFonts w:ascii="Times New Roman" w:hAnsi="Times New Roman" w:cs="Times New Roman"/>
          <w:sz w:val="24"/>
        </w:rPr>
      </w:pPr>
    </w:p>
    <w:sectPr w:rsidR="0045360E" w:rsidRPr="004536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360E"/>
    <w:rsid w:val="001A4EB0"/>
    <w:rsid w:val="004536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A8F3F2-29FB-4762-9BE8-B757138C9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5360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5360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60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5360E"/>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45360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9376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820</Words>
  <Characters>4679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5489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niharika kakumani</dc:creator>
  <cp:keywords/>
  <dc:description/>
  <cp:lastModifiedBy>niharika kakumani</cp:lastModifiedBy>
  <cp:revision>1</cp:revision>
  <dcterms:created xsi:type="dcterms:W3CDTF">2025-12-22T14:56:00Z</dcterms:created>
  <dcterms:modified xsi:type="dcterms:W3CDTF">2025-12-22T14:58:00Z</dcterms:modified>
</cp:coreProperties>
</file>