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9D00" w14:textId="77777777" w:rsidR="00FD74B1" w:rsidRDefault="00000000">
      <w:pPr>
        <w:spacing w:after="40"/>
        <w:jc w:val="center"/>
      </w:pPr>
      <w:r>
        <w:rPr>
          <w:rFonts w:ascii="Georgia" w:hAnsi="Georgia"/>
          <w:b/>
          <w:color w:val="21483F"/>
          <w:sz w:val="24"/>
        </w:rPr>
        <w:t>JAGADHA BY PADANJALI</w:t>
      </w:r>
    </w:p>
    <w:p w14:paraId="2851EA09" w14:textId="77777777" w:rsidR="00FD74B1" w:rsidRDefault="00000000">
      <w:pPr>
        <w:pStyle w:val="Title"/>
        <w:jc w:val="center"/>
      </w:pPr>
      <w:r>
        <w:t>Jagadha Product Sales Analysis</w:t>
      </w:r>
    </w:p>
    <w:p w14:paraId="698C175C" w14:textId="77777777" w:rsidR="00FD74B1" w:rsidRDefault="00000000">
      <w:pPr>
        <w:jc w:val="center"/>
      </w:pPr>
      <w:r>
        <w:rPr>
          <w:i/>
          <w:color w:val="8A6E35"/>
          <w:sz w:val="24"/>
        </w:rPr>
        <w:t>Dashboard Report</w:t>
      </w:r>
    </w:p>
    <w:p w14:paraId="3E691830" w14:textId="77777777" w:rsidR="00FD74B1" w:rsidRDefault="00000000">
      <w:pPr>
        <w:pStyle w:val="Heading1"/>
      </w:pPr>
      <w:r>
        <w:t>1. Overview</w:t>
      </w:r>
    </w:p>
    <w:p w14:paraId="60D1B543" w14:textId="77777777" w:rsidR="00FD74B1" w:rsidRDefault="00000000">
      <w:r>
        <w:t>This report summarises the Jagadha Product Sales Analysis dashboard. It reviews product-level sales volume and revenue, revenue contribution by product, country-level revenue, performance across Indian states, and monthly changes in units sold and revenue. The report is based on the figures visible in the provided dashboard screenshot; it does not include DAX formulas.</w:t>
      </w:r>
    </w:p>
    <w:p w14:paraId="6823C4A6" w14:textId="77777777" w:rsidR="00FD74B1" w:rsidRDefault="00000000">
      <w:pPr>
        <w:jc w:val="center"/>
      </w:pPr>
      <w:r>
        <w:rPr>
          <w:noProof/>
        </w:rPr>
        <w:drawing>
          <wp:inline distT="0" distB="0" distL="0" distR="0" wp14:anchorId="50A6EF3F" wp14:editId="2F3520B9">
            <wp:extent cx="6217920" cy="5641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64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F111" w14:textId="77777777" w:rsidR="00FD74B1" w:rsidRDefault="00000000">
      <w:pPr>
        <w:jc w:val="center"/>
      </w:pPr>
      <w:r>
        <w:rPr>
          <w:i/>
          <w:sz w:val="16"/>
        </w:rPr>
        <w:t>Figure 1. Jagadha Product Sales Analysis dashboard</w:t>
      </w:r>
    </w:p>
    <w:p w14:paraId="799BEE11" w14:textId="77777777" w:rsidR="00FD74B1" w:rsidRDefault="00000000">
      <w:pPr>
        <w:pStyle w:val="Heading1"/>
      </w:pPr>
      <w:r>
        <w:t>2. KPI cards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944"/>
        <w:gridCol w:w="5256"/>
      </w:tblGrid>
      <w:tr w:rsidR="00FD74B1" w14:paraId="3477AA7B" w14:textId="77777777">
        <w:trPr>
          <w:jc w:val="center"/>
        </w:trPr>
        <w:tc>
          <w:tcPr>
            <w:tcW w:w="2592" w:type="dxa"/>
            <w:shd w:val="clear" w:color="auto" w:fill="21483F"/>
            <w:vAlign w:val="center"/>
          </w:tcPr>
          <w:p w14:paraId="6E08FAA8" w14:textId="77777777" w:rsidR="00FD74B1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w="1944" w:type="dxa"/>
            <w:shd w:val="clear" w:color="auto" w:fill="21483F"/>
            <w:vAlign w:val="center"/>
          </w:tcPr>
          <w:p w14:paraId="6985023A" w14:textId="77777777" w:rsidR="00FD74B1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Displayed value</w:t>
            </w:r>
          </w:p>
        </w:tc>
        <w:tc>
          <w:tcPr>
            <w:tcW w:w="5256" w:type="dxa"/>
            <w:shd w:val="clear" w:color="auto" w:fill="21483F"/>
            <w:vAlign w:val="center"/>
          </w:tcPr>
          <w:p w14:paraId="2EB36D5F" w14:textId="77777777" w:rsidR="00FD74B1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 w:rsidR="00FD74B1" w14:paraId="7700FE43" w14:textId="77777777">
        <w:trPr>
          <w:jc w:val="center"/>
        </w:trPr>
        <w:tc>
          <w:tcPr>
            <w:tcW w:w="2592" w:type="dxa"/>
            <w:shd w:val="clear" w:color="auto" w:fill="F7F3E9"/>
            <w:vAlign w:val="center"/>
          </w:tcPr>
          <w:p w14:paraId="6DD409C5" w14:textId="77777777" w:rsidR="00FD74B1" w:rsidRDefault="00000000">
            <w:pPr>
              <w:spacing w:after="20"/>
            </w:pPr>
            <w:r>
              <w:rPr>
                <w:b/>
                <w:sz w:val="17"/>
              </w:rPr>
              <w:lastRenderedPageBreak/>
              <w:t>Total Revenue (Products)</w:t>
            </w:r>
          </w:p>
        </w:tc>
        <w:tc>
          <w:tcPr>
            <w:tcW w:w="1944" w:type="dxa"/>
            <w:shd w:val="clear" w:color="auto" w:fill="F7F3E9"/>
            <w:vAlign w:val="center"/>
          </w:tcPr>
          <w:p w14:paraId="7A87C9A4" w14:textId="77777777" w:rsidR="00FD74B1" w:rsidRDefault="00000000">
            <w:pPr>
              <w:spacing w:after="20"/>
            </w:pPr>
            <w:r>
              <w:rPr>
                <w:sz w:val="17"/>
              </w:rPr>
              <w:t>2.52M</w:t>
            </w:r>
          </w:p>
        </w:tc>
        <w:tc>
          <w:tcPr>
            <w:tcW w:w="5256" w:type="dxa"/>
            <w:shd w:val="clear" w:color="auto" w:fill="F7F3E9"/>
            <w:vAlign w:val="center"/>
          </w:tcPr>
          <w:p w14:paraId="464F9B2E" w14:textId="77777777" w:rsidR="00FD74B1" w:rsidRDefault="00000000">
            <w:pPr>
              <w:spacing w:after="20"/>
            </w:pPr>
            <w:r>
              <w:rPr>
                <w:sz w:val="17"/>
              </w:rPr>
              <w:t>Total product revenue represented in the dashboard. Confirm the currency/unit used in the Power BI model before external reporting.</w:t>
            </w:r>
          </w:p>
        </w:tc>
      </w:tr>
      <w:tr w:rsidR="00FD74B1" w14:paraId="79282E2F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7C274646" w14:textId="77777777" w:rsidR="00FD74B1" w:rsidRDefault="00000000">
            <w:pPr>
              <w:spacing w:after="20"/>
            </w:pPr>
            <w:r>
              <w:rPr>
                <w:b/>
                <w:sz w:val="17"/>
              </w:rPr>
              <w:t>Total Products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09BFE80A" w14:textId="77777777" w:rsidR="00FD74B1" w:rsidRDefault="00000000">
            <w:pPr>
              <w:spacing w:after="20"/>
            </w:pPr>
            <w:r>
              <w:rPr>
                <w:sz w:val="17"/>
              </w:rPr>
              <w:t>11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22357DCF" w14:textId="77777777" w:rsidR="00FD74B1" w:rsidRDefault="00000000">
            <w:pPr>
              <w:spacing w:after="20"/>
            </w:pPr>
            <w:r>
              <w:rPr>
                <w:sz w:val="17"/>
              </w:rPr>
              <w:t>The dashboard includes 11 distinct products, allowing product-level comparisons of volume and revenue.</w:t>
            </w:r>
          </w:p>
        </w:tc>
      </w:tr>
      <w:tr w:rsidR="00FD74B1" w14:paraId="34F75073" w14:textId="77777777">
        <w:trPr>
          <w:jc w:val="center"/>
        </w:trPr>
        <w:tc>
          <w:tcPr>
            <w:tcW w:w="2592" w:type="dxa"/>
            <w:shd w:val="clear" w:color="auto" w:fill="F7F3E9"/>
            <w:vAlign w:val="center"/>
          </w:tcPr>
          <w:p w14:paraId="1580C5ED" w14:textId="77777777" w:rsidR="00FD74B1" w:rsidRDefault="00000000">
            <w:pPr>
              <w:spacing w:after="20"/>
            </w:pPr>
            <w:r>
              <w:rPr>
                <w:b/>
                <w:sz w:val="17"/>
              </w:rPr>
              <w:t>Total Quantity Sold</w:t>
            </w:r>
          </w:p>
        </w:tc>
        <w:tc>
          <w:tcPr>
            <w:tcW w:w="1944" w:type="dxa"/>
            <w:shd w:val="clear" w:color="auto" w:fill="F7F3E9"/>
            <w:vAlign w:val="center"/>
          </w:tcPr>
          <w:p w14:paraId="0835CA86" w14:textId="77777777" w:rsidR="00FD74B1" w:rsidRDefault="00000000">
            <w:pPr>
              <w:spacing w:after="20"/>
            </w:pPr>
            <w:r>
              <w:rPr>
                <w:sz w:val="17"/>
              </w:rPr>
              <w:t>1.08K</w:t>
            </w:r>
          </w:p>
        </w:tc>
        <w:tc>
          <w:tcPr>
            <w:tcW w:w="5256" w:type="dxa"/>
            <w:shd w:val="clear" w:color="auto" w:fill="F7F3E9"/>
            <w:vAlign w:val="center"/>
          </w:tcPr>
          <w:p w14:paraId="12A73DB7" w14:textId="77777777" w:rsidR="00FD74B1" w:rsidRDefault="00000000">
            <w:pPr>
              <w:spacing w:after="20"/>
            </w:pPr>
            <w:r>
              <w:rPr>
                <w:sz w:val="17"/>
              </w:rPr>
              <w:t>Approximately 1,080 units were sold across the products in the current report view.</w:t>
            </w:r>
          </w:p>
        </w:tc>
      </w:tr>
      <w:tr w:rsidR="00FD74B1" w14:paraId="0485929F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0ED623BF" w14:textId="77777777" w:rsidR="00FD74B1" w:rsidRDefault="00000000">
            <w:pPr>
              <w:spacing w:after="20"/>
            </w:pPr>
            <w:r>
              <w:rPr>
                <w:b/>
                <w:sz w:val="17"/>
              </w:rPr>
              <w:t>Top Product Revenue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4826134E" w14:textId="77777777" w:rsidR="00FD74B1" w:rsidRDefault="00000000">
            <w:pPr>
              <w:spacing w:after="20"/>
            </w:pPr>
            <w:r>
              <w:rPr>
                <w:sz w:val="17"/>
              </w:rPr>
              <w:t>Agnijith 90 gms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77BF64A9" w14:textId="77777777" w:rsidR="00FD74B1" w:rsidRDefault="00000000">
            <w:pPr>
              <w:spacing w:after="20"/>
            </w:pPr>
            <w:r>
              <w:rPr>
                <w:sz w:val="17"/>
              </w:rPr>
              <w:t>This is the highest revenue-generating product in the dashboard.</w:t>
            </w:r>
          </w:p>
        </w:tc>
      </w:tr>
      <w:tr w:rsidR="00FD74B1" w14:paraId="72E17290" w14:textId="77777777">
        <w:trPr>
          <w:jc w:val="center"/>
        </w:trPr>
        <w:tc>
          <w:tcPr>
            <w:tcW w:w="2592" w:type="dxa"/>
            <w:shd w:val="clear" w:color="auto" w:fill="F7F3E9"/>
            <w:vAlign w:val="center"/>
          </w:tcPr>
          <w:p w14:paraId="13568E8B" w14:textId="77777777" w:rsidR="00FD74B1" w:rsidRDefault="00000000">
            <w:pPr>
              <w:spacing w:after="20"/>
            </w:pPr>
            <w:r>
              <w:rPr>
                <w:b/>
                <w:sz w:val="17"/>
              </w:rPr>
              <w:t>Top Product Revenue Contribution</w:t>
            </w:r>
          </w:p>
        </w:tc>
        <w:tc>
          <w:tcPr>
            <w:tcW w:w="1944" w:type="dxa"/>
            <w:shd w:val="clear" w:color="auto" w:fill="F7F3E9"/>
            <w:vAlign w:val="center"/>
          </w:tcPr>
          <w:p w14:paraId="7AA7277C" w14:textId="77777777" w:rsidR="00FD74B1" w:rsidRDefault="00000000">
            <w:pPr>
              <w:spacing w:after="20"/>
            </w:pPr>
            <w:r>
              <w:rPr>
                <w:sz w:val="17"/>
              </w:rPr>
              <w:t>49.05%</w:t>
            </w:r>
          </w:p>
        </w:tc>
        <w:tc>
          <w:tcPr>
            <w:tcW w:w="5256" w:type="dxa"/>
            <w:shd w:val="clear" w:color="auto" w:fill="F7F3E9"/>
            <w:vAlign w:val="center"/>
          </w:tcPr>
          <w:p w14:paraId="79A2BAB4" w14:textId="77777777" w:rsidR="00FD74B1" w:rsidRDefault="00000000">
            <w:pPr>
              <w:spacing w:after="20"/>
            </w:pPr>
            <w:r>
              <w:rPr>
                <w:sz w:val="17"/>
              </w:rPr>
              <w:t>Almost half of total product revenue is attributed to Agnijith 90 gms, indicating revenue concentration.</w:t>
            </w:r>
          </w:p>
        </w:tc>
      </w:tr>
    </w:tbl>
    <w:p w14:paraId="4DF50329" w14:textId="77777777" w:rsidR="00FD74B1" w:rsidRDefault="00000000">
      <w:pPr>
        <w:pStyle w:val="Heading1"/>
      </w:pPr>
      <w:r>
        <w:t>3. Charts explained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656"/>
        <w:gridCol w:w="2520"/>
        <w:gridCol w:w="2736"/>
      </w:tblGrid>
      <w:tr w:rsidR="00FD74B1" w14:paraId="053190EE" w14:textId="77777777">
        <w:trPr>
          <w:jc w:val="center"/>
        </w:trPr>
        <w:tc>
          <w:tcPr>
            <w:tcW w:w="2880" w:type="dxa"/>
            <w:shd w:val="clear" w:color="auto" w:fill="21483F"/>
            <w:vAlign w:val="center"/>
          </w:tcPr>
          <w:p w14:paraId="4B8717AE" w14:textId="77777777" w:rsidR="00FD74B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Chart</w:t>
            </w:r>
          </w:p>
        </w:tc>
        <w:tc>
          <w:tcPr>
            <w:tcW w:w="1656" w:type="dxa"/>
            <w:shd w:val="clear" w:color="auto" w:fill="21483F"/>
            <w:vAlign w:val="center"/>
          </w:tcPr>
          <w:p w14:paraId="18A45B9C" w14:textId="77777777" w:rsidR="00FD74B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Visual type</w:t>
            </w:r>
          </w:p>
        </w:tc>
        <w:tc>
          <w:tcPr>
            <w:tcW w:w="2520" w:type="dxa"/>
            <w:shd w:val="clear" w:color="auto" w:fill="21483F"/>
            <w:vAlign w:val="center"/>
          </w:tcPr>
          <w:p w14:paraId="745B2AA3" w14:textId="77777777" w:rsidR="00FD74B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Fields / comparison</w:t>
            </w:r>
          </w:p>
        </w:tc>
        <w:tc>
          <w:tcPr>
            <w:tcW w:w="2736" w:type="dxa"/>
            <w:shd w:val="clear" w:color="auto" w:fill="21483F"/>
            <w:vAlign w:val="center"/>
          </w:tcPr>
          <w:p w14:paraId="687FAD8B" w14:textId="77777777" w:rsidR="00FD74B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FD74B1" w14:paraId="112EDBA6" w14:textId="77777777">
        <w:trPr>
          <w:jc w:val="center"/>
        </w:trPr>
        <w:tc>
          <w:tcPr>
            <w:tcW w:w="2880" w:type="dxa"/>
            <w:shd w:val="clear" w:color="auto" w:fill="F7F3E9"/>
            <w:vAlign w:val="center"/>
          </w:tcPr>
          <w:p w14:paraId="5991AF5C" w14:textId="77777777" w:rsidR="00FD74B1" w:rsidRDefault="00000000">
            <w:pPr>
              <w:spacing w:after="20"/>
            </w:pPr>
            <w:r>
              <w:rPr>
                <w:b/>
                <w:sz w:val="16"/>
              </w:rPr>
              <w:t>Product by Quantity Sold</w:t>
            </w:r>
          </w:p>
        </w:tc>
        <w:tc>
          <w:tcPr>
            <w:tcW w:w="1656" w:type="dxa"/>
            <w:shd w:val="clear" w:color="auto" w:fill="F7F3E9"/>
            <w:vAlign w:val="center"/>
          </w:tcPr>
          <w:p w14:paraId="45013F67" w14:textId="77777777" w:rsidR="00FD74B1" w:rsidRDefault="00000000">
            <w:pPr>
              <w:spacing w:after="20"/>
            </w:pPr>
            <w:r>
              <w:rPr>
                <w:sz w:val="16"/>
              </w:rPr>
              <w:t>Horizontal bar chart</w:t>
            </w:r>
          </w:p>
        </w:tc>
        <w:tc>
          <w:tcPr>
            <w:tcW w:w="2520" w:type="dxa"/>
            <w:shd w:val="clear" w:color="auto" w:fill="F7F3E9"/>
            <w:vAlign w:val="center"/>
          </w:tcPr>
          <w:p w14:paraId="5BEA2A3C" w14:textId="77777777" w:rsidR="00FD74B1" w:rsidRDefault="00000000">
            <w:pPr>
              <w:spacing w:after="20"/>
            </w:pPr>
            <w:r>
              <w:rPr>
                <w:sz w:val="16"/>
              </w:rPr>
              <w:t>Product name and quantity sold</w:t>
            </w:r>
          </w:p>
        </w:tc>
        <w:tc>
          <w:tcPr>
            <w:tcW w:w="2736" w:type="dxa"/>
            <w:shd w:val="clear" w:color="auto" w:fill="F7F3E9"/>
            <w:vAlign w:val="center"/>
          </w:tcPr>
          <w:p w14:paraId="41631524" w14:textId="77777777" w:rsidR="00FD74B1" w:rsidRDefault="00000000">
            <w:pPr>
              <w:spacing w:after="20"/>
            </w:pPr>
            <w:r>
              <w:rPr>
                <w:sz w:val="16"/>
              </w:rPr>
              <w:t>Ranks products by unit volume and highlights the products with the strongest demand.</w:t>
            </w:r>
          </w:p>
        </w:tc>
      </w:tr>
      <w:tr w:rsidR="00FD74B1" w14:paraId="7026EFE5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DAD336A" w14:textId="77777777" w:rsidR="00FD74B1" w:rsidRDefault="00000000">
            <w:pPr>
              <w:spacing w:after="20"/>
            </w:pPr>
            <w:r>
              <w:rPr>
                <w:b/>
                <w:sz w:val="16"/>
              </w:rPr>
              <w:t>Products by Revenue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089A479F" w14:textId="77777777" w:rsidR="00FD74B1" w:rsidRDefault="00000000">
            <w:pPr>
              <w:spacing w:after="20"/>
            </w:pPr>
            <w:r>
              <w:rPr>
                <w:sz w:val="16"/>
              </w:rPr>
              <w:t>Treemap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1BA57A2" w14:textId="77777777" w:rsidR="00FD74B1" w:rsidRDefault="00000000">
            <w:pPr>
              <w:spacing w:after="20"/>
            </w:pPr>
            <w:r>
              <w:rPr>
                <w:sz w:val="16"/>
              </w:rPr>
              <w:t>Product name and product revenue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04C0B686" w14:textId="77777777" w:rsidR="00FD74B1" w:rsidRDefault="00000000">
            <w:pPr>
              <w:spacing w:after="20"/>
            </w:pPr>
            <w:r>
              <w:rPr>
                <w:sz w:val="16"/>
              </w:rPr>
              <w:t>Compares each product’s share of total revenue; larger rectangles represent larger revenue contributions.</w:t>
            </w:r>
          </w:p>
        </w:tc>
      </w:tr>
      <w:tr w:rsidR="00FD74B1" w14:paraId="1D8261E0" w14:textId="77777777">
        <w:trPr>
          <w:jc w:val="center"/>
        </w:trPr>
        <w:tc>
          <w:tcPr>
            <w:tcW w:w="2880" w:type="dxa"/>
            <w:shd w:val="clear" w:color="auto" w:fill="F7F3E9"/>
            <w:vAlign w:val="center"/>
          </w:tcPr>
          <w:p w14:paraId="20CE0D65" w14:textId="77777777" w:rsidR="00FD74B1" w:rsidRDefault="00000000">
            <w:pPr>
              <w:spacing w:after="20"/>
            </w:pPr>
            <w:r>
              <w:rPr>
                <w:b/>
                <w:sz w:val="16"/>
              </w:rPr>
              <w:t>Top 5 Countries by Product Revenue</w:t>
            </w:r>
          </w:p>
        </w:tc>
        <w:tc>
          <w:tcPr>
            <w:tcW w:w="1656" w:type="dxa"/>
            <w:shd w:val="clear" w:color="auto" w:fill="F7F3E9"/>
            <w:vAlign w:val="center"/>
          </w:tcPr>
          <w:p w14:paraId="1BE49012" w14:textId="77777777" w:rsidR="00FD74B1" w:rsidRDefault="00000000">
            <w:pPr>
              <w:spacing w:after="20"/>
            </w:pPr>
            <w:r>
              <w:rPr>
                <w:sz w:val="16"/>
              </w:rPr>
              <w:t>Matrix/table</w:t>
            </w:r>
          </w:p>
        </w:tc>
        <w:tc>
          <w:tcPr>
            <w:tcW w:w="2520" w:type="dxa"/>
            <w:shd w:val="clear" w:color="auto" w:fill="F7F3E9"/>
            <w:vAlign w:val="center"/>
          </w:tcPr>
          <w:p w14:paraId="2A77B4BE" w14:textId="77777777" w:rsidR="00FD74B1" w:rsidRDefault="00000000">
            <w:pPr>
              <w:spacing w:after="20"/>
            </w:pPr>
            <w:r>
              <w:rPr>
                <w:sz w:val="16"/>
              </w:rPr>
              <w:t>Product, country and total revenue</w:t>
            </w:r>
          </w:p>
        </w:tc>
        <w:tc>
          <w:tcPr>
            <w:tcW w:w="2736" w:type="dxa"/>
            <w:shd w:val="clear" w:color="auto" w:fill="F7F3E9"/>
            <w:vAlign w:val="center"/>
          </w:tcPr>
          <w:p w14:paraId="4D5DAB53" w14:textId="77777777" w:rsidR="00FD74B1" w:rsidRDefault="00000000">
            <w:pPr>
              <w:spacing w:after="20"/>
            </w:pPr>
            <w:r>
              <w:rPr>
                <w:sz w:val="16"/>
              </w:rPr>
              <w:t>Compares product revenue across the leading countries and shows which markets contribute most to sales.</w:t>
            </w:r>
          </w:p>
        </w:tc>
      </w:tr>
      <w:tr w:rsidR="00FD74B1" w14:paraId="70E2DC0A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DF1963C" w14:textId="77777777" w:rsidR="00FD74B1" w:rsidRDefault="00000000">
            <w:pPr>
              <w:spacing w:after="20"/>
            </w:pPr>
            <w:r>
              <w:rPr>
                <w:b/>
                <w:sz w:val="16"/>
              </w:rPr>
              <w:t>Product Performance Across Top 10 Indian States by Quantity Sold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281D36B1" w14:textId="77777777" w:rsidR="00FD74B1" w:rsidRDefault="00000000">
            <w:pPr>
              <w:spacing w:after="20"/>
            </w:pPr>
            <w:r>
              <w:rPr>
                <w:sz w:val="16"/>
              </w:rPr>
              <w:t>Matrix/table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03C7F54D" w14:textId="77777777" w:rsidR="00FD74B1" w:rsidRDefault="00000000">
            <w:pPr>
              <w:spacing w:after="20"/>
            </w:pPr>
            <w:r>
              <w:rPr>
                <w:sz w:val="16"/>
              </w:rPr>
              <w:t>Product, Indian state and quantity sold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291A4C03" w14:textId="77777777" w:rsidR="00FD74B1" w:rsidRDefault="00000000">
            <w:pPr>
              <w:spacing w:after="20"/>
            </w:pPr>
            <w:r>
              <w:rPr>
                <w:sz w:val="16"/>
              </w:rPr>
              <w:t>Compares product quantities across Indian states and identifies strong regional product demand.</w:t>
            </w:r>
          </w:p>
        </w:tc>
      </w:tr>
      <w:tr w:rsidR="00FD74B1" w14:paraId="24240DD7" w14:textId="77777777">
        <w:trPr>
          <w:jc w:val="center"/>
        </w:trPr>
        <w:tc>
          <w:tcPr>
            <w:tcW w:w="2880" w:type="dxa"/>
            <w:shd w:val="clear" w:color="auto" w:fill="F7F3E9"/>
            <w:vAlign w:val="center"/>
          </w:tcPr>
          <w:p w14:paraId="4A205A60" w14:textId="77777777" w:rsidR="00FD74B1" w:rsidRDefault="00000000">
            <w:pPr>
              <w:spacing w:after="20"/>
            </w:pPr>
            <w:r>
              <w:rPr>
                <w:b/>
                <w:sz w:val="16"/>
              </w:rPr>
              <w:t>Monthly Units Sold and Revenue Trend</w:t>
            </w:r>
          </w:p>
        </w:tc>
        <w:tc>
          <w:tcPr>
            <w:tcW w:w="1656" w:type="dxa"/>
            <w:shd w:val="clear" w:color="auto" w:fill="F7F3E9"/>
            <w:vAlign w:val="center"/>
          </w:tcPr>
          <w:p w14:paraId="563800B2" w14:textId="77777777" w:rsidR="00FD74B1" w:rsidRDefault="00000000">
            <w:pPr>
              <w:spacing w:after="20"/>
            </w:pPr>
            <w:r>
              <w:rPr>
                <w:sz w:val="16"/>
              </w:rPr>
              <w:t>Combo chart</w:t>
            </w:r>
          </w:p>
        </w:tc>
        <w:tc>
          <w:tcPr>
            <w:tcW w:w="2520" w:type="dxa"/>
            <w:shd w:val="clear" w:color="auto" w:fill="F7F3E9"/>
            <w:vAlign w:val="center"/>
          </w:tcPr>
          <w:p w14:paraId="3D7F951D" w14:textId="77777777" w:rsidR="00FD74B1" w:rsidRDefault="00000000">
            <w:pPr>
              <w:spacing w:after="20"/>
            </w:pPr>
            <w:r>
              <w:rPr>
                <w:sz w:val="16"/>
              </w:rPr>
              <w:t>Month, total quantity sold and total product revenue</w:t>
            </w:r>
          </w:p>
        </w:tc>
        <w:tc>
          <w:tcPr>
            <w:tcW w:w="2736" w:type="dxa"/>
            <w:shd w:val="clear" w:color="auto" w:fill="F7F3E9"/>
            <w:vAlign w:val="center"/>
          </w:tcPr>
          <w:p w14:paraId="62885B51" w14:textId="77777777" w:rsidR="00FD74B1" w:rsidRDefault="00000000">
            <w:pPr>
              <w:spacing w:after="20"/>
            </w:pPr>
            <w:r>
              <w:rPr>
                <w:sz w:val="16"/>
              </w:rPr>
              <w:t>Shows monthly sales volume and revenue together to highlight peaks, dips and possible seasonality.</w:t>
            </w:r>
          </w:p>
        </w:tc>
      </w:tr>
    </w:tbl>
    <w:p w14:paraId="1633BBA9" w14:textId="77777777" w:rsidR="00FD74B1" w:rsidRDefault="00000000">
      <w:pPr>
        <w:pStyle w:val="Heading1"/>
      </w:pPr>
      <w:r>
        <w:t>4. Insights by chart</w:t>
      </w:r>
    </w:p>
    <w:p w14:paraId="59B311F8" w14:textId="77777777" w:rsidR="00FD74B1" w:rsidRDefault="00000000">
      <w:pPr>
        <w:pStyle w:val="Heading2"/>
      </w:pPr>
      <w:r>
        <w:t>Product by Quantity Sold</w:t>
      </w:r>
    </w:p>
    <w:p w14:paraId="45C52D30" w14:textId="77777777" w:rsidR="00FD74B1" w:rsidRDefault="00000000">
      <w:pPr>
        <w:pStyle w:val="ListBullet"/>
        <w:spacing w:after="60"/>
      </w:pPr>
      <w:r>
        <w:t>Agnijith 90 gms leads unit sales with 508 units, well ahead of Agnihari 90gms at 252 units.</w:t>
      </w:r>
    </w:p>
    <w:p w14:paraId="386358F7" w14:textId="77777777" w:rsidR="00FD74B1" w:rsidRDefault="00000000">
      <w:pPr>
        <w:pStyle w:val="ListBullet"/>
        <w:spacing w:after="60"/>
      </w:pPr>
      <w:r>
        <w:t>The two leading products together account for 760 units, roughly 70% of the displayed total of 1.08K. This suggests that sales volume is concentrated in a small number of products.</w:t>
      </w:r>
    </w:p>
    <w:p w14:paraId="5658BCFE" w14:textId="77777777" w:rsidR="00FD74B1" w:rsidRDefault="00000000">
      <w:pPr>
        <w:pStyle w:val="Heading2"/>
      </w:pPr>
      <w:r>
        <w:t>Products by Revenue</w:t>
      </w:r>
    </w:p>
    <w:p w14:paraId="25573E22" w14:textId="77777777" w:rsidR="00FD74B1" w:rsidRDefault="00000000">
      <w:pPr>
        <w:pStyle w:val="ListBullet"/>
        <w:spacing w:after="60"/>
      </w:pPr>
      <w:r>
        <w:t>Agnijith 90 gms is the leading revenue-generating product, contributing approximately 1.24M in the displayed revenue units.</w:t>
      </w:r>
    </w:p>
    <w:p w14:paraId="1EF75A5F" w14:textId="77777777" w:rsidR="00FD74B1" w:rsidRDefault="00000000">
      <w:pPr>
        <w:pStyle w:val="ListBullet"/>
        <w:spacing w:after="60"/>
      </w:pPr>
      <w:r>
        <w:t>Its 49.05% revenue contribution means nearly half of product revenue comes from one product. Growing the contribution of other products could reduce dependence on the current leader.</w:t>
      </w:r>
    </w:p>
    <w:p w14:paraId="1252B4F3" w14:textId="77777777" w:rsidR="00FD74B1" w:rsidRDefault="00000000">
      <w:pPr>
        <w:pStyle w:val="Heading2"/>
      </w:pPr>
      <w:r>
        <w:t>Top 5 Countries by Product Revenue</w:t>
      </w:r>
    </w:p>
    <w:p w14:paraId="09F477DE" w14:textId="77777777" w:rsidR="00FD74B1" w:rsidRDefault="00000000">
      <w:pPr>
        <w:pStyle w:val="ListBullet"/>
        <w:spacing w:after="60"/>
      </w:pPr>
      <w:r>
        <w:t>Australia has the highest total product revenue in the table, followed by India.</w:t>
      </w:r>
    </w:p>
    <w:p w14:paraId="02A72BDC" w14:textId="77777777" w:rsidR="00FD74B1" w:rsidRDefault="00000000">
      <w:pPr>
        <w:pStyle w:val="ListBullet"/>
        <w:spacing w:after="60"/>
      </w:pPr>
      <w:r>
        <w:t>Agnijith 90 gms is a prominent revenue contributor in the country comparison, indicating that its performance is important across key markets. Country-level totals should be checked against the report filters before making expansion decisions.</w:t>
      </w:r>
    </w:p>
    <w:p w14:paraId="624A50D7" w14:textId="77777777" w:rsidR="00FD74B1" w:rsidRDefault="00000000">
      <w:pPr>
        <w:pStyle w:val="Heading2"/>
      </w:pPr>
      <w:r>
        <w:t>Product Performance Across Top 10 Indian States by Quantity Sold</w:t>
      </w:r>
    </w:p>
    <w:p w14:paraId="580C319B" w14:textId="77777777" w:rsidR="00FD74B1" w:rsidRDefault="00000000">
      <w:pPr>
        <w:pStyle w:val="ListBullet"/>
        <w:spacing w:after="60"/>
      </w:pPr>
      <w:r>
        <w:t>Kerala leads the displayed state comparison with 355 units sold across the products shown.</w:t>
      </w:r>
    </w:p>
    <w:p w14:paraId="66D7EE8F" w14:textId="77777777" w:rsidR="00FD74B1" w:rsidRDefault="00000000">
      <w:pPr>
        <w:pStyle w:val="ListBullet"/>
        <w:spacing w:after="60"/>
      </w:pPr>
      <w:r>
        <w:t>Agnijith 90 gms has the largest quantity total in the state matrix, at 371 units overall. Regional stock planning can prioritise high-demand products while checking whether product preferences vary by state.</w:t>
      </w:r>
    </w:p>
    <w:p w14:paraId="04E7C955" w14:textId="77777777" w:rsidR="00FD74B1" w:rsidRDefault="00000000">
      <w:pPr>
        <w:pStyle w:val="Heading2"/>
      </w:pPr>
      <w:r>
        <w:lastRenderedPageBreak/>
        <w:t>Monthly Units Sold and Revenue Trend</w:t>
      </w:r>
    </w:p>
    <w:p w14:paraId="4B236C23" w14:textId="77777777" w:rsidR="00FD74B1" w:rsidRDefault="00000000">
      <w:pPr>
        <w:pStyle w:val="ListBullet"/>
        <w:spacing w:after="60"/>
      </w:pPr>
      <w:r>
        <w:t>October 2025 shows a notable revenue peak of approximately 0.21M, suggesting a month worth investigating for promotions, bulk orders or seasonal demand.</w:t>
      </w:r>
    </w:p>
    <w:p w14:paraId="28F865A4" w14:textId="77777777" w:rsidR="00FD74B1" w:rsidRDefault="00000000">
      <w:pPr>
        <w:pStyle w:val="ListBullet"/>
        <w:spacing w:after="60"/>
      </w:pPr>
      <w:r>
        <w:t>July 2026 shows the highest visible monthly quantity at 122 units, with revenue around 0.16M. The highest-volume month and highest-revenue month differ, so product mix and average selling value may affect monthly revenue.</w:t>
      </w:r>
    </w:p>
    <w:p w14:paraId="5C5FFFC5" w14:textId="77777777" w:rsidR="00FD74B1" w:rsidRDefault="00000000">
      <w:pPr>
        <w:pStyle w:val="Heading1"/>
      </w:pPr>
      <w:r>
        <w:t>5. Wider product sales findings</w:t>
      </w:r>
    </w:p>
    <w:p w14:paraId="69E4156F" w14:textId="77777777" w:rsidR="00FD74B1" w:rsidRDefault="00000000">
      <w:pPr>
        <w:pStyle w:val="ListBullet"/>
        <w:spacing w:after="60"/>
      </w:pPr>
      <w:r>
        <w:t>Revenue concentration: Agnijith 90 gms contributes 49.05% of total product revenue, making it the most important product to monitor for availability and sales continuity.</w:t>
      </w:r>
    </w:p>
    <w:p w14:paraId="6E17409A" w14:textId="77777777" w:rsidR="00FD74B1" w:rsidRDefault="00000000">
      <w:pPr>
        <w:pStyle w:val="ListBullet"/>
        <w:spacing w:after="60"/>
      </w:pPr>
      <w:r>
        <w:t>Volume concentration: Agnijith 90 gms and Agnihari 90gms together account for approximately 70% of total units sold. The remaining products may provide opportunities to broaden demand.</w:t>
      </w:r>
    </w:p>
    <w:p w14:paraId="0D1648C3" w14:textId="77777777" w:rsidR="00FD74B1" w:rsidRDefault="00000000">
      <w:pPr>
        <w:pStyle w:val="ListBullet"/>
        <w:spacing w:after="60"/>
      </w:pPr>
      <w:r>
        <w:t>Geographic opportunity: Australia ranks first in the country revenue table, while India is also a major market. Country performance should be interpreted alongside order counts and any unusually large transactions.</w:t>
      </w:r>
    </w:p>
    <w:p w14:paraId="2AF21B36" w14:textId="77777777" w:rsidR="00FD74B1" w:rsidRDefault="00000000">
      <w:pPr>
        <w:pStyle w:val="ListBullet"/>
        <w:spacing w:after="60"/>
      </w:pPr>
      <w:r>
        <w:t>Regional demand: Kerala leads the displayed Indian-state quantity comparison. Product-wise state performance can help guide inventory allocation and targeted marketing.</w:t>
      </w:r>
    </w:p>
    <w:p w14:paraId="250AAD34" w14:textId="77777777" w:rsidR="00FD74B1" w:rsidRDefault="00000000">
      <w:pPr>
        <w:pStyle w:val="ListBullet"/>
        <w:spacing w:after="60"/>
      </w:pPr>
      <w:r>
        <w:t>Monthly fluctuations: Revenue and unit sales peak in different months, so both measures should be reviewed together rather than treating sales volume as a direct proxy for revenue.</w:t>
      </w:r>
    </w:p>
    <w:p w14:paraId="51F978C4" w14:textId="45CCE13C" w:rsidR="00FD74B1" w:rsidRDefault="00BD4F04">
      <w:pPr>
        <w:pStyle w:val="Heading1"/>
      </w:pPr>
      <w:r>
        <w:t>6</w:t>
      </w:r>
      <w:r w:rsidR="00000000">
        <w:t>. Conclusion</w:t>
      </w:r>
    </w:p>
    <w:p w14:paraId="6A9AD3F6" w14:textId="77777777" w:rsidR="00FD74B1" w:rsidRDefault="00000000">
      <w:r>
        <w:t>The dashboard indicates that Agnijith 90 gms is the main driver of both quantity sold and product revenue, while a small group of products accounts for a large share of overall volume. Australia leads the country revenue comparison, and Kerala records the highest quantity in the displayed Indian-state matrix. Monthly patterns show that revenue and quantity do not always peak together. The business can use these findings to protect high-performing products, build sales for the rest of the product range, and target regional markets with decisions informed by both sales volume and revenue.</w:t>
      </w:r>
    </w:p>
    <w:p w14:paraId="50C27FA0" w14:textId="77777777" w:rsidR="00FD74B1" w:rsidRDefault="00000000">
      <w:pPr>
        <w:spacing w:before="200"/>
        <w:jc w:val="center"/>
      </w:pPr>
      <w:r>
        <w:rPr>
          <w:i/>
          <w:color w:val="666666"/>
          <w:sz w:val="16"/>
        </w:rPr>
        <w:t>Prepared from the supplied Jagadha Product Sales Analysis dashboard screenshot.</w:t>
      </w:r>
    </w:p>
    <w:sectPr w:rsidR="00FD74B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190735">
    <w:abstractNumId w:val="8"/>
  </w:num>
  <w:num w:numId="2" w16cid:durableId="1015154931">
    <w:abstractNumId w:val="6"/>
  </w:num>
  <w:num w:numId="3" w16cid:durableId="687490155">
    <w:abstractNumId w:val="5"/>
  </w:num>
  <w:num w:numId="4" w16cid:durableId="949898066">
    <w:abstractNumId w:val="4"/>
  </w:num>
  <w:num w:numId="5" w16cid:durableId="451245303">
    <w:abstractNumId w:val="7"/>
  </w:num>
  <w:num w:numId="6" w16cid:durableId="649602948">
    <w:abstractNumId w:val="3"/>
  </w:num>
  <w:num w:numId="7" w16cid:durableId="1815872842">
    <w:abstractNumId w:val="2"/>
  </w:num>
  <w:num w:numId="8" w16cid:durableId="1264804040">
    <w:abstractNumId w:val="1"/>
  </w:num>
  <w:num w:numId="9" w16cid:durableId="204763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4F04"/>
    <w:rsid w:val="00CB0664"/>
    <w:rsid w:val="00F1237C"/>
    <w:rsid w:val="00FC693F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CF575"/>
  <w14:defaultImageDpi w14:val="300"/>
  <w15:docId w15:val="{E26D5358-BFE5-48DE-87F8-4994751A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32D2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148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148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color w:val="21483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Krishnendhu Sudheer</cp:lastModifiedBy>
  <cp:revision>2</cp:revision>
  <dcterms:created xsi:type="dcterms:W3CDTF">2013-12-23T23:15:00Z</dcterms:created>
  <dcterms:modified xsi:type="dcterms:W3CDTF">2026-10-27T16:32:00Z</dcterms:modified>
  <cp:category/>
</cp:coreProperties>
</file>