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8013F" w14:textId="77777777" w:rsidR="00900D71" w:rsidRDefault="00000000">
      <w:pPr>
        <w:jc w:val="center"/>
        <w:rPr>
          <w:rFonts w:hint="eastAsia"/>
        </w:rPr>
      </w:pPr>
      <w:r>
        <w:rPr>
          <w:rFonts w:ascii="Georgia" w:hAnsi="Georgia"/>
          <w:b/>
          <w:color w:val="174F43"/>
          <w:sz w:val="22"/>
        </w:rPr>
        <w:t>JAGADHA BY PADANJALI</w:t>
      </w:r>
    </w:p>
    <w:p w14:paraId="29B4CD31" w14:textId="77777777" w:rsidR="00900D71" w:rsidRDefault="00000000">
      <w:pPr>
        <w:pStyle w:val="Title"/>
        <w:jc w:val="center"/>
      </w:pPr>
      <w:r>
        <w:t>Jagadha Customer Sales Analysis</w:t>
      </w:r>
      <w:r>
        <w:br/>
        <w:t>Dashboard Report</w:t>
      </w:r>
    </w:p>
    <w:p w14:paraId="1BD0411E" w14:textId="77777777" w:rsidR="00900D71" w:rsidRDefault="00000000">
      <w:pPr>
        <w:rPr>
          <w:rFonts w:hint="eastAsia"/>
        </w:rPr>
      </w:pPr>
      <w:r>
        <w:rPr>
          <w:noProof/>
        </w:rPr>
        <w:drawing>
          <wp:inline distT="0" distB="0" distL="0" distR="0" wp14:anchorId="08000571" wp14:editId="03DD648B">
            <wp:extent cx="6217920" cy="551158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6217920" cy="5511581"/>
                    </a:xfrm>
                    <a:prstGeom prst="rect">
                      <a:avLst/>
                    </a:prstGeom>
                  </pic:spPr>
                </pic:pic>
              </a:graphicData>
            </a:graphic>
          </wp:inline>
        </w:drawing>
      </w:r>
    </w:p>
    <w:p w14:paraId="15FE0841" w14:textId="77777777" w:rsidR="00900D71" w:rsidRDefault="00900D71">
      <w:pPr>
        <w:rPr>
          <w:rFonts w:hint="eastAsia"/>
        </w:rPr>
      </w:pPr>
    </w:p>
    <w:p w14:paraId="4236D35F" w14:textId="77777777" w:rsidR="00900D71" w:rsidRDefault="00000000">
      <w:pPr>
        <w:rPr>
          <w:rFonts w:hint="eastAsia"/>
        </w:rPr>
      </w:pPr>
      <w:r>
        <w:br w:type="page"/>
      </w:r>
    </w:p>
    <w:p w14:paraId="4C57B03D" w14:textId="77777777" w:rsidR="00900D71" w:rsidRDefault="00000000">
      <w:pPr>
        <w:pStyle w:val="Heading1"/>
      </w:pPr>
      <w:r>
        <w:lastRenderedPageBreak/>
        <w:t>1. Overview</w:t>
      </w:r>
    </w:p>
    <w:p w14:paraId="5B10EDFF" w14:textId="77777777" w:rsidR="00900D71" w:rsidRDefault="00000000">
      <w:pPr>
        <w:rPr>
          <w:rFonts w:hint="eastAsia"/>
        </w:rPr>
      </w:pPr>
      <w:r>
        <w:t>The Jagadha Customer Sales Analysis dashboard focuses on customer type and purchasing behaviour. It compares guest and registered customers, tracks monthly order activity, highlights customer distribution by billing state, identifies the contribution of high-value registered customers, and shows product and city-level patterns within the registered-customer segment.</w:t>
      </w:r>
    </w:p>
    <w:p w14:paraId="338747AC" w14:textId="77777777" w:rsidR="00900D71" w:rsidRDefault="00000000">
      <w:pPr>
        <w:rPr>
          <w:rFonts w:hint="eastAsia"/>
        </w:rPr>
      </w:pPr>
      <w:r>
        <w:t>The dashboard contains five KPI cards and five major analytical visuals. The main customer-level story is that guest checkout contributes a substantial share of orders, while registered customers provide an important share of revenue. The dashboard also shows that registered-customer activity is concentrated in selected cities and that a relatively small group of top customers accounts for a large proportion of registered-customer revenue.</w:t>
      </w:r>
    </w:p>
    <w:p w14:paraId="67D56ADF" w14:textId="77777777" w:rsidR="00900D71" w:rsidRDefault="00000000">
      <w:pPr>
        <w:pStyle w:val="Heading1"/>
      </w:pPr>
      <w:r>
        <w:t>2. KPI cards</w:t>
      </w:r>
    </w:p>
    <w:tbl>
      <w:tblPr>
        <w:tblStyle w:val="TableGrid"/>
        <w:tblW w:w="0" w:type="auto"/>
        <w:jc w:val="center"/>
        <w:tblLook w:val="04A0" w:firstRow="1" w:lastRow="0" w:firstColumn="1" w:lastColumn="0" w:noHBand="0" w:noVBand="1"/>
      </w:tblPr>
      <w:tblGrid>
        <w:gridCol w:w="3408"/>
        <w:gridCol w:w="3408"/>
        <w:gridCol w:w="3408"/>
      </w:tblGrid>
      <w:tr w:rsidR="00900D71" w14:paraId="77DA51BE" w14:textId="77777777">
        <w:trPr>
          <w:jc w:val="center"/>
        </w:trPr>
        <w:tc>
          <w:tcPr>
            <w:tcW w:w="3408" w:type="dxa"/>
            <w:shd w:val="clear" w:color="auto" w:fill="174F43"/>
            <w:vAlign w:val="center"/>
          </w:tcPr>
          <w:p w14:paraId="0171E19B" w14:textId="77777777" w:rsidR="00900D71" w:rsidRDefault="00000000">
            <w:pPr>
              <w:rPr>
                <w:rFonts w:hint="eastAsia"/>
              </w:rPr>
            </w:pPr>
            <w:r>
              <w:rPr>
                <w:b/>
                <w:color w:val="FFFFFF"/>
                <w:sz w:val="18"/>
              </w:rPr>
              <w:t>KPI</w:t>
            </w:r>
          </w:p>
        </w:tc>
        <w:tc>
          <w:tcPr>
            <w:tcW w:w="3408" w:type="dxa"/>
            <w:shd w:val="clear" w:color="auto" w:fill="174F43"/>
            <w:vAlign w:val="center"/>
          </w:tcPr>
          <w:p w14:paraId="08E89CB4" w14:textId="77777777" w:rsidR="00900D71" w:rsidRDefault="00000000">
            <w:pPr>
              <w:rPr>
                <w:rFonts w:hint="eastAsia"/>
              </w:rPr>
            </w:pPr>
            <w:r>
              <w:rPr>
                <w:b/>
                <w:color w:val="FFFFFF"/>
                <w:sz w:val="18"/>
              </w:rPr>
              <w:t>Value</w:t>
            </w:r>
          </w:p>
        </w:tc>
        <w:tc>
          <w:tcPr>
            <w:tcW w:w="3408" w:type="dxa"/>
            <w:shd w:val="clear" w:color="auto" w:fill="174F43"/>
            <w:vAlign w:val="center"/>
          </w:tcPr>
          <w:p w14:paraId="5ED04B01" w14:textId="77777777" w:rsidR="00900D71" w:rsidRDefault="00000000">
            <w:pPr>
              <w:rPr>
                <w:rFonts w:hint="eastAsia"/>
              </w:rPr>
            </w:pPr>
            <w:r>
              <w:rPr>
                <w:b/>
                <w:color w:val="FFFFFF"/>
                <w:sz w:val="18"/>
              </w:rPr>
              <w:t>Meaning</w:t>
            </w:r>
          </w:p>
        </w:tc>
      </w:tr>
      <w:tr w:rsidR="00900D71" w14:paraId="53963414" w14:textId="77777777">
        <w:trPr>
          <w:jc w:val="center"/>
        </w:trPr>
        <w:tc>
          <w:tcPr>
            <w:tcW w:w="3408" w:type="dxa"/>
            <w:vAlign w:val="center"/>
          </w:tcPr>
          <w:p w14:paraId="0D7EEF98" w14:textId="77777777" w:rsidR="00900D71" w:rsidRDefault="00000000">
            <w:pPr>
              <w:rPr>
                <w:rFonts w:hint="eastAsia"/>
              </w:rPr>
            </w:pPr>
            <w:r>
              <w:rPr>
                <w:color w:val="000000"/>
                <w:sz w:val="18"/>
              </w:rPr>
              <w:t>Guest Orders</w:t>
            </w:r>
          </w:p>
        </w:tc>
        <w:tc>
          <w:tcPr>
            <w:tcW w:w="3408" w:type="dxa"/>
            <w:shd w:val="clear" w:color="auto" w:fill="F4E8C7"/>
            <w:vAlign w:val="center"/>
          </w:tcPr>
          <w:p w14:paraId="59BA6093" w14:textId="77777777" w:rsidR="00900D71" w:rsidRDefault="00000000">
            <w:pPr>
              <w:rPr>
                <w:rFonts w:hint="eastAsia"/>
              </w:rPr>
            </w:pPr>
            <w:r>
              <w:rPr>
                <w:b/>
                <w:color w:val="000000"/>
                <w:sz w:val="18"/>
              </w:rPr>
              <w:t>340</w:t>
            </w:r>
          </w:p>
        </w:tc>
        <w:tc>
          <w:tcPr>
            <w:tcW w:w="3408" w:type="dxa"/>
            <w:vAlign w:val="center"/>
          </w:tcPr>
          <w:p w14:paraId="5E17D6BF" w14:textId="77777777" w:rsidR="00900D71" w:rsidRDefault="00000000">
            <w:pPr>
              <w:rPr>
                <w:rFonts w:hint="eastAsia"/>
              </w:rPr>
            </w:pPr>
            <w:r>
              <w:rPr>
                <w:color w:val="000000"/>
                <w:sz w:val="18"/>
              </w:rPr>
              <w:t>Number of orders attributed to guest checkout.</w:t>
            </w:r>
          </w:p>
        </w:tc>
      </w:tr>
      <w:tr w:rsidR="00900D71" w14:paraId="2C0C658E" w14:textId="77777777">
        <w:trPr>
          <w:jc w:val="center"/>
        </w:trPr>
        <w:tc>
          <w:tcPr>
            <w:tcW w:w="3408" w:type="dxa"/>
            <w:vAlign w:val="center"/>
          </w:tcPr>
          <w:p w14:paraId="4458C32D" w14:textId="77777777" w:rsidR="00900D71" w:rsidRDefault="00000000">
            <w:pPr>
              <w:rPr>
                <w:rFonts w:hint="eastAsia"/>
              </w:rPr>
            </w:pPr>
            <w:r>
              <w:rPr>
                <w:color w:val="000000"/>
                <w:sz w:val="18"/>
              </w:rPr>
              <w:t>Registered Customers</w:t>
            </w:r>
          </w:p>
        </w:tc>
        <w:tc>
          <w:tcPr>
            <w:tcW w:w="3408" w:type="dxa"/>
            <w:shd w:val="clear" w:color="auto" w:fill="F4E8C7"/>
            <w:vAlign w:val="center"/>
          </w:tcPr>
          <w:p w14:paraId="1C445C02" w14:textId="77777777" w:rsidR="00900D71" w:rsidRDefault="00000000">
            <w:pPr>
              <w:rPr>
                <w:rFonts w:hint="eastAsia"/>
              </w:rPr>
            </w:pPr>
            <w:r>
              <w:rPr>
                <w:b/>
                <w:color w:val="000000"/>
                <w:sz w:val="18"/>
              </w:rPr>
              <w:t>323</w:t>
            </w:r>
          </w:p>
        </w:tc>
        <w:tc>
          <w:tcPr>
            <w:tcW w:w="3408" w:type="dxa"/>
            <w:vAlign w:val="center"/>
          </w:tcPr>
          <w:p w14:paraId="058A7738" w14:textId="77777777" w:rsidR="00900D71" w:rsidRDefault="00000000">
            <w:pPr>
              <w:rPr>
                <w:rFonts w:hint="eastAsia"/>
              </w:rPr>
            </w:pPr>
            <w:r>
              <w:rPr>
                <w:color w:val="000000"/>
                <w:sz w:val="18"/>
              </w:rPr>
              <w:t>Number of identified registered customers.</w:t>
            </w:r>
          </w:p>
        </w:tc>
      </w:tr>
      <w:tr w:rsidR="00900D71" w14:paraId="780B9C42" w14:textId="77777777">
        <w:trPr>
          <w:jc w:val="center"/>
        </w:trPr>
        <w:tc>
          <w:tcPr>
            <w:tcW w:w="3408" w:type="dxa"/>
            <w:vAlign w:val="center"/>
          </w:tcPr>
          <w:p w14:paraId="72A0B3A0" w14:textId="77777777" w:rsidR="00900D71" w:rsidRDefault="00000000">
            <w:pPr>
              <w:rPr>
                <w:rFonts w:hint="eastAsia"/>
              </w:rPr>
            </w:pPr>
            <w:r>
              <w:rPr>
                <w:color w:val="000000"/>
                <w:sz w:val="18"/>
              </w:rPr>
              <w:t>Repeated Registered Customers</w:t>
            </w:r>
          </w:p>
        </w:tc>
        <w:tc>
          <w:tcPr>
            <w:tcW w:w="3408" w:type="dxa"/>
            <w:shd w:val="clear" w:color="auto" w:fill="F4E8C7"/>
            <w:vAlign w:val="center"/>
          </w:tcPr>
          <w:p w14:paraId="1A18066D" w14:textId="77777777" w:rsidR="00900D71" w:rsidRDefault="00000000">
            <w:pPr>
              <w:rPr>
                <w:rFonts w:hint="eastAsia"/>
              </w:rPr>
            </w:pPr>
            <w:r>
              <w:rPr>
                <w:b/>
                <w:color w:val="000000"/>
                <w:sz w:val="18"/>
              </w:rPr>
              <w:t>6.50%</w:t>
            </w:r>
          </w:p>
        </w:tc>
        <w:tc>
          <w:tcPr>
            <w:tcW w:w="3408" w:type="dxa"/>
            <w:vAlign w:val="center"/>
          </w:tcPr>
          <w:p w14:paraId="26BB3C78" w14:textId="77777777" w:rsidR="00900D71" w:rsidRDefault="00000000">
            <w:pPr>
              <w:rPr>
                <w:rFonts w:hint="eastAsia"/>
              </w:rPr>
            </w:pPr>
            <w:r>
              <w:rPr>
                <w:color w:val="000000"/>
                <w:sz w:val="18"/>
              </w:rPr>
              <w:t>Share of registered customers who placed more than one order.</w:t>
            </w:r>
          </w:p>
        </w:tc>
      </w:tr>
      <w:tr w:rsidR="00900D71" w14:paraId="4216009F" w14:textId="77777777">
        <w:trPr>
          <w:jc w:val="center"/>
        </w:trPr>
        <w:tc>
          <w:tcPr>
            <w:tcW w:w="3408" w:type="dxa"/>
            <w:vAlign w:val="center"/>
          </w:tcPr>
          <w:p w14:paraId="707699EB" w14:textId="77777777" w:rsidR="00900D71" w:rsidRDefault="00000000">
            <w:pPr>
              <w:rPr>
                <w:rFonts w:hint="eastAsia"/>
              </w:rPr>
            </w:pPr>
            <w:r>
              <w:rPr>
                <w:color w:val="000000"/>
                <w:sz w:val="18"/>
              </w:rPr>
              <w:t>Peak Order Month</w:t>
            </w:r>
          </w:p>
        </w:tc>
        <w:tc>
          <w:tcPr>
            <w:tcW w:w="3408" w:type="dxa"/>
            <w:shd w:val="clear" w:color="auto" w:fill="F4E8C7"/>
            <w:vAlign w:val="center"/>
          </w:tcPr>
          <w:p w14:paraId="10FBB5A6" w14:textId="77777777" w:rsidR="00900D71" w:rsidRDefault="00000000">
            <w:pPr>
              <w:rPr>
                <w:rFonts w:hint="eastAsia"/>
              </w:rPr>
            </w:pPr>
            <w:r>
              <w:rPr>
                <w:b/>
                <w:color w:val="000000"/>
                <w:sz w:val="18"/>
              </w:rPr>
              <w:t>2026-05</w:t>
            </w:r>
          </w:p>
        </w:tc>
        <w:tc>
          <w:tcPr>
            <w:tcW w:w="3408" w:type="dxa"/>
            <w:vAlign w:val="center"/>
          </w:tcPr>
          <w:p w14:paraId="23745CBA" w14:textId="77777777" w:rsidR="00900D71" w:rsidRDefault="00000000">
            <w:pPr>
              <w:rPr>
                <w:rFonts w:hint="eastAsia"/>
              </w:rPr>
            </w:pPr>
            <w:r>
              <w:rPr>
                <w:color w:val="000000"/>
                <w:sz w:val="18"/>
              </w:rPr>
              <w:t>Month with the highest order volume in the dashboard.</w:t>
            </w:r>
          </w:p>
        </w:tc>
      </w:tr>
      <w:tr w:rsidR="00900D71" w14:paraId="0099063F" w14:textId="77777777">
        <w:trPr>
          <w:jc w:val="center"/>
        </w:trPr>
        <w:tc>
          <w:tcPr>
            <w:tcW w:w="3408" w:type="dxa"/>
            <w:vAlign w:val="center"/>
          </w:tcPr>
          <w:p w14:paraId="61229E50" w14:textId="77777777" w:rsidR="00900D71" w:rsidRDefault="00000000">
            <w:pPr>
              <w:rPr>
                <w:rFonts w:hint="eastAsia"/>
              </w:rPr>
            </w:pPr>
            <w:r>
              <w:rPr>
                <w:color w:val="000000"/>
                <w:sz w:val="18"/>
              </w:rPr>
              <w:t>Peak Month Orders</w:t>
            </w:r>
          </w:p>
        </w:tc>
        <w:tc>
          <w:tcPr>
            <w:tcW w:w="3408" w:type="dxa"/>
            <w:shd w:val="clear" w:color="auto" w:fill="F4E8C7"/>
            <w:vAlign w:val="center"/>
          </w:tcPr>
          <w:p w14:paraId="08205901" w14:textId="77777777" w:rsidR="00900D71" w:rsidRDefault="00000000">
            <w:pPr>
              <w:rPr>
                <w:rFonts w:hint="eastAsia"/>
              </w:rPr>
            </w:pPr>
            <w:r>
              <w:rPr>
                <w:b/>
                <w:color w:val="000000"/>
                <w:sz w:val="18"/>
              </w:rPr>
              <w:t>83</w:t>
            </w:r>
          </w:p>
        </w:tc>
        <w:tc>
          <w:tcPr>
            <w:tcW w:w="3408" w:type="dxa"/>
            <w:vAlign w:val="center"/>
          </w:tcPr>
          <w:p w14:paraId="5C032B17" w14:textId="77777777" w:rsidR="00900D71" w:rsidRDefault="00000000">
            <w:pPr>
              <w:rPr>
                <w:rFonts w:hint="eastAsia"/>
              </w:rPr>
            </w:pPr>
            <w:r>
              <w:rPr>
                <w:color w:val="000000"/>
                <w:sz w:val="18"/>
              </w:rPr>
              <w:t>Total orders recorded in the peak month.</w:t>
            </w:r>
          </w:p>
        </w:tc>
      </w:tr>
    </w:tbl>
    <w:p w14:paraId="09916027" w14:textId="77777777" w:rsidR="00900D71" w:rsidRDefault="00900D71">
      <w:pPr>
        <w:rPr>
          <w:rFonts w:hint="eastAsia"/>
        </w:rPr>
      </w:pPr>
    </w:p>
    <w:p w14:paraId="2D9660E0" w14:textId="77777777" w:rsidR="00900D71" w:rsidRDefault="00000000">
      <w:pPr>
        <w:pStyle w:val="Heading1"/>
      </w:pPr>
      <w:r>
        <w:t>3. Charts explained</w:t>
      </w:r>
    </w:p>
    <w:tbl>
      <w:tblPr>
        <w:tblStyle w:val="TableGrid"/>
        <w:tblW w:w="0" w:type="auto"/>
        <w:jc w:val="center"/>
        <w:tblLook w:val="04A0" w:firstRow="1" w:lastRow="0" w:firstColumn="1" w:lastColumn="0" w:noHBand="0" w:noVBand="1"/>
      </w:tblPr>
      <w:tblGrid>
        <w:gridCol w:w="2556"/>
        <w:gridCol w:w="2556"/>
        <w:gridCol w:w="2556"/>
        <w:gridCol w:w="2556"/>
      </w:tblGrid>
      <w:tr w:rsidR="00900D71" w14:paraId="7C1CA05D" w14:textId="77777777">
        <w:trPr>
          <w:jc w:val="center"/>
        </w:trPr>
        <w:tc>
          <w:tcPr>
            <w:tcW w:w="2556" w:type="dxa"/>
            <w:shd w:val="clear" w:color="auto" w:fill="174F43"/>
            <w:vAlign w:val="center"/>
          </w:tcPr>
          <w:p w14:paraId="7D0F41BB" w14:textId="77777777" w:rsidR="00900D71" w:rsidRDefault="00000000">
            <w:pPr>
              <w:rPr>
                <w:rFonts w:hint="eastAsia"/>
              </w:rPr>
            </w:pPr>
            <w:r>
              <w:rPr>
                <w:b/>
                <w:color w:val="FFFFFF"/>
                <w:sz w:val="17"/>
              </w:rPr>
              <w:t>Chart</w:t>
            </w:r>
          </w:p>
        </w:tc>
        <w:tc>
          <w:tcPr>
            <w:tcW w:w="2556" w:type="dxa"/>
            <w:shd w:val="clear" w:color="auto" w:fill="174F43"/>
            <w:vAlign w:val="center"/>
          </w:tcPr>
          <w:p w14:paraId="4D59AF03" w14:textId="77777777" w:rsidR="00900D71" w:rsidRDefault="00000000">
            <w:pPr>
              <w:rPr>
                <w:rFonts w:hint="eastAsia"/>
              </w:rPr>
            </w:pPr>
            <w:r>
              <w:rPr>
                <w:b/>
                <w:color w:val="FFFFFF"/>
                <w:sz w:val="17"/>
              </w:rPr>
              <w:t>Visual type</w:t>
            </w:r>
          </w:p>
        </w:tc>
        <w:tc>
          <w:tcPr>
            <w:tcW w:w="2556" w:type="dxa"/>
            <w:shd w:val="clear" w:color="auto" w:fill="174F43"/>
            <w:vAlign w:val="center"/>
          </w:tcPr>
          <w:p w14:paraId="049BE2EE" w14:textId="77777777" w:rsidR="00900D71" w:rsidRDefault="00000000">
            <w:pPr>
              <w:rPr>
                <w:rFonts w:hint="eastAsia"/>
              </w:rPr>
            </w:pPr>
            <w:r>
              <w:rPr>
                <w:b/>
                <w:color w:val="FFFFFF"/>
                <w:sz w:val="17"/>
              </w:rPr>
              <w:t>Fields / configuration</w:t>
            </w:r>
          </w:p>
        </w:tc>
        <w:tc>
          <w:tcPr>
            <w:tcW w:w="2556" w:type="dxa"/>
            <w:shd w:val="clear" w:color="auto" w:fill="174F43"/>
            <w:vAlign w:val="center"/>
          </w:tcPr>
          <w:p w14:paraId="6B5D79F5" w14:textId="77777777" w:rsidR="00900D71" w:rsidRDefault="00000000">
            <w:pPr>
              <w:rPr>
                <w:rFonts w:hint="eastAsia"/>
              </w:rPr>
            </w:pPr>
            <w:r>
              <w:rPr>
                <w:b/>
                <w:color w:val="FFFFFF"/>
                <w:sz w:val="17"/>
              </w:rPr>
              <w:t>Purpose</w:t>
            </w:r>
          </w:p>
        </w:tc>
      </w:tr>
      <w:tr w:rsidR="00900D71" w14:paraId="1C7A9451" w14:textId="77777777">
        <w:trPr>
          <w:jc w:val="center"/>
        </w:trPr>
        <w:tc>
          <w:tcPr>
            <w:tcW w:w="2556" w:type="dxa"/>
            <w:vAlign w:val="center"/>
          </w:tcPr>
          <w:p w14:paraId="7141136E" w14:textId="77777777" w:rsidR="00900D71" w:rsidRDefault="00000000">
            <w:pPr>
              <w:rPr>
                <w:rFonts w:hint="eastAsia"/>
              </w:rPr>
            </w:pPr>
            <w:r>
              <w:rPr>
                <w:color w:val="000000"/>
                <w:sz w:val="16"/>
              </w:rPr>
              <w:t>Customer Distribution by Billing State and Customer Type</w:t>
            </w:r>
          </w:p>
        </w:tc>
        <w:tc>
          <w:tcPr>
            <w:tcW w:w="2556" w:type="dxa"/>
            <w:vAlign w:val="center"/>
          </w:tcPr>
          <w:p w14:paraId="689368B5" w14:textId="77777777" w:rsidR="00900D71" w:rsidRDefault="00000000">
            <w:pPr>
              <w:rPr>
                <w:rFonts w:hint="eastAsia"/>
              </w:rPr>
            </w:pPr>
            <w:r>
              <w:rPr>
                <w:color w:val="000000"/>
                <w:sz w:val="16"/>
              </w:rPr>
              <w:t>Horizontal stacked bar chart</w:t>
            </w:r>
          </w:p>
        </w:tc>
        <w:tc>
          <w:tcPr>
            <w:tcW w:w="2556" w:type="dxa"/>
            <w:vAlign w:val="center"/>
          </w:tcPr>
          <w:p w14:paraId="7A24CA6E" w14:textId="77777777" w:rsidR="00900D71" w:rsidRDefault="00000000">
            <w:pPr>
              <w:rPr>
                <w:rFonts w:hint="eastAsia"/>
              </w:rPr>
            </w:pPr>
            <w:r>
              <w:rPr>
                <w:color w:val="000000"/>
                <w:sz w:val="16"/>
              </w:rPr>
              <w:t>Billing State; Customer Type; order count</w:t>
            </w:r>
          </w:p>
        </w:tc>
        <w:tc>
          <w:tcPr>
            <w:tcW w:w="2556" w:type="dxa"/>
            <w:vAlign w:val="center"/>
          </w:tcPr>
          <w:p w14:paraId="7076E6A1" w14:textId="77777777" w:rsidR="00900D71" w:rsidRDefault="00000000">
            <w:pPr>
              <w:rPr>
                <w:rFonts w:hint="eastAsia"/>
              </w:rPr>
            </w:pPr>
            <w:r>
              <w:rPr>
                <w:color w:val="000000"/>
                <w:sz w:val="16"/>
              </w:rPr>
              <w:t>Shows where guest and registered orders originate and allows state-level comparison of customer type.</w:t>
            </w:r>
          </w:p>
        </w:tc>
      </w:tr>
      <w:tr w:rsidR="00900D71" w14:paraId="7A8F630A" w14:textId="77777777">
        <w:trPr>
          <w:jc w:val="center"/>
        </w:trPr>
        <w:tc>
          <w:tcPr>
            <w:tcW w:w="2556" w:type="dxa"/>
            <w:vAlign w:val="center"/>
          </w:tcPr>
          <w:p w14:paraId="2598BB92" w14:textId="77777777" w:rsidR="00900D71" w:rsidRDefault="00000000">
            <w:pPr>
              <w:rPr>
                <w:rFonts w:hint="eastAsia"/>
              </w:rPr>
            </w:pPr>
            <w:r>
              <w:rPr>
                <w:color w:val="000000"/>
                <w:sz w:val="16"/>
              </w:rPr>
              <w:t>Product Purchase Value and Quantity — Top 50 Registered Customers</w:t>
            </w:r>
          </w:p>
        </w:tc>
        <w:tc>
          <w:tcPr>
            <w:tcW w:w="2556" w:type="dxa"/>
            <w:vAlign w:val="center"/>
          </w:tcPr>
          <w:p w14:paraId="6F60A933" w14:textId="77777777" w:rsidR="00900D71" w:rsidRDefault="00000000">
            <w:pPr>
              <w:rPr>
                <w:rFonts w:hint="eastAsia"/>
              </w:rPr>
            </w:pPr>
            <w:r>
              <w:rPr>
                <w:color w:val="000000"/>
                <w:sz w:val="16"/>
              </w:rPr>
              <w:t>Treemap</w:t>
            </w:r>
          </w:p>
        </w:tc>
        <w:tc>
          <w:tcPr>
            <w:tcW w:w="2556" w:type="dxa"/>
            <w:vAlign w:val="center"/>
          </w:tcPr>
          <w:p w14:paraId="6A480F92" w14:textId="77777777" w:rsidR="00900D71" w:rsidRDefault="00000000">
            <w:pPr>
              <w:rPr>
                <w:rFonts w:hint="eastAsia"/>
              </w:rPr>
            </w:pPr>
            <w:r>
              <w:rPr>
                <w:color w:val="000000"/>
                <w:sz w:val="16"/>
              </w:rPr>
              <w:t>Product; purchase value/quantity; top 50 registered customers</w:t>
            </w:r>
          </w:p>
        </w:tc>
        <w:tc>
          <w:tcPr>
            <w:tcW w:w="2556" w:type="dxa"/>
            <w:vAlign w:val="center"/>
          </w:tcPr>
          <w:p w14:paraId="698A5297" w14:textId="77777777" w:rsidR="00900D71" w:rsidRDefault="00000000">
            <w:pPr>
              <w:rPr>
                <w:rFonts w:hint="eastAsia"/>
              </w:rPr>
            </w:pPr>
            <w:r>
              <w:rPr>
                <w:color w:val="000000"/>
                <w:sz w:val="16"/>
              </w:rPr>
              <w:t>Highlights the products and purchase blocks contributing most to spending among the highest-value registered customers.</w:t>
            </w:r>
          </w:p>
        </w:tc>
      </w:tr>
      <w:tr w:rsidR="00900D71" w14:paraId="7A816F1A" w14:textId="77777777">
        <w:trPr>
          <w:jc w:val="center"/>
        </w:trPr>
        <w:tc>
          <w:tcPr>
            <w:tcW w:w="2556" w:type="dxa"/>
            <w:vAlign w:val="center"/>
          </w:tcPr>
          <w:p w14:paraId="69D75DF5" w14:textId="77777777" w:rsidR="00900D71" w:rsidRDefault="00000000">
            <w:pPr>
              <w:rPr>
                <w:rFonts w:hint="eastAsia"/>
              </w:rPr>
            </w:pPr>
            <w:r>
              <w:rPr>
                <w:color w:val="000000"/>
                <w:sz w:val="16"/>
              </w:rPr>
              <w:t>Monthly Order Volume by Customer Type vs Quality</w:t>
            </w:r>
          </w:p>
        </w:tc>
        <w:tc>
          <w:tcPr>
            <w:tcW w:w="2556" w:type="dxa"/>
            <w:vAlign w:val="center"/>
          </w:tcPr>
          <w:p w14:paraId="063C6C6E" w14:textId="77777777" w:rsidR="00900D71" w:rsidRDefault="00000000">
            <w:pPr>
              <w:rPr>
                <w:rFonts w:hint="eastAsia"/>
              </w:rPr>
            </w:pPr>
            <w:r>
              <w:rPr>
                <w:color w:val="000000"/>
                <w:sz w:val="16"/>
              </w:rPr>
              <w:t>Combo chart</w:t>
            </w:r>
          </w:p>
        </w:tc>
        <w:tc>
          <w:tcPr>
            <w:tcW w:w="2556" w:type="dxa"/>
            <w:vAlign w:val="center"/>
          </w:tcPr>
          <w:p w14:paraId="57186511" w14:textId="77777777" w:rsidR="00900D71" w:rsidRDefault="00000000">
            <w:pPr>
              <w:rPr>
                <w:rFonts w:hint="eastAsia"/>
              </w:rPr>
            </w:pPr>
            <w:r>
              <w:rPr>
                <w:color w:val="000000"/>
                <w:sz w:val="16"/>
              </w:rPr>
              <w:t>Month; order count by customer type; monthly quality/value indicator</w:t>
            </w:r>
          </w:p>
        </w:tc>
        <w:tc>
          <w:tcPr>
            <w:tcW w:w="2556" w:type="dxa"/>
            <w:vAlign w:val="center"/>
          </w:tcPr>
          <w:p w14:paraId="5DEA245A" w14:textId="77777777" w:rsidR="00900D71" w:rsidRDefault="00000000">
            <w:pPr>
              <w:rPr>
                <w:rFonts w:hint="eastAsia"/>
              </w:rPr>
            </w:pPr>
            <w:r>
              <w:rPr>
                <w:color w:val="000000"/>
                <w:sz w:val="16"/>
              </w:rPr>
              <w:t>Tracks monthly order volume and reveals changes in the balance between guest and registered orders.</w:t>
            </w:r>
          </w:p>
        </w:tc>
      </w:tr>
      <w:tr w:rsidR="00900D71" w14:paraId="47307ECC" w14:textId="77777777">
        <w:trPr>
          <w:jc w:val="center"/>
        </w:trPr>
        <w:tc>
          <w:tcPr>
            <w:tcW w:w="2556" w:type="dxa"/>
            <w:vAlign w:val="center"/>
          </w:tcPr>
          <w:p w14:paraId="5290338D" w14:textId="77777777" w:rsidR="00900D71" w:rsidRDefault="00000000">
            <w:pPr>
              <w:rPr>
                <w:rFonts w:hint="eastAsia"/>
              </w:rPr>
            </w:pPr>
            <w:r>
              <w:rPr>
                <w:color w:val="000000"/>
                <w:sz w:val="16"/>
              </w:rPr>
              <w:t>Revenue by Customer Type</w:t>
            </w:r>
          </w:p>
        </w:tc>
        <w:tc>
          <w:tcPr>
            <w:tcW w:w="2556" w:type="dxa"/>
            <w:vAlign w:val="center"/>
          </w:tcPr>
          <w:p w14:paraId="011692DA" w14:textId="77777777" w:rsidR="00900D71" w:rsidRDefault="00000000">
            <w:pPr>
              <w:rPr>
                <w:rFonts w:hint="eastAsia"/>
              </w:rPr>
            </w:pPr>
            <w:r>
              <w:rPr>
                <w:color w:val="000000"/>
                <w:sz w:val="16"/>
              </w:rPr>
              <w:t>Donut chart</w:t>
            </w:r>
          </w:p>
        </w:tc>
        <w:tc>
          <w:tcPr>
            <w:tcW w:w="2556" w:type="dxa"/>
            <w:vAlign w:val="center"/>
          </w:tcPr>
          <w:p w14:paraId="5A0C5484" w14:textId="77777777" w:rsidR="00900D71" w:rsidRDefault="00000000">
            <w:pPr>
              <w:rPr>
                <w:rFonts w:hint="eastAsia"/>
              </w:rPr>
            </w:pPr>
            <w:r>
              <w:rPr>
                <w:color w:val="000000"/>
                <w:sz w:val="16"/>
              </w:rPr>
              <w:t>Customer Type; revenue</w:t>
            </w:r>
          </w:p>
        </w:tc>
        <w:tc>
          <w:tcPr>
            <w:tcW w:w="2556" w:type="dxa"/>
            <w:vAlign w:val="center"/>
          </w:tcPr>
          <w:p w14:paraId="261322F3" w14:textId="77777777" w:rsidR="00900D71" w:rsidRDefault="00000000">
            <w:pPr>
              <w:rPr>
                <w:rFonts w:hint="eastAsia"/>
              </w:rPr>
            </w:pPr>
            <w:r>
              <w:rPr>
                <w:color w:val="000000"/>
                <w:sz w:val="16"/>
              </w:rPr>
              <w:t>Compares the revenue contribution of registered customers and guests.</w:t>
            </w:r>
          </w:p>
        </w:tc>
      </w:tr>
      <w:tr w:rsidR="00900D71" w14:paraId="58E71FE2" w14:textId="77777777">
        <w:trPr>
          <w:jc w:val="center"/>
        </w:trPr>
        <w:tc>
          <w:tcPr>
            <w:tcW w:w="2556" w:type="dxa"/>
            <w:vAlign w:val="center"/>
          </w:tcPr>
          <w:p w14:paraId="2A7D2CA1" w14:textId="77777777" w:rsidR="00900D71" w:rsidRDefault="00000000">
            <w:pPr>
              <w:rPr>
                <w:rFonts w:hint="eastAsia"/>
              </w:rPr>
            </w:pPr>
            <w:r>
              <w:rPr>
                <w:color w:val="000000"/>
                <w:sz w:val="16"/>
              </w:rPr>
              <w:t>Registered Customer Orders by Product and Billing City — India</w:t>
            </w:r>
          </w:p>
        </w:tc>
        <w:tc>
          <w:tcPr>
            <w:tcW w:w="2556" w:type="dxa"/>
            <w:vAlign w:val="center"/>
          </w:tcPr>
          <w:p w14:paraId="1F25F222" w14:textId="77777777" w:rsidR="00900D71" w:rsidRDefault="00000000">
            <w:pPr>
              <w:rPr>
                <w:rFonts w:hint="eastAsia"/>
              </w:rPr>
            </w:pPr>
            <w:r>
              <w:rPr>
                <w:color w:val="000000"/>
                <w:sz w:val="16"/>
              </w:rPr>
              <w:t>Treemap</w:t>
            </w:r>
          </w:p>
        </w:tc>
        <w:tc>
          <w:tcPr>
            <w:tcW w:w="2556" w:type="dxa"/>
            <w:vAlign w:val="center"/>
          </w:tcPr>
          <w:p w14:paraId="0DC6CD6F" w14:textId="77777777" w:rsidR="00900D71" w:rsidRDefault="00000000">
            <w:pPr>
              <w:rPr>
                <w:rFonts w:hint="eastAsia"/>
              </w:rPr>
            </w:pPr>
            <w:r>
              <w:rPr>
                <w:color w:val="000000"/>
                <w:sz w:val="16"/>
              </w:rPr>
              <w:t>Product; billing city; registered-customer orders</w:t>
            </w:r>
          </w:p>
        </w:tc>
        <w:tc>
          <w:tcPr>
            <w:tcW w:w="2556" w:type="dxa"/>
            <w:vAlign w:val="center"/>
          </w:tcPr>
          <w:p w14:paraId="1EC3CEF4" w14:textId="77777777" w:rsidR="00900D71" w:rsidRDefault="00000000">
            <w:pPr>
              <w:rPr>
                <w:rFonts w:hint="eastAsia"/>
              </w:rPr>
            </w:pPr>
            <w:r>
              <w:rPr>
                <w:color w:val="000000"/>
                <w:sz w:val="16"/>
              </w:rPr>
              <w:t>Shows which products and Indian billing cities are most prominent among registered customers.</w:t>
            </w:r>
          </w:p>
        </w:tc>
      </w:tr>
    </w:tbl>
    <w:p w14:paraId="35BF189D" w14:textId="77777777" w:rsidR="00900D71" w:rsidRDefault="00000000">
      <w:pPr>
        <w:rPr>
          <w:rFonts w:hint="eastAsia"/>
        </w:rPr>
      </w:pPr>
      <w:r>
        <w:br w:type="page"/>
      </w:r>
    </w:p>
    <w:p w14:paraId="7F200E02" w14:textId="77777777" w:rsidR="00900D71" w:rsidRDefault="00000000">
      <w:pPr>
        <w:pStyle w:val="Heading1"/>
      </w:pPr>
      <w:r>
        <w:lastRenderedPageBreak/>
        <w:t>4. Insights by chart</w:t>
      </w:r>
    </w:p>
    <w:p w14:paraId="0BC64DCD" w14:textId="77777777" w:rsidR="00900D71" w:rsidRDefault="00000000">
      <w:pPr>
        <w:pStyle w:val="Heading2"/>
      </w:pPr>
      <w:r>
        <w:t>4.1 Customer distribution by billing state</w:t>
      </w:r>
    </w:p>
    <w:p w14:paraId="51A37AAD" w14:textId="77777777" w:rsidR="00900D71" w:rsidRDefault="00000000">
      <w:pPr>
        <w:rPr>
          <w:rFonts w:hint="eastAsia"/>
        </w:rPr>
      </w:pPr>
      <w:r>
        <w:t>Kerala is the strongest billing-state market in the dashboard, with 235 orders. The dashboard indicates that Kerala represents about 39% of the 600 India orders shown in this analysis. The visual also shows a strong guest-order component in Kerala, indicating that a large portion of the state's sales is coming through guest checkout rather than identified registered customers.</w:t>
      </w:r>
    </w:p>
    <w:tbl>
      <w:tblPr>
        <w:tblW w:w="0" w:type="auto"/>
        <w:jc w:val="center"/>
        <w:tblLook w:val="04A0" w:firstRow="1" w:lastRow="0" w:firstColumn="1" w:lastColumn="0" w:noHBand="0" w:noVBand="1"/>
      </w:tblPr>
      <w:tblGrid>
        <w:gridCol w:w="10224"/>
      </w:tblGrid>
      <w:tr w:rsidR="00900D71" w14:paraId="0CB72AF6" w14:textId="77777777">
        <w:trPr>
          <w:jc w:val="center"/>
        </w:trPr>
        <w:tc>
          <w:tcPr>
            <w:tcW w:w="10224" w:type="dxa"/>
            <w:shd w:val="clear" w:color="auto" w:fill="F4E8C7"/>
          </w:tcPr>
          <w:p w14:paraId="07A62A73" w14:textId="77777777" w:rsidR="00900D71" w:rsidRDefault="00000000">
            <w:pPr>
              <w:spacing w:after="40"/>
              <w:rPr>
                <w:rFonts w:hint="eastAsia"/>
              </w:rPr>
            </w:pPr>
            <w:r>
              <w:rPr>
                <w:color w:val="174F43"/>
                <w:sz w:val="19"/>
              </w:rPr>
              <w:t>• Kerala leads the India order distribution, while Maharashtra, Tamil Nadu and Karnataka form other major contributing states. The guest segment is especially important in Kerala.</w:t>
            </w:r>
          </w:p>
        </w:tc>
      </w:tr>
    </w:tbl>
    <w:p w14:paraId="69F7E725" w14:textId="77777777" w:rsidR="00900D71" w:rsidRDefault="00000000">
      <w:pPr>
        <w:pStyle w:val="Heading2"/>
      </w:pPr>
      <w:r>
        <w:t>4.2 Product purchase value and quantity — top 50 registered customers</w:t>
      </w:r>
    </w:p>
    <w:p w14:paraId="666B7717" w14:textId="77777777" w:rsidR="00900D71" w:rsidRDefault="00000000">
      <w:pPr>
        <w:rPr>
          <w:rFonts w:hint="eastAsia"/>
        </w:rPr>
      </w:pPr>
      <w:r>
        <w:t>The treemap concentrates on the top 50 registered customers and their product purchases. The dashboard note states that these customers contribute approximately 59.5% of registered-customer revenue. This indicates that registered revenue is meaningfully concentrated among a smaller group of high-value customers.</w:t>
      </w:r>
    </w:p>
    <w:p w14:paraId="43C4A8D6" w14:textId="77777777" w:rsidR="00900D71" w:rsidRDefault="00000000">
      <w:pPr>
        <w:rPr>
          <w:rFonts w:hint="eastAsia"/>
        </w:rPr>
      </w:pPr>
      <w:r>
        <w:t>The visual also shows a strong preference for Agnijith among this group. The dashboard specifically highlights the 5-pack, single-jar and 3-pack purchase blocks as the largest components of the displayed product mix. This suggests that larger or multi-unit purchases are important drivers within the highest-value segment.</w:t>
      </w:r>
    </w:p>
    <w:tbl>
      <w:tblPr>
        <w:tblW w:w="0" w:type="auto"/>
        <w:jc w:val="center"/>
        <w:tblLook w:val="04A0" w:firstRow="1" w:lastRow="0" w:firstColumn="1" w:lastColumn="0" w:noHBand="0" w:noVBand="1"/>
      </w:tblPr>
      <w:tblGrid>
        <w:gridCol w:w="10224"/>
      </w:tblGrid>
      <w:tr w:rsidR="00900D71" w14:paraId="64C0560A" w14:textId="77777777">
        <w:trPr>
          <w:jc w:val="center"/>
        </w:trPr>
        <w:tc>
          <w:tcPr>
            <w:tcW w:w="10224" w:type="dxa"/>
            <w:shd w:val="clear" w:color="auto" w:fill="F4E8C7"/>
          </w:tcPr>
          <w:p w14:paraId="6A8E00C4" w14:textId="77777777" w:rsidR="00900D71" w:rsidRDefault="00000000">
            <w:pPr>
              <w:spacing w:after="40"/>
              <w:rPr>
                <w:rFonts w:hint="eastAsia"/>
              </w:rPr>
            </w:pPr>
            <w:r>
              <w:rPr>
                <w:color w:val="174F43"/>
                <w:sz w:val="19"/>
              </w:rPr>
              <w:t>• The top 50 registered customers account for about 59.5% of registered revenue, making this group particularly important for retention and targeted customer engagement.</w:t>
            </w:r>
          </w:p>
        </w:tc>
      </w:tr>
    </w:tbl>
    <w:p w14:paraId="41B19A9E" w14:textId="77777777" w:rsidR="00900D71" w:rsidRDefault="00000000">
      <w:pPr>
        <w:pStyle w:val="Heading2"/>
      </w:pPr>
      <w:r>
        <w:t>4.3 Monthly order volume by customer type</w:t>
      </w:r>
    </w:p>
    <w:p w14:paraId="55858932" w14:textId="77777777" w:rsidR="00900D71" w:rsidRDefault="00000000">
      <w:pPr>
        <w:rPr>
          <w:rFonts w:hint="eastAsia"/>
        </w:rPr>
      </w:pPr>
      <w:r>
        <w:t>Guest orders first appear in September 2024. From the monthly trend, guest orders exceed registered orders in 19 of the 22 months shown. May 2026 is identified by the dashboard as the peak month, with 83 total orders, of which 59 were guest orders, or approximately 71%.</w:t>
      </w:r>
    </w:p>
    <w:tbl>
      <w:tblPr>
        <w:tblW w:w="0" w:type="auto"/>
        <w:jc w:val="center"/>
        <w:tblLook w:val="04A0" w:firstRow="1" w:lastRow="0" w:firstColumn="1" w:lastColumn="0" w:noHBand="0" w:noVBand="1"/>
      </w:tblPr>
      <w:tblGrid>
        <w:gridCol w:w="10224"/>
      </w:tblGrid>
      <w:tr w:rsidR="00900D71" w14:paraId="6C3BE17A" w14:textId="77777777">
        <w:trPr>
          <w:jc w:val="center"/>
        </w:trPr>
        <w:tc>
          <w:tcPr>
            <w:tcW w:w="10224" w:type="dxa"/>
            <w:shd w:val="clear" w:color="auto" w:fill="F4E8C7"/>
          </w:tcPr>
          <w:p w14:paraId="7EED2F48" w14:textId="77777777" w:rsidR="00900D71" w:rsidRDefault="00000000">
            <w:pPr>
              <w:spacing w:after="40"/>
              <w:rPr>
                <w:rFonts w:hint="eastAsia"/>
              </w:rPr>
            </w:pPr>
            <w:r>
              <w:rPr>
                <w:color w:val="174F43"/>
                <w:sz w:val="19"/>
              </w:rPr>
              <w:t>• The monthly trend shows that guest checkout is not an occasional channel; it is a recurring and often dominant source of order volume.</w:t>
            </w:r>
          </w:p>
        </w:tc>
      </w:tr>
    </w:tbl>
    <w:p w14:paraId="5045FD21" w14:textId="77777777" w:rsidR="00900D71" w:rsidRDefault="00000000">
      <w:pPr>
        <w:pStyle w:val="Heading2"/>
      </w:pPr>
      <w:r>
        <w:t>4.4 Revenue by customer type</w:t>
      </w:r>
    </w:p>
    <w:p w14:paraId="280CC5EA" w14:textId="77777777" w:rsidR="00900D71" w:rsidRDefault="00000000">
      <w:pPr>
        <w:rPr>
          <w:rFonts w:hint="eastAsia"/>
        </w:rPr>
      </w:pPr>
      <w:r>
        <w:t>The revenue donut shows that registered and guest customers each contribute a substantial share of total revenue. Registered customers contribute approximately ₹1.33M, while guest customers contribute approximately ₹1.17M. Therefore, the business is not dependent on only one customer type for revenue generation.</w:t>
      </w:r>
    </w:p>
    <w:p w14:paraId="0D115D34" w14:textId="77777777" w:rsidR="00900D71" w:rsidRDefault="00000000">
      <w:pPr>
        <w:rPr>
          <w:rFonts w:hint="eastAsia"/>
        </w:rPr>
      </w:pPr>
      <w:r>
        <w:t>The dashboard also indicates that the average order values of the two customer types are relatively close. This is important because the much larger guest-order count does not translate into an equally dominant revenue share; registered customers remain a significant revenue source.</w:t>
      </w:r>
    </w:p>
    <w:tbl>
      <w:tblPr>
        <w:tblW w:w="0" w:type="auto"/>
        <w:jc w:val="center"/>
        <w:tblLook w:val="04A0" w:firstRow="1" w:lastRow="0" w:firstColumn="1" w:lastColumn="0" w:noHBand="0" w:noVBand="1"/>
      </w:tblPr>
      <w:tblGrid>
        <w:gridCol w:w="10224"/>
      </w:tblGrid>
      <w:tr w:rsidR="00900D71" w14:paraId="7665D1F8" w14:textId="77777777">
        <w:trPr>
          <w:jc w:val="center"/>
        </w:trPr>
        <w:tc>
          <w:tcPr>
            <w:tcW w:w="10224" w:type="dxa"/>
            <w:shd w:val="clear" w:color="auto" w:fill="F4E8C7"/>
          </w:tcPr>
          <w:p w14:paraId="6E315A65" w14:textId="77777777" w:rsidR="00900D71" w:rsidRDefault="00000000">
            <w:pPr>
              <w:spacing w:after="40"/>
              <w:rPr>
                <w:rFonts w:hint="eastAsia"/>
              </w:rPr>
            </w:pPr>
            <w:r>
              <w:rPr>
                <w:color w:val="174F43"/>
                <w:sz w:val="19"/>
              </w:rPr>
              <w:t>• Registered customers contribute roughly ₹1.33M and guests roughly ₹1.17M, showing that guest checkout represents a substantial commercial opportunity rather than only a low-value channel.</w:t>
            </w:r>
          </w:p>
        </w:tc>
      </w:tr>
    </w:tbl>
    <w:p w14:paraId="3B350BE8" w14:textId="77777777" w:rsidR="00900D71" w:rsidRDefault="00000000">
      <w:pPr>
        <w:rPr>
          <w:rFonts w:hint="eastAsia"/>
        </w:rPr>
      </w:pPr>
      <w:r>
        <w:br w:type="page"/>
      </w:r>
    </w:p>
    <w:p w14:paraId="7D16A403" w14:textId="77777777" w:rsidR="00900D71" w:rsidRDefault="00000000">
      <w:pPr>
        <w:pStyle w:val="Heading1"/>
      </w:pPr>
      <w:r>
        <w:lastRenderedPageBreak/>
        <w:t>5. Registered customer orders by product and billing city</w:t>
      </w:r>
    </w:p>
    <w:p w14:paraId="689EF409" w14:textId="77777777" w:rsidR="00900D71" w:rsidRDefault="00000000">
      <w:pPr>
        <w:rPr>
          <w:rFonts w:hint="eastAsia"/>
        </w:rPr>
      </w:pPr>
      <w:r>
        <w:t>The registered-customer treemap for India shows that Bengaluru, Chennai and Hyderabad are the leading billing cities for registered orders, with Bengaluru at 33 orders, Chennai at 18 and Hyderabad at 16. Thrissur and Thiruvananthapuram follow with 14 and 11 registered orders respectively.</w:t>
      </w:r>
    </w:p>
    <w:p w14:paraId="3504DB4E" w14:textId="77777777" w:rsidR="00900D71" w:rsidRDefault="00000000">
      <w:pPr>
        <w:rPr>
          <w:rFonts w:hint="eastAsia"/>
        </w:rPr>
      </w:pPr>
      <w:r>
        <w:t>This creates a useful contrast with the state-level customer distribution: Kerala is a major overall order market, but registered customers are more visible in metropolitan cities outside Kerala. The dashboard therefore suggests that Kerala's overall sales strength is driven heavily by guest purchasing, whereas registered-customer activity is more concentrated in selected urban markets.</w:t>
      </w:r>
    </w:p>
    <w:tbl>
      <w:tblPr>
        <w:tblW w:w="0" w:type="auto"/>
        <w:jc w:val="center"/>
        <w:tblLook w:val="04A0" w:firstRow="1" w:lastRow="0" w:firstColumn="1" w:lastColumn="0" w:noHBand="0" w:noVBand="1"/>
      </w:tblPr>
      <w:tblGrid>
        <w:gridCol w:w="10224"/>
      </w:tblGrid>
      <w:tr w:rsidR="00900D71" w14:paraId="32BC47BD" w14:textId="77777777">
        <w:trPr>
          <w:jc w:val="center"/>
        </w:trPr>
        <w:tc>
          <w:tcPr>
            <w:tcW w:w="10224" w:type="dxa"/>
            <w:shd w:val="clear" w:color="auto" w:fill="F4E8C7"/>
          </w:tcPr>
          <w:p w14:paraId="165E179B" w14:textId="77777777" w:rsidR="00900D71" w:rsidRDefault="00000000">
            <w:pPr>
              <w:spacing w:after="40"/>
              <w:rPr>
                <w:rFonts w:hint="eastAsia"/>
              </w:rPr>
            </w:pPr>
            <w:r>
              <w:rPr>
                <w:color w:val="174F43"/>
                <w:sz w:val="19"/>
              </w:rPr>
              <w:t>• Registered customers are concentrated in metropolitan areas outside Kerala, while Kerala appears to rely more heavily on guest checkout.</w:t>
            </w:r>
          </w:p>
        </w:tc>
      </w:tr>
    </w:tbl>
    <w:p w14:paraId="7C18DA80" w14:textId="77777777" w:rsidR="00900D71" w:rsidRDefault="00000000">
      <w:pPr>
        <w:pStyle w:val="Heading1"/>
      </w:pPr>
      <w:r>
        <w:t>6. Wider customer findings</w:t>
      </w:r>
    </w:p>
    <w:p w14:paraId="60834D38" w14:textId="77777777" w:rsidR="00900D71" w:rsidRDefault="00000000">
      <w:pPr>
        <w:spacing w:after="80"/>
        <w:ind w:left="216"/>
        <w:rPr>
          <w:rFonts w:hint="eastAsia"/>
        </w:rPr>
      </w:pPr>
      <w:r>
        <w:t>• Guest checkout is a major sales channel: 340 guest orders are shown in the KPI section, and the monthly chart shows guest orders leading in most observed months.</w:t>
      </w:r>
    </w:p>
    <w:p w14:paraId="28364CC4" w14:textId="77777777" w:rsidR="00900D71" w:rsidRDefault="00000000">
      <w:pPr>
        <w:spacing w:after="80"/>
        <w:ind w:left="216"/>
        <w:rPr>
          <w:rFonts w:hint="eastAsia"/>
        </w:rPr>
      </w:pPr>
      <w:r>
        <w:t>• Registered-customer loyalty is relatively limited: the dashboard reports a 6.50% repeated registered-customer rate.</w:t>
      </w:r>
    </w:p>
    <w:p w14:paraId="462BB280" w14:textId="77777777" w:rsidR="00900D71" w:rsidRDefault="00000000">
      <w:pPr>
        <w:spacing w:after="80"/>
        <w:ind w:left="216"/>
        <w:rPr>
          <w:rFonts w:hint="eastAsia"/>
        </w:rPr>
      </w:pPr>
      <w:r>
        <w:t>• The customer base is geographically concentrated, with Kerala clearly leading the billing-state distribution.</w:t>
      </w:r>
    </w:p>
    <w:p w14:paraId="156BB44A" w14:textId="77777777" w:rsidR="00900D71" w:rsidRDefault="00000000">
      <w:pPr>
        <w:spacing w:after="80"/>
        <w:ind w:left="216"/>
        <w:rPr>
          <w:rFonts w:hint="eastAsia"/>
        </w:rPr>
      </w:pPr>
      <w:r>
        <w:t>• Registered revenue is concentrated among high-value customers: the top 50 registered customers contribute about 59.5% of registered revenue.</w:t>
      </w:r>
    </w:p>
    <w:p w14:paraId="5FF041EA" w14:textId="77777777" w:rsidR="00900D71" w:rsidRDefault="00000000">
      <w:pPr>
        <w:spacing w:after="80"/>
        <w:ind w:left="216"/>
        <w:rPr>
          <w:rFonts w:hint="eastAsia"/>
        </w:rPr>
      </w:pPr>
      <w:r>
        <w:t>• Product preference is concentrated in the Agnijith range among the top registered customers, with the 5-pack, single jar and 3-pack appearing as major purchase blocks.</w:t>
      </w:r>
    </w:p>
    <w:p w14:paraId="1F1D8F58" w14:textId="77777777" w:rsidR="00900D71" w:rsidRDefault="00000000">
      <w:pPr>
        <w:spacing w:after="80"/>
        <w:ind w:left="216"/>
        <w:rPr>
          <w:rFonts w:hint="eastAsia"/>
        </w:rPr>
      </w:pPr>
      <w:r>
        <w:t>• Registered customer orders are strongest in Bengaluru, Chennai and Hyderabad, indicating opportunities for city-focused retention and customer acquisition strategies.</w:t>
      </w:r>
    </w:p>
    <w:p w14:paraId="4C10D492" w14:textId="77777777" w:rsidR="00900D71" w:rsidRDefault="00000000">
      <w:pPr>
        <w:spacing w:after="80"/>
        <w:ind w:left="216"/>
        <w:rPr>
          <w:rFonts w:hint="eastAsia"/>
        </w:rPr>
      </w:pPr>
      <w:r>
        <w:t>• Because guest customers form a large share of order activity and revenue, encouraging guest buyers to create accounts could improve the ability to measure and develop repeat behaviour.</w:t>
      </w:r>
    </w:p>
    <w:p w14:paraId="11E6379F" w14:textId="61D6AA56" w:rsidR="00900D71" w:rsidRDefault="001C08AE">
      <w:pPr>
        <w:pStyle w:val="Heading1"/>
      </w:pPr>
      <w:r>
        <w:t>7</w:t>
      </w:r>
      <w:r w:rsidR="00000000">
        <w:t>. Conclusion</w:t>
      </w:r>
    </w:p>
    <w:p w14:paraId="47F08BC1" w14:textId="77777777" w:rsidR="00900D71" w:rsidRDefault="00000000">
      <w:pPr>
        <w:rPr>
          <w:rFonts w:hint="eastAsia"/>
        </w:rPr>
      </w:pPr>
      <w:r>
        <w:t>Jagadha's customer sales dashboard shows a strong guest-checkout presence alongside a valuable registered-customer segment. Guest orders dominate the monthly order pattern in most observed months, while registered customers remain responsible for a substantial share of revenue. Kerala is the leading billing-state market, whereas registered-customer orders are particularly concentrated in cities such as Bengaluru, Chennai and Hyderabad.</w:t>
      </w:r>
    </w:p>
    <w:p w14:paraId="722E3F68" w14:textId="77777777" w:rsidR="00900D71" w:rsidRDefault="00000000">
      <w:pPr>
        <w:rPr>
          <w:rFonts w:hint="eastAsia"/>
        </w:rPr>
      </w:pPr>
      <w:r>
        <w:t>The 6.50% repeat registered-customer rate highlights customer retention as an important opportunity. At the same time, the concentration of registered revenue among the top 50 customers suggests that retaining high-value customers should be a priority. Overall, the dashboard supports a combined strategy of converting valuable guest buyers into registered customers, increasing repeat purchases, and targeting high-value city and product segments.</w:t>
      </w:r>
    </w:p>
    <w:p w14:paraId="73435FE1" w14:textId="77777777" w:rsidR="00900D71" w:rsidRDefault="00900D71">
      <w:pPr>
        <w:rPr>
          <w:rFonts w:hint="eastAsia"/>
        </w:rPr>
      </w:pPr>
    </w:p>
    <w:p w14:paraId="7AC2388A" w14:textId="77777777" w:rsidR="00900D71" w:rsidRDefault="00000000">
      <w:pPr>
        <w:jc w:val="center"/>
        <w:rPr>
          <w:rFonts w:hint="eastAsia"/>
        </w:rPr>
      </w:pPr>
      <w:r>
        <w:rPr>
          <w:i/>
          <w:color w:val="666666"/>
          <w:sz w:val="17"/>
        </w:rPr>
        <w:t>Prepared from the supplied Jagadha Customer Sales Analysis dashboard.</w:t>
      </w:r>
    </w:p>
    <w:sectPr w:rsidR="00900D71" w:rsidSect="00034616">
      <w:footerReference w:type="default" r:id="rId9"/>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63A320" w14:textId="77777777" w:rsidR="00A65F14" w:rsidRDefault="00A65F14">
      <w:pPr>
        <w:spacing w:after="0" w:line="240" w:lineRule="auto"/>
        <w:rPr>
          <w:rFonts w:hint="eastAsia"/>
        </w:rPr>
      </w:pPr>
      <w:r>
        <w:separator/>
      </w:r>
    </w:p>
  </w:endnote>
  <w:endnote w:type="continuationSeparator" w:id="0">
    <w:p w14:paraId="11678EA7" w14:textId="77777777" w:rsidR="00A65F14" w:rsidRDefault="00A65F1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B48FB" w14:textId="77777777" w:rsidR="00900D71" w:rsidRDefault="00000000">
    <w:pPr>
      <w:pStyle w:val="Footer"/>
      <w:jc w:val="center"/>
      <w:rPr>
        <w:rFonts w:hint="eastAsia"/>
      </w:rPr>
    </w:pPr>
    <w:r>
      <w:rPr>
        <w:sz w:val="16"/>
      </w:rPr>
      <w:t xml:space="preserve">Jagadha Customer Sales Analysis  |  </w:t>
    </w:r>
    <w:r>
      <w:fldChar w:fldCharType="begin"/>
    </w:r>
    <w:r>
      <w:instrText>PAGE</w:instrText>
    </w:r>
    <w:r>
      <w:rPr>
        <w:rFonts w:hint="eastAsia"/>
      </w:rPr>
      <w:fldChar w:fldCharType="separate"/>
    </w:r>
    <w:r w:rsidR="001C08A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E05A70" w14:textId="77777777" w:rsidR="00A65F14" w:rsidRDefault="00A65F14">
      <w:pPr>
        <w:spacing w:after="0" w:line="240" w:lineRule="auto"/>
        <w:rPr>
          <w:rFonts w:hint="eastAsia"/>
        </w:rPr>
      </w:pPr>
      <w:r>
        <w:separator/>
      </w:r>
    </w:p>
  </w:footnote>
  <w:footnote w:type="continuationSeparator" w:id="0">
    <w:p w14:paraId="4641DF75" w14:textId="77777777" w:rsidR="00A65F14" w:rsidRDefault="00A65F1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66935850">
    <w:abstractNumId w:val="8"/>
  </w:num>
  <w:num w:numId="2" w16cid:durableId="684670132">
    <w:abstractNumId w:val="6"/>
  </w:num>
  <w:num w:numId="3" w16cid:durableId="738749880">
    <w:abstractNumId w:val="5"/>
  </w:num>
  <w:num w:numId="4" w16cid:durableId="500857186">
    <w:abstractNumId w:val="4"/>
  </w:num>
  <w:num w:numId="5" w16cid:durableId="1823081687">
    <w:abstractNumId w:val="7"/>
  </w:num>
  <w:num w:numId="6" w16cid:durableId="690423573">
    <w:abstractNumId w:val="3"/>
  </w:num>
  <w:num w:numId="7" w16cid:durableId="1207332772">
    <w:abstractNumId w:val="2"/>
  </w:num>
  <w:num w:numId="8" w16cid:durableId="1400135905">
    <w:abstractNumId w:val="1"/>
  </w:num>
  <w:num w:numId="9" w16cid:durableId="18862121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08AE"/>
    <w:rsid w:val="0029639D"/>
    <w:rsid w:val="00326F90"/>
    <w:rsid w:val="00457E3E"/>
    <w:rsid w:val="00900D71"/>
    <w:rsid w:val="00A65F1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60130F"/>
  <w14:defaultImageDpi w14:val="300"/>
  <w15:docId w15:val="{17BD0E0B-FDCF-4BEB-8C56-66A41467D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F43"/>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F43"/>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4F43"/>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Pages>
  <Words>1218</Words>
  <Characters>6945</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Krishnendhu Sudheer</cp:lastModifiedBy>
  <cp:revision>2</cp:revision>
  <dcterms:created xsi:type="dcterms:W3CDTF">2013-12-23T23:15:00Z</dcterms:created>
  <dcterms:modified xsi:type="dcterms:W3CDTF">2026-10-28T14:38:00Z</dcterms:modified>
  <cp:category/>
</cp:coreProperties>
</file>