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55F602">
      <w:pPr>
        <w:pStyle w:val="139"/>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48"/>
        </w:rPr>
        <w:t xml:space="preserve">Global Employee Onboarding &amp; Integration Policy</w:t>
      </w:r>
      <w:r/>
    </w:p>
    <w:p w14:paraId="5C3E5AD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Document Control Number:</w:t>
      </w:r>
      <w:r>
        <w:rPr>
          <w:rFonts w:ascii="Arial" w:hAnsi="Arial" w:eastAsia="Arial" w:cs="Arial"/>
          <w:color w:val="000000"/>
          <w:sz w:val="24"/>
        </w:rPr>
        <w:t xml:space="preserve"> GTCC-HR-ONBD-2026-V2</w:t>
      </w:r>
      <w:r/>
    </w:p>
    <w:p w14:paraId="46183CE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Effective Date:</w:t>
      </w:r>
      <w:r>
        <w:rPr>
          <w:rFonts w:ascii="Arial" w:hAnsi="Arial" w:eastAsia="Arial" w:cs="Arial"/>
          <w:color w:val="000000"/>
          <w:sz w:val="24"/>
        </w:rPr>
        <w:t xml:space="preserve"> July 14, 2026</w:t>
      </w:r>
      <w:r/>
    </w:p>
    <w:p w14:paraId="28E54E6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Applicability:</w:t>
      </w:r>
      <w:r>
        <w:rPr>
          <w:rFonts w:ascii="Arial" w:hAnsi="Arial" w:eastAsia="Arial" w:cs="Arial"/>
          <w:color w:val="000000"/>
          <w:sz w:val="24"/>
        </w:rPr>
        <w:t xml:space="preserve"> All Global IT Consulting Subsidiaries, Talent Acquisition Hubs, and Cross-Functional Business Units</w:t>
      </w:r>
      <w:r/>
    </w:p>
    <w:p w14:paraId="6FA6360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Purpose Statement:</w:t>
      </w:r>
      <w:r>
        <w:rPr>
          <w:rFonts w:ascii="Arial" w:hAnsi="Arial" w:eastAsia="Arial" w:cs="Arial"/>
          <w:color w:val="000000"/>
          <w:sz w:val="24"/>
        </w:rPr>
        <w:t xml:space="preserve"> This policy defines the structural, compliance-driven, and technical parameters for integrating new talent into our global IT Consulting ecosystem. As a distributed, high-performance network, our onboarding framework ensures that engineering, consulting, </w:t>
      </w:r>
      <w:r>
        <w:rPr>
          <w:rFonts w:ascii="Arial" w:hAnsi="Arial" w:eastAsia="Arial" w:cs="Arial"/>
          <w:color w:val="000000"/>
          <w:sz w:val="24"/>
        </w:rPr>
        <w:t xml:space="preserve">and corporate personnel are seamlessly provisioned, securely validated, and culturally aligned to maximize velocity and output from day zero.</w:t>
      </w:r>
      <w:r/>
    </w:p>
    <w:p w14:paraId="3096F4EF">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1. Governance, Objectives &amp; Scope</w:t>
      </w:r>
      <w:r/>
    </w:p>
    <w:p w14:paraId="6763F170">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1.1 Scope of Application</w:t>
      </w:r>
      <w:r/>
    </w:p>
    <w:p w14:paraId="7B117C5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This policy applies universally to all individuals entering the organization's workforce, including:</w:t>
      </w:r>
      <w:r/>
    </w:p>
    <w:p w14:paraId="15C2611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Full-time regular employees.</w:t>
      </w:r>
      <w:r/>
    </w:p>
    <w:p w14:paraId="61B781B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Fixed-term technical contractors and specialized consultants.</w:t>
      </w:r>
      <w:r/>
    </w:p>
    <w:p w14:paraId="153002B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International deployment staff and cross-border transfers.</w:t>
      </w:r>
      <w:r/>
    </w:p>
    <w:p w14:paraId="56143145">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Third-party vendor resources embedded within critical client-facing technology tracks.</w:t>
      </w:r>
      <w:r/>
    </w:p>
    <w:p w14:paraId="2CEC7ADF">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1.2 Core Integration Objectives</w:t>
      </w:r>
      <w:r/>
    </w:p>
    <w:p w14:paraId="41522A7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organization’s onboarding architectural framework is engineered around four primary business outcomes:</w:t>
      </w:r>
      <w:r/>
    </w:p>
    <w:p w14:paraId="13570EF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Time-to-Velocity Optimization:</w:t>
      </w:r>
      <w:r>
        <w:rPr>
          <w:rFonts w:ascii="Arial" w:hAnsi="Arial" w:eastAsia="Arial" w:cs="Arial"/>
          <w:color w:val="000000"/>
          <w:sz w:val="24"/>
        </w:rPr>
        <w:t xml:space="preserve"> Minimizing the latency between an engineer's start date and their active contribution to project codebases or client consulting sprints.</w:t>
      </w:r>
      <w:r/>
    </w:p>
    <w:p w14:paraId="6544736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Compliance &amp; Risk Mitigation:</w:t>
      </w:r>
      <w:r>
        <w:rPr>
          <w:rFonts w:ascii="Arial" w:hAnsi="Arial" w:eastAsia="Arial" w:cs="Arial"/>
          <w:color w:val="000000"/>
          <w:sz w:val="24"/>
        </w:rPr>
        <w:t xml:space="preserve"> Enforcing structural verification, data privacy training, and security access parameter mapping before production access is granted.</w:t>
      </w:r>
      <w:r/>
    </w:p>
    <w:p w14:paraId="5D677E56">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Strategic Retention Elevation:</w:t>
      </w:r>
      <w:r>
        <w:rPr>
          <w:rFonts w:ascii="Arial" w:hAnsi="Arial" w:eastAsia="Arial" w:cs="Arial"/>
          <w:color w:val="000000"/>
          <w:sz w:val="24"/>
        </w:rPr>
        <w:t xml:space="preserve"> Cultivating a structured, tech-forward initial experience to drive early-stage engagement and align talent with the company's autonomous culture.</w:t>
      </w:r>
      <w:r/>
    </w:p>
    <w:p w14:paraId="0AF53F65">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2. Pre-Onboarding Architecture &amp; Clearance Protocols</w:t>
      </w:r>
      <w:r/>
    </w:p>
    <w:p w14:paraId="1713E58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onboarding process commences immediately upon formal offer acceptance. The time frame between offer execution and Day 1 is designated as the </w:t>
      </w:r>
      <w:r>
        <w:rPr>
          <w:rFonts w:ascii="Arial" w:hAnsi="Arial" w:eastAsia="Arial" w:cs="Arial"/>
          <w:b/>
          <w:color w:val="000000"/>
          <w:sz w:val="24"/>
        </w:rPr>
        <w:t xml:space="preserve">Pre-Onboarding Validation Phase</w:t>
      </w:r>
      <w:r>
        <w:rPr>
          <w:rFonts w:ascii="Arial" w:hAnsi="Arial" w:eastAsia="Arial" w:cs="Arial"/>
          <w:color w:val="000000"/>
          <w:sz w:val="24"/>
        </w:rPr>
        <w:t xml:space="preserve">.</w:t>
      </w:r>
      <w:r/>
    </w:p>
    <w:p w14:paraId="0DAC0D20">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2.1 Automated Background and Credentials Screening (BGC)</w:t>
      </w:r>
      <w:r/>
    </w:p>
    <w:p w14:paraId="2664C57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No new joiner may access corporate networks or client instances without a fully cleared, validated background check file. The Global Talent Acquisition team coordinates with authorized international background check providers to verify:</w:t>
      </w:r>
      <w:r/>
    </w:p>
    <w:p w14:paraId="73BC11B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Academic and Professional History:</w:t>
      </w:r>
      <w:r>
        <w:rPr>
          <w:rFonts w:ascii="Arial" w:hAnsi="Arial" w:eastAsia="Arial" w:cs="Arial"/>
          <w:color w:val="000000"/>
          <w:sz w:val="24"/>
        </w:rPr>
        <w:t xml:space="preserve"> A mandatory audit of degrees, certifications, and previous tenures covering the last 7 years.</w:t>
      </w:r>
      <w:r/>
    </w:p>
    <w:p w14:paraId="3B8BDEDC">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Criminal and Regulatory Checks:</w:t>
      </w:r>
      <w:r>
        <w:rPr>
          <w:rFonts w:ascii="Arial" w:hAnsi="Arial" w:eastAsia="Arial" w:cs="Arial"/>
          <w:color w:val="000000"/>
          <w:sz w:val="24"/>
        </w:rPr>
        <w:t xml:space="preserve"> Local, national, and international law enforcement database sweeps, including financial regulatory blacklists for FinTech consulting tracks.</w:t>
      </w:r>
      <w:r/>
    </w:p>
    <w:p w14:paraId="42E9E215">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Sovereign Compliance &amp; Right-to-Work:</w:t>
      </w:r>
      <w:r>
        <w:rPr>
          <w:rFonts w:ascii="Arial" w:hAnsi="Arial" w:eastAsia="Arial" w:cs="Arial"/>
          <w:color w:val="000000"/>
          <w:sz w:val="24"/>
        </w:rPr>
        <w:t xml:space="preserve"> Rigorous verification of identification cards, visas, work authorizations, and passports in full alignment with localized immigration structures.</w:t>
      </w:r>
      <w:r/>
    </w:p>
    <w:p w14:paraId="3CACCF8B">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2.2 Global Hardware Provisioning and Logistics Control</w:t>
      </w:r>
      <w:r/>
    </w:p>
    <w:p w14:paraId="7CBF690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To support remote, hybrid, and site-specific workspace models, corporate computational assets are shipped to the employee’s verified physical residence at least </w:t>
      </w:r>
      <w:r>
        <w:rPr>
          <w:rFonts w:ascii="Arial" w:hAnsi="Arial" w:eastAsia="Arial" w:cs="Arial"/>
          <w:b/>
          <w:color w:val="000000"/>
          <w:sz w:val="24"/>
        </w:rPr>
        <w:t xml:space="preserve">3 business days prior</w:t>
      </w:r>
      <w:r>
        <w:rPr>
          <w:rFonts w:ascii="Arial" w:hAnsi="Arial" w:eastAsia="Arial" w:cs="Arial"/>
          <w:color w:val="000000"/>
          <w:sz w:val="24"/>
        </w:rPr>
        <w:t xml:space="preserve"> to their official start date.</w:t>
      </w:r>
      <w:r/>
    </w:p>
    <w:p w14:paraId="3204F9E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6DCA804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PRE-ONBOARDING ASSET WORKFLOW     │</w:t>
      </w:r>
      <w:r/>
    </w:p>
    <w:p w14:paraId="632D997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43F6089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4980F6D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[Offer Accepted]</w:t>
      </w:r>
      <w:r/>
    </w:p>
    <w:p w14:paraId="23B61C5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0BD8A0C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78F705A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05E01CE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Global Logistics Alerts IT Hub       │</w:t>
      </w:r>
      <w:r/>
    </w:p>
    <w:p w14:paraId="1D2D78C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3412835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63ED899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609B176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20A1B34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Hardware Imaged with Base Security EDR │</w:t>
      </w:r>
      <w:r/>
    </w:p>
    <w:p w14:paraId="52D7272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071055E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79560A5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2442A0B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0D2059A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Secured Shipped (Arrives Day Minus 3)  │</w:t>
      </w:r>
      <w:r/>
    </w:p>
    <w:p w14:paraId="41DD52D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4C6A620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0F3F4C05">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Asset Footprint:</w:t>
      </w:r>
      <w:r>
        <w:rPr>
          <w:rFonts w:ascii="Arial" w:hAnsi="Arial" w:eastAsia="Arial" w:cs="Arial"/>
          <w:color w:val="000000"/>
          <w:sz w:val="24"/>
        </w:rPr>
        <w:t xml:space="preserve"> All consulting and engineering staff receive a standard corporate-imaged developer laptop equipped with automated Mobile Device Management (MDM) software, pre-configured Endpoint Detection and Response (EDR) agents, and multi-factor biometric keys.</w:t>
      </w:r>
      <w:r/>
    </w:p>
    <w:p w14:paraId="7AFE387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Physical Workspace Verification:</w:t>
      </w:r>
      <w:r>
        <w:rPr>
          <w:rFonts w:ascii="Arial" w:hAnsi="Arial" w:eastAsia="Arial" w:cs="Arial"/>
          <w:color w:val="000000"/>
          <w:sz w:val="24"/>
        </w:rPr>
        <w:t xml:space="preserve"> For fully remote personnel, a self-certified photographic audit of the home office space must be completed via the HR portal to ensure ergonomic baseline safety and physical data isolation parameters are maintained.</w:t>
      </w:r>
      <w:r/>
    </w:p>
    <w:p w14:paraId="5CE16652">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3. The 30-60-90 Day Integration Framework</w:t>
      </w:r>
      <w:r/>
    </w:p>
    <w:p w14:paraId="6CFF709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To drive autonomous execution and transparency, the global onboarding trajectory is standardized into three operational performance cycles.</w:t>
      </w:r>
      <w:r/>
    </w:p>
    <w:p w14:paraId="1CA6C15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7AA6921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DAYS 1–30: ACCELERATED ASSIMILATION &amp; SECURITY BASICS           │</w:t>
      </w:r>
      <w:r/>
    </w:p>
    <w:p w14:paraId="10A7FAE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Focus: Regulatory compliance, access configuration, team syncs. │</w:t>
      </w:r>
      <w:r/>
    </w:p>
    <w:p w14:paraId="1EE31CE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2942D94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w:t>
      </w:r>
      <w:r/>
    </w:p>
    <w:p w14:paraId="1A5B235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0E5EA57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233AE36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DAYS 31–60: LOGICAL IMMERSION &amp; SHADOW DELIVERY                 │</w:t>
      </w:r>
      <w:r/>
    </w:p>
    <w:p w14:paraId="4FED4EC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Focus: Technical environment deployment, client shadowing.      │</w:t>
      </w:r>
      <w:r/>
    </w:p>
    <w:p w14:paraId="14DABFF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3BFD9BC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w:t>
      </w:r>
      <w:r/>
    </w:p>
    <w:p w14:paraId="6CC6888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0D73D83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5C6ABA8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DAYS 61–90: INDEPENDENT VELOCITY &amp; OKR ALIGNMENT                │</w:t>
      </w:r>
      <w:r/>
    </w:p>
    <w:p w14:paraId="5ECF781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 Focus: Active billable sprints, solo architectural ownership.   │</w:t>
      </w:r>
      <w:r/>
    </w:p>
    <w:p w14:paraId="24EE0C4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r>
      <w:r/>
    </w:p>
    <w:p w14:paraId="1EDF67C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5B799DC2">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3.1 Days 1 to 30: Technical and Compliance Assimilation</w:t>
      </w:r>
      <w:r/>
    </w:p>
    <w:p w14:paraId="5CD41532">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I: Day 1 Synchronization and Absolute Verification</w:t>
      </w:r>
      <w:r/>
    </w:p>
    <w:p w14:paraId="3AADA37A">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Biometric and Identity Lock:</w:t>
      </w:r>
      <w:r>
        <w:rPr>
          <w:rFonts w:ascii="Arial" w:hAnsi="Arial" w:eastAsia="Arial" w:cs="Arial"/>
          <w:color w:val="000000"/>
          <w:sz w:val="24"/>
        </w:rPr>
        <w:t xml:space="preserve"> New hires complete identity verification protocols with Global IT Support to activate corporate Single Sign-On (SSO) systems and initialize Hardware Multi-Factor Authentication.</w:t>
      </w:r>
      <w:r/>
    </w:p>
    <w:p w14:paraId="76C30A2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Corporate Policy Induction:</w:t>
      </w:r>
      <w:r>
        <w:rPr>
          <w:rFonts w:ascii="Arial" w:hAnsi="Arial" w:eastAsia="Arial" w:cs="Arial"/>
          <w:color w:val="000000"/>
          <w:sz w:val="24"/>
        </w:rPr>
        <w:t xml:space="preserve"> A mandatory virtual or physical review of the </w:t>
      </w:r>
      <w:r>
        <w:rPr>
          <w:rFonts w:ascii="Arial" w:hAnsi="Arial" w:eastAsia="Arial" w:cs="Arial"/>
          <w:i/>
          <w:color w:val="000000"/>
          <w:sz w:val="24"/>
        </w:rPr>
        <w:t xml:space="preserve">Global Employee Policy Manual</w:t>
      </w:r>
      <w:r>
        <w:rPr>
          <w:rFonts w:ascii="Arial" w:hAnsi="Arial" w:eastAsia="Arial" w:cs="Arial"/>
          <w:color w:val="000000"/>
          <w:sz w:val="24"/>
        </w:rPr>
        <w:t xml:space="preserve">, focusing heavily on data minimization, moonlighting prohibitions, and anti-harassment reporting structures.</w:t>
      </w:r>
      <w:r/>
    </w:p>
    <w:p w14:paraId="6EC0D545">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II: Structural Compliance Learning Tracks</w:t>
      </w:r>
      <w:r/>
    </w:p>
    <w:p w14:paraId="1EEBCB0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Within the first 14 calendar days, all incoming personnel must review and pass evaluation modules for the following core global frameworks. Failure to achieve a 100% score on the subsequent security assessments will result in the immediate lock of producti</w:t>
      </w:r>
      <w:r>
        <w:rPr>
          <w:rFonts w:ascii="Arial" w:hAnsi="Arial" w:eastAsia="Arial" w:cs="Arial"/>
          <w:color w:val="000000"/>
          <w:sz w:val="24"/>
        </w:rPr>
        <w:t xml:space="preserve">on environment keys: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68"/>
        <w:gridCol w:w="6047"/>
        <w:gridCol w:w="1640"/>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68" w:type="dxa"/>
            <w:vAlign w:val="center"/>
          </w:tcPr>
          <w:p w14:paraId="679299EF">
            <w:pPr>
              <w:pBdr/>
              <w:spacing w:after="0" w:before="0" w:line="240"/>
              <w:ind/>
              <w:rPr/>
            </w:pPr>
            <w:r>
              <w:rPr>
                <w:rFonts w:ascii="Arial" w:hAnsi="Arial" w:eastAsia="Arial" w:cs="Arial"/>
                <w:b/>
                <w:color w:val="000000"/>
                <w:sz w:val="24"/>
              </w:rPr>
              <w:t xml:space="preserve">Training Module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47" w:type="dxa"/>
            <w:vAlign w:val="center"/>
          </w:tcPr>
          <w:p w14:paraId="7B63F866">
            <w:pPr>
              <w:pBdr/>
              <w:spacing w:after="0" w:before="0" w:line="240"/>
              <w:ind/>
              <w:rPr/>
            </w:pPr>
            <w:r>
              <w:rPr>
                <w:rFonts w:ascii="Arial" w:hAnsi="Arial" w:eastAsia="Arial" w:cs="Arial"/>
                <w:b/>
                <w:color w:val="000000"/>
                <w:sz w:val="24"/>
              </w:rPr>
              <w:t xml:space="preserve">Legal/Operational Focus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0" w:type="dxa"/>
            <w:vAlign w:val="center"/>
          </w:tcPr>
          <w:p w14:paraId="1052056F">
            <w:pPr>
              <w:pBdr/>
              <w:spacing w:after="0" w:before="0" w:line="240"/>
              <w:ind/>
              <w:rPr/>
            </w:pPr>
            <w:r>
              <w:rPr>
                <w:rFonts w:ascii="Arial" w:hAnsi="Arial" w:eastAsia="Arial" w:cs="Arial"/>
                <w:b/>
                <w:color w:val="000000"/>
                <w:sz w:val="24"/>
              </w:rPr>
              <w:t xml:space="preserve">Mandatory Completion Target</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68" w:type="dxa"/>
            <w:vAlign w:val="center"/>
          </w:tcPr>
          <w:p w14:paraId="0E963529">
            <w:pPr>
              <w:pBdr/>
              <w:spacing w:after="0" w:before="0" w:line="240"/>
              <w:ind/>
              <w:rPr/>
            </w:pPr>
            <w:r>
              <w:rPr>
                <w:rFonts w:ascii="Arial" w:hAnsi="Arial" w:eastAsia="Arial" w:cs="Arial"/>
                <w:b/>
                <w:color w:val="000000"/>
                <w:sz w:val="24"/>
              </w:rPr>
              <w:t xml:space="preserve">Global Data Privacy Matrix</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47" w:type="dxa"/>
            <w:vAlign w:val="center"/>
          </w:tcPr>
          <w:p w14:paraId="4174A1AB">
            <w:pPr>
              <w:pBdr/>
              <w:spacing w:after="0" w:before="0" w:line="240"/>
              <w:ind/>
              <w:rPr/>
            </w:pPr>
            <w:r>
              <w:rPr>
                <w:rFonts w:ascii="Arial" w:hAnsi="Arial" w:eastAsia="Arial" w:cs="Arial"/>
                <w:color w:val="000000"/>
                <w:sz w:val="24"/>
              </w:rPr>
              <w:t xml:space="preserve">Comprehensive rules governing </w:t>
            </w:r>
            <w:r>
              <w:rPr>
                <w:rFonts w:ascii="Arial" w:hAnsi="Arial" w:eastAsia="Arial" w:cs="Arial"/>
                <w:b/>
                <w:color w:val="000000"/>
                <w:sz w:val="24"/>
              </w:rPr>
              <w:t xml:space="preserve">GDPR</w:t>
            </w:r>
            <w:r>
              <w:rPr>
                <w:rFonts w:ascii="Arial" w:hAnsi="Arial" w:eastAsia="Arial" w:cs="Arial"/>
                <w:color w:val="000000"/>
                <w:sz w:val="24"/>
              </w:rPr>
              <w:t xml:space="preserve">, </w:t>
            </w:r>
            <w:r>
              <w:rPr>
                <w:rFonts w:ascii="Arial" w:hAnsi="Arial" w:eastAsia="Arial" w:cs="Arial"/>
                <w:b/>
                <w:color w:val="000000"/>
                <w:sz w:val="24"/>
              </w:rPr>
              <w:t xml:space="preserve">CCPA</w:t>
            </w:r>
            <w:r>
              <w:rPr>
                <w:rFonts w:ascii="Arial" w:hAnsi="Arial" w:eastAsia="Arial" w:cs="Arial"/>
                <w:color w:val="000000"/>
                <w:sz w:val="24"/>
              </w:rPr>
              <w:t xml:space="preserve">, and handling client-facing Personally Identifiable Information (PII).</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0" w:type="dxa"/>
            <w:vAlign w:val="center"/>
          </w:tcPr>
          <w:p w14:paraId="1F2B2FF1">
            <w:pPr>
              <w:pBdr/>
              <w:spacing w:after="0" w:before="0" w:line="240"/>
              <w:ind/>
              <w:rPr/>
            </w:pPr>
            <w:r>
              <w:rPr>
                <w:rFonts w:ascii="Arial" w:hAnsi="Arial" w:eastAsia="Arial" w:cs="Arial"/>
                <w:color w:val="000000"/>
                <w:sz w:val="24"/>
              </w:rPr>
              <w:t xml:space="preserve">Day 7 of Tenure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68" w:type="dxa"/>
            <w:vAlign w:val="center"/>
          </w:tcPr>
          <w:p w14:paraId="0CC1A4CA">
            <w:pPr>
              <w:pBdr/>
              <w:spacing w:after="0" w:before="0" w:line="240"/>
              <w:ind/>
              <w:rPr/>
            </w:pPr>
            <w:r>
              <w:rPr>
                <w:rFonts w:ascii="Arial" w:hAnsi="Arial" w:eastAsia="Arial" w:cs="Arial"/>
                <w:b/>
                <w:color w:val="000000"/>
                <w:sz w:val="24"/>
              </w:rPr>
              <w:t xml:space="preserve">Information Security (InfoSec)</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47" w:type="dxa"/>
            <w:vAlign w:val="center"/>
          </w:tcPr>
          <w:p w14:paraId="1F2329D3">
            <w:pPr>
              <w:pBdr/>
              <w:spacing w:after="0" w:before="0" w:line="240"/>
              <w:ind/>
              <w:rPr/>
            </w:pPr>
            <w:r>
              <w:rPr>
                <w:rFonts w:ascii="Arial" w:hAnsi="Arial" w:eastAsia="Arial" w:cs="Arial"/>
                <w:color w:val="000000"/>
                <w:sz w:val="24"/>
              </w:rPr>
              <w:t xml:space="preserve">Zero-Trust architecture paradigms, phishing vectors, secure VPN handshakes, and strict EDR tamper controls.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0" w:type="dxa"/>
            <w:vAlign w:val="center"/>
          </w:tcPr>
          <w:p w14:paraId="192C8B70">
            <w:pPr>
              <w:pBdr/>
              <w:spacing w:after="0" w:before="0" w:line="240"/>
              <w:ind/>
              <w:rPr/>
            </w:pPr>
            <w:r>
              <w:rPr>
                <w:rFonts w:ascii="Arial" w:hAnsi="Arial" w:eastAsia="Arial" w:cs="Arial"/>
                <w:color w:val="000000"/>
                <w:sz w:val="24"/>
              </w:rPr>
              <w:t xml:space="preserve">Day 7 of Tenure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68" w:type="dxa"/>
            <w:vAlign w:val="center"/>
          </w:tcPr>
          <w:p w14:paraId="7F71575E">
            <w:pPr>
              <w:pBdr/>
              <w:spacing w:after="0" w:before="0" w:line="240"/>
              <w:ind/>
              <w:rPr/>
            </w:pPr>
            <w:r>
              <w:rPr>
                <w:rFonts w:ascii="Arial" w:hAnsi="Arial" w:eastAsia="Arial" w:cs="Arial"/>
                <w:b/>
                <w:color w:val="000000"/>
                <w:sz w:val="24"/>
              </w:rPr>
              <w:t xml:space="preserve">Code Governance &amp; AI Ethics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47" w:type="dxa"/>
            <w:vAlign w:val="center"/>
          </w:tcPr>
          <w:p w14:paraId="2A0C0D8F">
            <w:pPr>
              <w:pBdr/>
              <w:spacing w:after="0" w:before="0" w:line="240"/>
              <w:ind/>
              <w:rPr/>
            </w:pPr>
            <w:r>
              <w:rPr>
                <w:rFonts w:ascii="Arial" w:hAnsi="Arial" w:eastAsia="Arial" w:cs="Arial"/>
                <w:color w:val="000000"/>
                <w:sz w:val="24"/>
              </w:rPr>
              <w:t xml:space="preserve">Policy restrictions on public Large Language Model (LLM) inputs and proprietary code security rules.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0" w:type="dxa"/>
            <w:vAlign w:val="center"/>
          </w:tcPr>
          <w:p w14:paraId="278AC2BE">
            <w:pPr>
              <w:pBdr/>
              <w:spacing w:after="0" w:before="0" w:line="240"/>
              <w:ind/>
              <w:rPr/>
            </w:pPr>
            <w:r>
              <w:rPr>
                <w:rFonts w:ascii="Arial" w:hAnsi="Arial" w:eastAsia="Arial" w:cs="Arial"/>
                <w:color w:val="000000"/>
                <w:sz w:val="24"/>
              </w:rPr>
              <w:t xml:space="preserve">Day 14 of Tenure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68" w:type="dxa"/>
            <w:vAlign w:val="center"/>
          </w:tcPr>
          <w:p w14:paraId="0034B9DA">
            <w:pPr>
              <w:pBdr/>
              <w:spacing w:after="0" w:before="0" w:line="240"/>
              <w:ind/>
              <w:rPr/>
            </w:pPr>
            <w:r>
              <w:rPr>
                <w:rFonts w:ascii="Arial" w:hAnsi="Arial" w:eastAsia="Arial" w:cs="Arial"/>
                <w:b/>
                <w:color w:val="000000"/>
                <w:sz w:val="24"/>
              </w:rPr>
              <w:t xml:space="preserve">Dignity at Work &amp; Anti-Bribery</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6047" w:type="dxa"/>
            <w:vAlign w:val="center"/>
          </w:tcPr>
          <w:p w14:paraId="379D4599">
            <w:pPr>
              <w:pBdr/>
              <w:spacing w:after="0" w:before="0" w:line="240"/>
              <w:ind/>
              <w:rPr/>
            </w:pPr>
            <w:r>
              <w:rPr>
                <w:rFonts w:ascii="Arial" w:hAnsi="Arial" w:eastAsia="Arial" w:cs="Arial"/>
                <w:color w:val="000000"/>
                <w:sz w:val="24"/>
              </w:rPr>
              <w:t xml:space="preserve">Comprehensive </w:t>
            </w:r>
            <w:r>
              <w:rPr>
                <w:rFonts w:ascii="Arial" w:hAnsi="Arial" w:eastAsia="Arial" w:cs="Arial"/>
                <w:b/>
                <w:color w:val="000000"/>
                <w:sz w:val="24"/>
              </w:rPr>
              <w:t xml:space="preserve">POSH</w:t>
            </w:r>
            <w:r>
              <w:rPr>
                <w:rFonts w:ascii="Arial" w:hAnsi="Arial" w:eastAsia="Arial" w:cs="Arial"/>
                <w:color w:val="000000"/>
                <w:sz w:val="24"/>
              </w:rPr>
              <w:t xml:space="preserve"> compliance directives, harassment remediation paths, and </w:t>
            </w:r>
            <w:r>
              <w:rPr>
                <w:rFonts w:ascii="Arial" w:hAnsi="Arial" w:eastAsia="Arial" w:cs="Arial"/>
                <w:b/>
                <w:color w:val="000000"/>
                <w:sz w:val="24"/>
              </w:rPr>
              <w:t xml:space="preserve">FCPA/UK Bribery Act</w:t>
            </w:r>
            <w:r>
              <w:rPr>
                <w:rFonts w:ascii="Arial" w:hAnsi="Arial" w:eastAsia="Arial" w:cs="Arial"/>
                <w:color w:val="000000"/>
                <w:sz w:val="24"/>
              </w:rPr>
              <w:t xml:space="preserve"> boundaries.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640" w:type="dxa"/>
            <w:vAlign w:val="center"/>
          </w:tcPr>
          <w:p w14:paraId="0D1D3E39">
            <w:pPr>
              <w:pBdr/>
              <w:spacing w:after="0" w:before="0" w:line="240"/>
              <w:ind/>
              <w:rPr/>
            </w:pPr>
            <w:r>
              <w:rPr>
                <w:rFonts w:ascii="Arial" w:hAnsi="Arial" w:eastAsia="Arial" w:cs="Arial"/>
                <w:color w:val="000000"/>
                <w:sz w:val="24"/>
              </w:rPr>
              <w:t xml:space="preserve">Day 14 of Tenure</w:t>
            </w:r>
            <w:r/>
          </w:p>
        </w:tc>
      </w:tr>
    </w:tbl>
    <w:p w14:paraId="5796F4F9">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3.2 Days 31 to 60: Environmental Immersion and Shadowing</w:t>
      </w:r>
      <w:r/>
    </w:p>
    <w:p w14:paraId="4C6CB12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Technical Stack Onboarding:</w:t>
      </w:r>
      <w:r>
        <w:rPr>
          <w:rFonts w:ascii="Arial" w:hAnsi="Arial" w:eastAsia="Arial" w:cs="Arial"/>
          <w:color w:val="000000"/>
          <w:sz w:val="24"/>
        </w:rPr>
        <w:t xml:space="preserve"> Access provisioning to target environments, repository configurations, enterprise communication networks, and project management workspaces (e.g., Jira, Confluence, internal code clouds).</w:t>
      </w:r>
      <w:r/>
    </w:p>
    <w:p w14:paraId="4A1543A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Project Shadowing Matrix:</w:t>
      </w:r>
      <w:r>
        <w:rPr>
          <w:rFonts w:ascii="Arial" w:hAnsi="Arial" w:eastAsia="Arial" w:cs="Arial"/>
          <w:color w:val="000000"/>
          <w:sz w:val="24"/>
        </w:rPr>
        <w:t xml:space="preserve"> The new joiner is assigned to an active consulting delivery track as a non-billable shadow asset. This enables the employee to observe real-time client communications, internal sprint reviews, and deployment procedures without taking direct delivery risk.</w:t>
      </w:r>
      <w:r/>
    </w:p>
    <w:p w14:paraId="67BBA4C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The Technical Buddy Assignment:</w:t>
      </w:r>
      <w:r>
        <w:rPr>
          <w:rFonts w:ascii="Arial" w:hAnsi="Arial" w:eastAsia="Arial" w:cs="Arial"/>
          <w:color w:val="000000"/>
          <w:sz w:val="24"/>
        </w:rPr>
        <w:t xml:space="preserve"> The engineering manager pairs the new hire with a senior peer ("Onboarding Buddy") who provides immediate support for local code compiling issues, deployment rules, and navigating cross-functional global teams.</w:t>
      </w:r>
      <w:r/>
    </w:p>
    <w:p w14:paraId="120DB87F">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3.3 Days 61 to 90: Autonomy and OKR Execution</w:t>
      </w:r>
      <w:r/>
    </w:p>
    <w:p w14:paraId="7486150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Active Project Integration:</w:t>
      </w:r>
      <w:r>
        <w:rPr>
          <w:rFonts w:ascii="Arial" w:hAnsi="Arial" w:eastAsia="Arial" w:cs="Arial"/>
          <w:color w:val="000000"/>
          <w:sz w:val="24"/>
        </w:rPr>
        <w:t xml:space="preserve"> The transition from shadow status to full billable resource allocation. The employee begins taking independent ownership of sprint tasks, client advisory blocks, or specific software components.</w:t>
      </w:r>
      <w:r/>
    </w:p>
    <w:p w14:paraId="5519EF6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Initial OKR Alignment:</w:t>
      </w:r>
      <w:r>
        <w:rPr>
          <w:rFonts w:ascii="Arial" w:hAnsi="Arial" w:eastAsia="Arial" w:cs="Arial"/>
          <w:color w:val="000000"/>
          <w:sz w:val="24"/>
        </w:rPr>
        <w:t xml:space="preserve"> The functional manager establishes the employee's initial individual Objectives and Key Results (OKRs) for the remaining portion of the fiscal quarter. These metrics tie into performance expectations, code velocity benchmarks, and client satisfaction targ</w:t>
      </w:r>
      <w:r>
        <w:rPr>
          <w:rFonts w:ascii="Arial" w:hAnsi="Arial" w:eastAsia="Arial" w:cs="Arial"/>
          <w:color w:val="000000"/>
          <w:sz w:val="24"/>
        </w:rPr>
        <w:t xml:space="preserve">ets.</w:t>
      </w:r>
      <w:r/>
    </w:p>
    <w:p w14:paraId="731F72A5">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90-Day Probationary Calibration:</w:t>
      </w:r>
      <w:r>
        <w:rPr>
          <w:rFonts w:ascii="Arial" w:hAnsi="Arial" w:eastAsia="Arial" w:cs="Arial"/>
          <w:color w:val="000000"/>
          <w:sz w:val="24"/>
        </w:rPr>
        <w:t xml:space="preserve"> A formal, documented meeting between HR Operations, the Line Manager, and the employee to review peer feedback, assess policy compliance, and officially transition the hire from probationary status to a regular standing member of the global workforce.</w:t>
      </w:r>
      <w:r/>
    </w:p>
    <w:p w14:paraId="7A2736B8">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4. Operational Roles &amp; Responsibilities</w:t>
      </w:r>
      <w:r/>
    </w:p>
    <w:p w14:paraId="6BA9E1C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Successful onboarding is a shared operational objective across the enterprise ecosystem.</w:t>
      </w:r>
      <w:r/>
    </w:p>
    <w:p w14:paraId="4E8A12B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Global Talent Acquisition (TA):</w:t>
      </w:r>
      <w:r>
        <w:rPr>
          <w:rFonts w:ascii="Arial" w:hAnsi="Arial" w:eastAsia="Arial" w:cs="Arial"/>
          <w:color w:val="000000"/>
          <w:sz w:val="24"/>
        </w:rPr>
        <w:t xml:space="preserve"> Responsible for managing applicant document collection, initiating the background check pipeline, and coordinating start dates with cross-functional stakeholders.</w:t>
      </w:r>
      <w:r/>
    </w:p>
    <w:p w14:paraId="7F7971B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Information Technology &amp; Security Operations (ITSec):</w:t>
      </w:r>
      <w:r>
        <w:rPr>
          <w:rFonts w:ascii="Arial" w:hAnsi="Arial" w:eastAsia="Arial" w:cs="Arial"/>
          <w:color w:val="000000"/>
          <w:sz w:val="24"/>
        </w:rPr>
        <w:t xml:space="preserve"> Accountable for hardware baseline imaging, logistical delivery validation, asset registry tracking, and setting up initial identity validation protocols.</w:t>
      </w:r>
      <w:r/>
    </w:p>
    <w:p w14:paraId="7AB73B96">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Line Managers / Practice Directors:</w:t>
      </w:r>
      <w:r>
        <w:rPr>
          <w:rFonts w:ascii="Arial" w:hAnsi="Arial" w:eastAsia="Arial" w:cs="Arial"/>
          <w:color w:val="000000"/>
          <w:sz w:val="24"/>
        </w:rPr>
        <w:t xml:space="preserve"> Responsible for drafting the first 30-60-90 day technical milestone map, designating the Onboarding Buddy, coordinating internal team stand-ups, and setting project targets.</w:t>
      </w:r>
      <w:r/>
    </w:p>
    <w:p w14:paraId="2821895B">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Global People Operations (HR Partner):</w:t>
      </w:r>
      <w:r>
        <w:rPr>
          <w:rFonts w:ascii="Arial" w:hAnsi="Arial" w:eastAsia="Arial" w:cs="Arial"/>
          <w:color w:val="000000"/>
          <w:sz w:val="24"/>
        </w:rPr>
        <w:t xml:space="preserve"> Accountable for auditing policy compliance training completion, resolving localized legal payroll or benefit issues, and facilitating the 90-day probationary review loop.</w:t>
      </w:r>
      <w:r/>
    </w:p>
    <w:p w14:paraId="6E688879">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5. Non-Compliance and Enforcement Parameters</w:t>
      </w:r>
      <w:r/>
    </w:p>
    <w:p w14:paraId="5091662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Adherence to this policy is mandatory. New hires who fail to complete their mandatory data privacy, POSH, and InfoSec certifications within the specified timeframes will have their network access suspended by IT Security Operations without prior warning.</w:t>
      </w:r>
      <w:r/>
    </w:p>
    <w:p w14:paraId="32DCC51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Continued failure to comply with the training mandates, falsification of pre-onboarding documents discovered after hiring, or structural failure to meet the 90-day performance milestones will result in an immediate termination of the employment contract, i</w:t>
      </w:r>
      <w:r>
        <w:rPr>
          <w:rFonts w:ascii="Arial" w:hAnsi="Arial" w:eastAsia="Arial" w:cs="Arial"/>
          <w:color w:val="000000"/>
          <w:sz w:val="24"/>
        </w:rPr>
        <w:t xml:space="preserve">n accordance with applicable regional labor regulations.</w:t>
      </w:r>
      <w:r/>
    </w:p>
    <w:p w14:paraId="52A3B561">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6. Appendix: Global Onboarding Day 1 Checklist for Managers</w:t>
      </w:r>
      <w:r/>
    </w:p>
    <w:p w14:paraId="75A0B12B">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Verify the hardware delivery notification with the Global Logistics dashboard.</w:t>
      </w:r>
      <w:r/>
    </w:p>
    <w:p w14:paraId="1D49227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Verify that the candidate's Background Check (BGC) clearance is marked green.</w:t>
      </w:r>
      <w:r/>
    </w:p>
    <w:p w14:paraId="2125CC9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Confirm the assignment of the Technical Buddy within the engineering directory.</w:t>
      </w:r>
      <w:r/>
    </w:p>
    <w:p w14:paraId="30ECE119">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Send the team-wide introduction message via enterprise communication hubs.</w:t>
      </w:r>
      <w:r/>
    </w:p>
    <w:p w14:paraId="5CFB939A">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 ] Schedule the Day 1 identity validation and the Initial Weekly Sync call.</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4C17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2026-07-14T07:49:26Z</dcterms:modified>
</cp:coreProperties>
</file>