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1D9D" w:rsidRPr="00121D9D" w:rsidRDefault="00121D9D" w:rsidP="00121D9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21D9D">
        <w:rPr>
          <w:rFonts w:ascii="Times New Roman" w:eastAsia="Times New Roman" w:hAnsi="Times New Roman" w:cs="Times New Roman"/>
          <w:b/>
          <w:bCs/>
          <w:kern w:val="36"/>
          <w:sz w:val="48"/>
          <w:szCs w:val="48"/>
        </w:rPr>
        <w:t xml:space="preserve">Deep Learning-Based Glaucoma Detection from </w:t>
      </w:r>
      <w:proofErr w:type="spellStart"/>
      <w:r w:rsidRPr="00121D9D">
        <w:rPr>
          <w:rFonts w:ascii="Times New Roman" w:eastAsia="Times New Roman" w:hAnsi="Times New Roman" w:cs="Times New Roman"/>
          <w:b/>
          <w:bCs/>
          <w:kern w:val="36"/>
          <w:sz w:val="48"/>
          <w:szCs w:val="48"/>
        </w:rPr>
        <w:t>Fundus</w:t>
      </w:r>
      <w:proofErr w:type="spellEnd"/>
      <w:r w:rsidRPr="00121D9D">
        <w:rPr>
          <w:rFonts w:ascii="Times New Roman" w:eastAsia="Times New Roman" w:hAnsi="Times New Roman" w:cs="Times New Roman"/>
          <w:b/>
          <w:bCs/>
          <w:kern w:val="36"/>
          <w:sz w:val="48"/>
          <w:szCs w:val="48"/>
        </w:rPr>
        <w:t xml:space="preserve"> Images: A Systematic Review of Architectures, Datasets, Evaluation Protocols, and </w:t>
      </w:r>
      <w:proofErr w:type="spellStart"/>
      <w:r w:rsidRPr="00121D9D">
        <w:rPr>
          <w:rFonts w:ascii="Times New Roman" w:eastAsia="Times New Roman" w:hAnsi="Times New Roman" w:cs="Times New Roman"/>
          <w:b/>
          <w:bCs/>
          <w:kern w:val="36"/>
          <w:sz w:val="48"/>
          <w:szCs w:val="48"/>
        </w:rPr>
        <w:t>Explainability</w:t>
      </w:r>
      <w:proofErr w:type="spellEnd"/>
    </w:p>
    <w:p w:rsidR="00121D9D" w:rsidRPr="00121D9D" w:rsidRDefault="00121D9D" w:rsidP="00121D9D">
      <w:pPr>
        <w:spacing w:before="100" w:beforeAutospacing="1" w:after="100" w:afterAutospacing="1" w:line="240" w:lineRule="auto"/>
        <w:outlineLvl w:val="1"/>
        <w:rPr>
          <w:rFonts w:ascii="Times New Roman" w:eastAsia="Times New Roman" w:hAnsi="Times New Roman" w:cs="Times New Roman"/>
          <w:b/>
          <w:bCs/>
          <w:sz w:val="36"/>
          <w:szCs w:val="36"/>
        </w:rPr>
      </w:pPr>
      <w:r w:rsidRPr="00121D9D">
        <w:rPr>
          <w:rFonts w:ascii="Times New Roman" w:eastAsia="Times New Roman" w:hAnsi="Times New Roman" w:cs="Times New Roman"/>
          <w:b/>
          <w:bCs/>
          <w:sz w:val="36"/>
          <w:szCs w:val="36"/>
        </w:rPr>
        <w:t>1. Introduction</w:t>
      </w:r>
    </w:p>
    <w:p w:rsidR="00121D9D" w:rsidRPr="00121D9D" w:rsidRDefault="00121D9D" w:rsidP="00121D9D">
      <w:pPr>
        <w:spacing w:before="100" w:beforeAutospacing="1" w:after="100" w:afterAutospacing="1" w:line="240" w:lineRule="auto"/>
        <w:outlineLvl w:val="2"/>
        <w:rPr>
          <w:rFonts w:ascii="Times New Roman" w:eastAsia="Times New Roman" w:hAnsi="Times New Roman" w:cs="Times New Roman"/>
          <w:b/>
          <w:bCs/>
          <w:sz w:val="27"/>
          <w:szCs w:val="27"/>
        </w:rPr>
      </w:pPr>
      <w:r w:rsidRPr="00121D9D">
        <w:rPr>
          <w:rFonts w:ascii="Times New Roman" w:eastAsia="Times New Roman" w:hAnsi="Times New Roman" w:cs="Times New Roman"/>
          <w:b/>
          <w:bCs/>
          <w:sz w:val="27"/>
          <w:szCs w:val="27"/>
        </w:rPr>
        <w:t>1.1. Clinical Significance of Glaucoma Detection</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Glaucoma is a group of progressive eye diseases associated with damage to the optic nerve and is a major cause of irreversible vision loss worldwide. The disease may progress without noticeable symptoms during its early stages, making timely identification and appropriate clinical assessment particularly important. Once substantial optic nerve damage has occurred</w:t>
      </w:r>
      <w:proofErr w:type="gramStart"/>
      <w:r w:rsidRPr="00121D9D">
        <w:rPr>
          <w:rFonts w:ascii="Times New Roman" w:eastAsia="Times New Roman" w:hAnsi="Times New Roman" w:cs="Times New Roman"/>
          <w:sz w:val="24"/>
          <w:szCs w:val="24"/>
        </w:rPr>
        <w:t>,</w:t>
      </w:r>
      <w:proofErr w:type="gramEnd"/>
      <w:r w:rsidRPr="00121D9D">
        <w:rPr>
          <w:rFonts w:ascii="Times New Roman" w:eastAsia="Times New Roman" w:hAnsi="Times New Roman" w:cs="Times New Roman"/>
          <w:sz w:val="24"/>
          <w:szCs w:val="24"/>
        </w:rPr>
        <w:t xml:space="preserve"> the resulting visual impairment cannot generally be reversed. Consequently, the development of reliable methods for identifying glaucoma at an early stage remains an important objective in ophthalmic research and clinical practice [1, 2].</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Color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 xml:space="preserve"> photography provides a non-invasive means of examining the retina and optic nerve head. Features such as optic disc appearance, </w:t>
      </w:r>
      <w:proofErr w:type="spellStart"/>
      <w:r w:rsidRPr="00121D9D">
        <w:rPr>
          <w:rFonts w:ascii="Times New Roman" w:eastAsia="Times New Roman" w:hAnsi="Times New Roman" w:cs="Times New Roman"/>
          <w:sz w:val="24"/>
          <w:szCs w:val="24"/>
        </w:rPr>
        <w:t>neuroretinal</w:t>
      </w:r>
      <w:proofErr w:type="spellEnd"/>
      <w:r w:rsidRPr="00121D9D">
        <w:rPr>
          <w:rFonts w:ascii="Times New Roman" w:eastAsia="Times New Roman" w:hAnsi="Times New Roman" w:cs="Times New Roman"/>
          <w:sz w:val="24"/>
          <w:szCs w:val="24"/>
        </w:rPr>
        <w:t xml:space="preserve"> rim changes, and the cup-to-disc ratio are commonly considered when assessing the possibility of glaucomatous damage. However, interpreting these features requires appropriate clinical expertise, and variations in image quality, anatomical appearance, and disease presentation can complicate the assessment. Automated image-analysis methods have therefore attracted considerable research interest as potential tools for supporting glaucoma screening and clinical decision-making. Such methods are intended to assist the identification of suspicious cases rather than replace a comprehensive ophthalmic examination.</w:t>
      </w:r>
    </w:p>
    <w:p w:rsidR="00121D9D" w:rsidRPr="00121D9D" w:rsidRDefault="00121D9D" w:rsidP="00121D9D">
      <w:pPr>
        <w:spacing w:before="100" w:beforeAutospacing="1" w:after="100" w:afterAutospacing="1" w:line="240" w:lineRule="auto"/>
        <w:outlineLvl w:val="2"/>
        <w:rPr>
          <w:rFonts w:ascii="Times New Roman" w:eastAsia="Times New Roman" w:hAnsi="Times New Roman" w:cs="Times New Roman"/>
          <w:b/>
          <w:bCs/>
          <w:sz w:val="27"/>
          <w:szCs w:val="27"/>
        </w:rPr>
      </w:pPr>
      <w:r w:rsidRPr="00121D9D">
        <w:rPr>
          <w:rFonts w:ascii="Times New Roman" w:eastAsia="Times New Roman" w:hAnsi="Times New Roman" w:cs="Times New Roman"/>
          <w:b/>
          <w:bCs/>
          <w:sz w:val="27"/>
          <w:szCs w:val="27"/>
        </w:rPr>
        <w:t>1.2. Development of Automated Glaucoma Detection Using Deep Learning</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Early computational approaches to glaucoma detection frequently relied on manually designed image features, anatomical measurements, and conventional machine-learning classifiers. Although these methods established important foundations for computer-aided glaucoma assessment, their performance could depend on the quality of the extracted features and the accuracy of the preceding image-processing steps. Deep learning introduced an alternative approach by enabling models to learn image representations directly from training data, reducing the need to specify every discriminative feature manually.</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The application of </w:t>
      </w:r>
      <w:proofErr w:type="spellStart"/>
      <w:r w:rsidRPr="00121D9D">
        <w:rPr>
          <w:rFonts w:ascii="Times New Roman" w:eastAsia="Times New Roman" w:hAnsi="Times New Roman" w:cs="Times New Roman"/>
          <w:sz w:val="24"/>
          <w:szCs w:val="24"/>
        </w:rPr>
        <w:t>convolutional</w:t>
      </w:r>
      <w:proofErr w:type="spellEnd"/>
      <w:r w:rsidRPr="00121D9D">
        <w:rPr>
          <w:rFonts w:ascii="Times New Roman" w:eastAsia="Times New Roman" w:hAnsi="Times New Roman" w:cs="Times New Roman"/>
          <w:sz w:val="24"/>
          <w:szCs w:val="24"/>
        </w:rPr>
        <w:t xml:space="preserve"> neural networks (CNNs) to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 xml:space="preserve"> images has demonstrated the potential of this approach. </w:t>
      </w:r>
      <w:proofErr w:type="spellStart"/>
      <w:r w:rsidRPr="00121D9D">
        <w:rPr>
          <w:rFonts w:ascii="Times New Roman" w:eastAsia="Times New Roman" w:hAnsi="Times New Roman" w:cs="Times New Roman"/>
          <w:sz w:val="24"/>
          <w:szCs w:val="24"/>
        </w:rPr>
        <w:t>Raghavendra</w:t>
      </w:r>
      <w:proofErr w:type="spellEnd"/>
      <w:r w:rsidRPr="00121D9D">
        <w:rPr>
          <w:rFonts w:ascii="Times New Roman" w:eastAsia="Times New Roman" w:hAnsi="Times New Roman" w:cs="Times New Roman"/>
          <w:sz w:val="24"/>
          <w:szCs w:val="24"/>
        </w:rPr>
        <w:t xml:space="preserve"> et al. [3] developed an 18-layer CNN for glaucoma diagnosis using digital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 xml:space="preserve"> images, reporting an accuracy of 98.13% in their experimental setting. </w:t>
      </w:r>
      <w:proofErr w:type="spellStart"/>
      <w:r w:rsidRPr="00121D9D">
        <w:rPr>
          <w:rFonts w:ascii="Times New Roman" w:eastAsia="Times New Roman" w:hAnsi="Times New Roman" w:cs="Times New Roman"/>
          <w:sz w:val="24"/>
          <w:szCs w:val="24"/>
        </w:rPr>
        <w:t>Gómez-Valverde</w:t>
      </w:r>
      <w:proofErr w:type="spellEnd"/>
      <w:r w:rsidRPr="00121D9D">
        <w:rPr>
          <w:rFonts w:ascii="Times New Roman" w:eastAsia="Times New Roman" w:hAnsi="Times New Roman" w:cs="Times New Roman"/>
          <w:sz w:val="24"/>
          <w:szCs w:val="24"/>
        </w:rPr>
        <w:t xml:space="preserve"> et al. [4] subsequently investigated different CNN architectures and transfer-learning strategies, examining how model selection, dataset size, and training procedures </w:t>
      </w:r>
      <w:r w:rsidRPr="00121D9D">
        <w:rPr>
          <w:rFonts w:ascii="Times New Roman" w:eastAsia="Times New Roman" w:hAnsi="Times New Roman" w:cs="Times New Roman"/>
          <w:sz w:val="24"/>
          <w:szCs w:val="24"/>
        </w:rPr>
        <w:lastRenderedPageBreak/>
        <w:t xml:space="preserve">influenced classification performance. These studies illustrate two important directions in the field: the development of task-specific neural networks and the adaptation of </w:t>
      </w:r>
      <w:proofErr w:type="spellStart"/>
      <w:r w:rsidRPr="00121D9D">
        <w:rPr>
          <w:rFonts w:ascii="Times New Roman" w:eastAsia="Times New Roman" w:hAnsi="Times New Roman" w:cs="Times New Roman"/>
          <w:sz w:val="24"/>
          <w:szCs w:val="24"/>
        </w:rPr>
        <w:t>pretrained</w:t>
      </w:r>
      <w:proofErr w:type="spellEnd"/>
      <w:r w:rsidRPr="00121D9D">
        <w:rPr>
          <w:rFonts w:ascii="Times New Roman" w:eastAsia="Times New Roman" w:hAnsi="Times New Roman" w:cs="Times New Roman"/>
          <w:sz w:val="24"/>
          <w:szCs w:val="24"/>
        </w:rPr>
        <w:t xml:space="preserve"> architectures to ophthalmic image analysis.</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Research has also moved beyond the evaluation of a single architecture. Diaz-Pinto et al. [5] examined several </w:t>
      </w:r>
      <w:proofErr w:type="spellStart"/>
      <w:r w:rsidRPr="00121D9D">
        <w:rPr>
          <w:rFonts w:ascii="Times New Roman" w:eastAsia="Times New Roman" w:hAnsi="Times New Roman" w:cs="Times New Roman"/>
          <w:sz w:val="24"/>
          <w:szCs w:val="24"/>
        </w:rPr>
        <w:t>pretrained</w:t>
      </w:r>
      <w:proofErr w:type="spellEnd"/>
      <w:r w:rsidRPr="00121D9D">
        <w:rPr>
          <w:rFonts w:ascii="Times New Roman" w:eastAsia="Times New Roman" w:hAnsi="Times New Roman" w:cs="Times New Roman"/>
          <w:sz w:val="24"/>
          <w:szCs w:val="24"/>
        </w:rPr>
        <w:t xml:space="preserve"> CNNs, including VGG16, VGG19, InceptionV3, ResNet50, and </w:t>
      </w:r>
      <w:proofErr w:type="spellStart"/>
      <w:r w:rsidRPr="00121D9D">
        <w:rPr>
          <w:rFonts w:ascii="Times New Roman" w:eastAsia="Times New Roman" w:hAnsi="Times New Roman" w:cs="Times New Roman"/>
          <w:sz w:val="24"/>
          <w:szCs w:val="24"/>
        </w:rPr>
        <w:t>Xception</w:t>
      </w:r>
      <w:proofErr w:type="spellEnd"/>
      <w:r w:rsidRPr="00121D9D">
        <w:rPr>
          <w:rFonts w:ascii="Times New Roman" w:eastAsia="Times New Roman" w:hAnsi="Times New Roman" w:cs="Times New Roman"/>
          <w:sz w:val="24"/>
          <w:szCs w:val="24"/>
        </w:rPr>
        <w:t xml:space="preserve">, using multiple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-image databases and cross-testing strategies. Their work is particularly relevant to comparative evaluation because it considered performance across different datasets rather than relying exclusively on a single experimental setting. In another direction, Li et al. [6] introduced an attention-guided CNN and a large-scale glaucoma dataset, demonstrating the research interest in directing model learning toward diagnostically relevant image regions.</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These developments show that automated glaucoma detection is not defined by one particular neural-network architecture. Instead, the field encompasses different feature-learning strategies, model configurations, training procedures, and validation approaches. Understanding the relative contributions of these choices requires a comparative examination of the evidence reported across individual studies.</w:t>
      </w:r>
    </w:p>
    <w:p w:rsidR="00121D9D" w:rsidRPr="00121D9D" w:rsidRDefault="00121D9D" w:rsidP="00121D9D">
      <w:pPr>
        <w:spacing w:before="100" w:beforeAutospacing="1" w:after="100" w:afterAutospacing="1" w:line="240" w:lineRule="auto"/>
        <w:outlineLvl w:val="2"/>
        <w:rPr>
          <w:rFonts w:ascii="Times New Roman" w:eastAsia="Times New Roman" w:hAnsi="Times New Roman" w:cs="Times New Roman"/>
          <w:b/>
          <w:bCs/>
          <w:sz w:val="27"/>
          <w:szCs w:val="27"/>
        </w:rPr>
      </w:pPr>
      <w:r w:rsidRPr="00121D9D">
        <w:rPr>
          <w:rFonts w:ascii="Times New Roman" w:eastAsia="Times New Roman" w:hAnsi="Times New Roman" w:cs="Times New Roman"/>
          <w:b/>
          <w:bCs/>
          <w:sz w:val="27"/>
          <w:szCs w:val="27"/>
        </w:rPr>
        <w:t>1.3. Challenges in Model Performance, Dataset Selection, and Evaluation</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Despite encouraging experimental results, the performance of deep-learning-based glaucoma detection systems must be interpreted in the context of the data and evaluation procedures used. A model may achieve high accuracy on a particular dataset without necessarily maintaining comparable performance when applied to images collected from a different institution, camera, or patient population. Differences in image acquisition, diagnostic criteria, disease prevalence, and image quality can influence both model training and evaluation.</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The importance of these factors is reflected in existing research. </w:t>
      </w:r>
      <w:proofErr w:type="spellStart"/>
      <w:r w:rsidRPr="00121D9D">
        <w:rPr>
          <w:rFonts w:ascii="Times New Roman" w:eastAsia="Times New Roman" w:hAnsi="Times New Roman" w:cs="Times New Roman"/>
          <w:sz w:val="24"/>
          <w:szCs w:val="24"/>
        </w:rPr>
        <w:t>Gómez-Valverde</w:t>
      </w:r>
      <w:proofErr w:type="spellEnd"/>
      <w:r w:rsidRPr="00121D9D">
        <w:rPr>
          <w:rFonts w:ascii="Times New Roman" w:eastAsia="Times New Roman" w:hAnsi="Times New Roman" w:cs="Times New Roman"/>
          <w:sz w:val="24"/>
          <w:szCs w:val="24"/>
        </w:rPr>
        <w:t xml:space="preserve"> et al. [4] investigated the effects of dataset size and transfer learning, while Diaz-Pinto et al. [5] used cross-validation and cross-testing to examine CNN performance across multiple databases. These studies provide evidence that architectural comparisons cannot be separated from the experimental conditions under which the models are trained and tested. Accordingly, reported performance measures should be interpreted alongside dataset composition, validation strategy, and the characteristics of the reference labels.</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The choice of evaluation metrics is equally important. Accuracy describes the proportion of correctly classified cases, but it does not independently establish how effectively a system identifies glaucoma-positive cases or distinguishes normal cases. Sensitivity, specificity, precision, F1-score, and the area under the receiver operating characteristic curve (AUC) provide complementary information about classification performance. Nevertheless, these measures are not always reported consistently, and results obtained using different datasets, decision thresholds, or validation protocols may not be directly comparable.</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Dataset transparency also presents a challenge for evidence synthesis. Studies may use publicly accessible databases, institutionally collected images, or combinations of data sources. </w:t>
      </w:r>
      <w:r w:rsidRPr="00121D9D">
        <w:rPr>
          <w:rFonts w:ascii="Times New Roman" w:eastAsia="Times New Roman" w:hAnsi="Times New Roman" w:cs="Times New Roman"/>
          <w:sz w:val="24"/>
          <w:szCs w:val="24"/>
        </w:rPr>
        <w:lastRenderedPageBreak/>
        <w:t>Furthermore, the number of images does not necessarily correspond to the number of independent patients, and the distinction between image-level and patient-level evaluation can affect the interpretation of reported results. A systematic examination of these characteristics is therefore necessary to understand the strength, comparability, and limitations of the available evidence.</w:t>
      </w:r>
    </w:p>
    <w:p w:rsidR="00121D9D" w:rsidRPr="00121D9D" w:rsidRDefault="00121D9D" w:rsidP="00121D9D">
      <w:pPr>
        <w:spacing w:before="100" w:beforeAutospacing="1" w:after="100" w:afterAutospacing="1" w:line="240" w:lineRule="auto"/>
        <w:outlineLvl w:val="2"/>
        <w:rPr>
          <w:rFonts w:ascii="Times New Roman" w:eastAsia="Times New Roman" w:hAnsi="Times New Roman" w:cs="Times New Roman"/>
          <w:b/>
          <w:bCs/>
          <w:sz w:val="27"/>
          <w:szCs w:val="27"/>
        </w:rPr>
      </w:pPr>
      <w:r w:rsidRPr="00121D9D">
        <w:rPr>
          <w:rFonts w:ascii="Times New Roman" w:eastAsia="Times New Roman" w:hAnsi="Times New Roman" w:cs="Times New Roman"/>
          <w:b/>
          <w:bCs/>
          <w:sz w:val="27"/>
          <w:szCs w:val="27"/>
        </w:rPr>
        <w:t xml:space="preserve">1.4. </w:t>
      </w:r>
      <w:proofErr w:type="spellStart"/>
      <w:r w:rsidRPr="00121D9D">
        <w:rPr>
          <w:rFonts w:ascii="Times New Roman" w:eastAsia="Times New Roman" w:hAnsi="Times New Roman" w:cs="Times New Roman"/>
          <w:b/>
          <w:bCs/>
          <w:sz w:val="27"/>
          <w:szCs w:val="27"/>
        </w:rPr>
        <w:t>Explainability</w:t>
      </w:r>
      <w:proofErr w:type="spellEnd"/>
      <w:r w:rsidRPr="00121D9D">
        <w:rPr>
          <w:rFonts w:ascii="Times New Roman" w:eastAsia="Times New Roman" w:hAnsi="Times New Roman" w:cs="Times New Roman"/>
          <w:b/>
          <w:bCs/>
          <w:sz w:val="27"/>
          <w:szCs w:val="27"/>
        </w:rPr>
        <w:t xml:space="preserve"> and the Interpretability of Deep-Learning Predictions</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Another important consideration is the extent to which the predictions of deep-learning models can be interpreted. CNNs and other complex neural architectures learn representations through multiple computational layers, making it difficult to determine directly which image characteristics contributed to an individual prediction. In a clinical setting, a classification result alone may provide insufficient information about whether a model is responding to meaningful anatomical patterns or to irrelevant characteristics of the image.</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Explainable artificial intelligence (XAI) encompasses methods intended to make aspects of model </w:t>
      </w:r>
      <w:proofErr w:type="spellStart"/>
      <w:r w:rsidRPr="00121D9D">
        <w:rPr>
          <w:rFonts w:ascii="Times New Roman" w:eastAsia="Times New Roman" w:hAnsi="Times New Roman" w:cs="Times New Roman"/>
          <w:sz w:val="24"/>
          <w:szCs w:val="24"/>
        </w:rPr>
        <w:t>behaviour</w:t>
      </w:r>
      <w:proofErr w:type="spellEnd"/>
      <w:r w:rsidRPr="00121D9D">
        <w:rPr>
          <w:rFonts w:ascii="Times New Roman" w:eastAsia="Times New Roman" w:hAnsi="Times New Roman" w:cs="Times New Roman"/>
          <w:sz w:val="24"/>
          <w:szCs w:val="24"/>
        </w:rPr>
        <w:t xml:space="preserve"> more understandable. For image-classification systems, techniques such as gradient-based saliency maps and Gradient-weighted Class Activation Mapping (Grad-CAM) can highlight image regions associated with a model's prediction. These visualizations can help researchers investigate whether a model attends to the optic nerve head or other potentially relevant structures. However, a visually plausible </w:t>
      </w:r>
      <w:proofErr w:type="spellStart"/>
      <w:r w:rsidRPr="00121D9D">
        <w:rPr>
          <w:rFonts w:ascii="Times New Roman" w:eastAsia="Times New Roman" w:hAnsi="Times New Roman" w:cs="Times New Roman"/>
          <w:sz w:val="24"/>
          <w:szCs w:val="24"/>
        </w:rPr>
        <w:t>heatmap</w:t>
      </w:r>
      <w:proofErr w:type="spellEnd"/>
      <w:r w:rsidRPr="00121D9D">
        <w:rPr>
          <w:rFonts w:ascii="Times New Roman" w:eastAsia="Times New Roman" w:hAnsi="Times New Roman" w:cs="Times New Roman"/>
          <w:sz w:val="24"/>
          <w:szCs w:val="24"/>
        </w:rPr>
        <w:t xml:space="preserve"> does not, by itself, demonstrate that a model's reasoning is clinically valid or that its prediction is reliable.</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proofErr w:type="spellStart"/>
      <w:r w:rsidRPr="00121D9D">
        <w:rPr>
          <w:rFonts w:ascii="Times New Roman" w:eastAsia="Times New Roman" w:hAnsi="Times New Roman" w:cs="Times New Roman"/>
          <w:sz w:val="24"/>
          <w:szCs w:val="24"/>
        </w:rPr>
        <w:t>Explainability</w:t>
      </w:r>
      <w:proofErr w:type="spellEnd"/>
      <w:r w:rsidRPr="00121D9D">
        <w:rPr>
          <w:rFonts w:ascii="Times New Roman" w:eastAsia="Times New Roman" w:hAnsi="Times New Roman" w:cs="Times New Roman"/>
          <w:sz w:val="24"/>
          <w:szCs w:val="24"/>
        </w:rPr>
        <w:t xml:space="preserve"> should therefore be considered alongside predictive performance and validation. Relevant questions include whether an explanation faithfully represents the model's </w:t>
      </w:r>
      <w:proofErr w:type="spellStart"/>
      <w:r w:rsidRPr="00121D9D">
        <w:rPr>
          <w:rFonts w:ascii="Times New Roman" w:eastAsia="Times New Roman" w:hAnsi="Times New Roman" w:cs="Times New Roman"/>
          <w:sz w:val="24"/>
          <w:szCs w:val="24"/>
        </w:rPr>
        <w:t>behaviour</w:t>
      </w:r>
      <w:proofErr w:type="spellEnd"/>
      <w:r w:rsidRPr="00121D9D">
        <w:rPr>
          <w:rFonts w:ascii="Times New Roman" w:eastAsia="Times New Roman" w:hAnsi="Times New Roman" w:cs="Times New Roman"/>
          <w:sz w:val="24"/>
          <w:szCs w:val="24"/>
        </w:rPr>
        <w:t>, whether it remains stable under appropriate changes to the input, and whether the highlighted features are consistent with clinically meaningful evidence. These considerations are important when evaluating the potential usefulness of deep-learning-based glaucoma detection systems, particularly when their outputs may inform subsequent clinical assessment.</w:t>
      </w:r>
    </w:p>
    <w:p w:rsidR="00121D9D" w:rsidRPr="00121D9D" w:rsidRDefault="00121D9D" w:rsidP="00121D9D">
      <w:pPr>
        <w:spacing w:before="100" w:beforeAutospacing="1" w:after="100" w:afterAutospacing="1" w:line="240" w:lineRule="auto"/>
        <w:outlineLvl w:val="2"/>
        <w:rPr>
          <w:rFonts w:ascii="Times New Roman" w:eastAsia="Times New Roman" w:hAnsi="Times New Roman" w:cs="Times New Roman"/>
          <w:b/>
          <w:bCs/>
          <w:sz w:val="27"/>
          <w:szCs w:val="27"/>
        </w:rPr>
      </w:pPr>
      <w:r w:rsidRPr="00121D9D">
        <w:rPr>
          <w:rFonts w:ascii="Times New Roman" w:eastAsia="Times New Roman" w:hAnsi="Times New Roman" w:cs="Times New Roman"/>
          <w:b/>
          <w:bCs/>
          <w:sz w:val="27"/>
          <w:szCs w:val="27"/>
        </w:rPr>
        <w:t>1.5. Rationale for the Present Review</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The literature on deep-learning-based glaucoma detection includes research on multiple neural-network architectures, training strategies,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-image datasets, and evaluation procedures. Individual studies provide valuable evidence about particular methods, but their findings need to be examined collectively to understand broader patterns and limitations. In particular, differences in dataset composition, validation protocols, reported metrics, and the availability of methodological details can make it difficult to determine whether apparent performance differences reflect architectural improvements or differences in experimental conditions.</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A structured review is therefore needed to organize the available evidence and examine these factors together. Rather than treating reported performance values as directly interchangeable, the review must consider the conditions under which each result was obtained. It must also distinguish between studies that demonstrate strong performance on an internal test set and those that provide evidence of generalization across independent datasets. Similarly, the presence of an </w:t>
      </w:r>
      <w:proofErr w:type="spellStart"/>
      <w:r w:rsidRPr="00121D9D">
        <w:rPr>
          <w:rFonts w:ascii="Times New Roman" w:eastAsia="Times New Roman" w:hAnsi="Times New Roman" w:cs="Times New Roman"/>
          <w:sz w:val="24"/>
          <w:szCs w:val="24"/>
        </w:rPr>
        <w:lastRenderedPageBreak/>
        <w:t>explainability</w:t>
      </w:r>
      <w:proofErr w:type="spellEnd"/>
      <w:r w:rsidRPr="00121D9D">
        <w:rPr>
          <w:rFonts w:ascii="Times New Roman" w:eastAsia="Times New Roman" w:hAnsi="Times New Roman" w:cs="Times New Roman"/>
          <w:sz w:val="24"/>
          <w:szCs w:val="24"/>
        </w:rPr>
        <w:t xml:space="preserve"> method should be distinguished from evidence that the resulting explanations have been meaningfully evaluated.</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By bringing these dimensions together, the review aims to provide a clearer account of the current research landscape, the methodological choices made by researchers, and the limitations that should be considered when interpreting published findings. This approach also provides a basis for identifying research priorities grounded in the evidence rather than in assumptions about which techniques are inherently superior.</w:t>
      </w:r>
    </w:p>
    <w:p w:rsidR="00121D9D" w:rsidRPr="00121D9D" w:rsidRDefault="00121D9D" w:rsidP="00121D9D">
      <w:pPr>
        <w:spacing w:before="100" w:beforeAutospacing="1" w:after="100" w:afterAutospacing="1" w:line="240" w:lineRule="auto"/>
        <w:outlineLvl w:val="2"/>
        <w:rPr>
          <w:rFonts w:ascii="Times New Roman" w:eastAsia="Times New Roman" w:hAnsi="Times New Roman" w:cs="Times New Roman"/>
          <w:b/>
          <w:bCs/>
          <w:sz w:val="27"/>
          <w:szCs w:val="27"/>
        </w:rPr>
      </w:pPr>
      <w:r w:rsidRPr="00121D9D">
        <w:rPr>
          <w:rFonts w:ascii="Times New Roman" w:eastAsia="Times New Roman" w:hAnsi="Times New Roman" w:cs="Times New Roman"/>
          <w:b/>
          <w:bCs/>
          <w:sz w:val="27"/>
          <w:szCs w:val="27"/>
        </w:rPr>
        <w:t>1.6. Aim and Scope of the Review</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The aim of this systematic review is to critically examine research on deep-learning-based glaucoma detection using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 xml:space="preserve"> images, with particular attention to model architectures, dataset characteristics, evaluation protocols, and </w:t>
      </w:r>
      <w:proofErr w:type="spellStart"/>
      <w:r w:rsidRPr="00121D9D">
        <w:rPr>
          <w:rFonts w:ascii="Times New Roman" w:eastAsia="Times New Roman" w:hAnsi="Times New Roman" w:cs="Times New Roman"/>
          <w:sz w:val="24"/>
          <w:szCs w:val="24"/>
        </w:rPr>
        <w:t>explainability</w:t>
      </w:r>
      <w:proofErr w:type="spellEnd"/>
      <w:r w:rsidRPr="00121D9D">
        <w:rPr>
          <w:rFonts w:ascii="Times New Roman" w:eastAsia="Times New Roman" w:hAnsi="Times New Roman" w:cs="Times New Roman"/>
          <w:sz w:val="24"/>
          <w:szCs w:val="24"/>
        </w:rPr>
        <w:t>. The review considers how different approaches have been investigated, how their performance has been reported, and what limitations affect the interpretation and comparison of their results.</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To achieve this aim, the review addresses the following research questions:</w:t>
      </w:r>
    </w:p>
    <w:p w:rsidR="00121D9D" w:rsidRPr="00121D9D" w:rsidRDefault="00121D9D" w:rsidP="00121D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b/>
          <w:bCs/>
          <w:sz w:val="24"/>
          <w:szCs w:val="24"/>
        </w:rPr>
        <w:t>Architectures:</w:t>
      </w:r>
      <w:r w:rsidRPr="00121D9D">
        <w:rPr>
          <w:rFonts w:ascii="Times New Roman" w:eastAsia="Times New Roman" w:hAnsi="Times New Roman" w:cs="Times New Roman"/>
          <w:sz w:val="24"/>
          <w:szCs w:val="24"/>
        </w:rPr>
        <w:t xml:space="preserve"> Which deep-learning architectures and learning strategies have been investigated for glaucoma detection using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 xml:space="preserve"> images?</w:t>
      </w:r>
    </w:p>
    <w:p w:rsidR="00121D9D" w:rsidRPr="00121D9D" w:rsidRDefault="00121D9D" w:rsidP="00121D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b/>
          <w:bCs/>
          <w:sz w:val="24"/>
          <w:szCs w:val="24"/>
        </w:rPr>
        <w:t>Datasets:</w:t>
      </w:r>
      <w:r w:rsidRPr="00121D9D">
        <w:rPr>
          <w:rFonts w:ascii="Times New Roman" w:eastAsia="Times New Roman" w:hAnsi="Times New Roman" w:cs="Times New Roman"/>
          <w:sz w:val="24"/>
          <w:szCs w:val="24"/>
        </w:rPr>
        <w:t xml:space="preserve"> Which datasets are used in the literature, and how do their size, composition, accessibility, and diagnostic labels vary?</w:t>
      </w:r>
    </w:p>
    <w:p w:rsidR="00121D9D" w:rsidRPr="00121D9D" w:rsidRDefault="00121D9D" w:rsidP="00121D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b/>
          <w:bCs/>
          <w:sz w:val="24"/>
          <w:szCs w:val="24"/>
        </w:rPr>
        <w:t>Evaluation protocols:</w:t>
      </w:r>
      <w:r w:rsidRPr="00121D9D">
        <w:rPr>
          <w:rFonts w:ascii="Times New Roman" w:eastAsia="Times New Roman" w:hAnsi="Times New Roman" w:cs="Times New Roman"/>
          <w:sz w:val="24"/>
          <w:szCs w:val="24"/>
        </w:rPr>
        <w:t xml:space="preserve"> Which performance metrics and validation strategies are reported, and to what extent do they permit meaningful comparison across studies?</w:t>
      </w:r>
    </w:p>
    <w:p w:rsidR="00121D9D" w:rsidRPr="00121D9D" w:rsidRDefault="00121D9D" w:rsidP="00121D9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21D9D">
        <w:rPr>
          <w:rFonts w:ascii="Times New Roman" w:eastAsia="Times New Roman" w:hAnsi="Times New Roman" w:cs="Times New Roman"/>
          <w:b/>
          <w:bCs/>
          <w:sz w:val="24"/>
          <w:szCs w:val="24"/>
        </w:rPr>
        <w:t>Explainability</w:t>
      </w:r>
      <w:proofErr w:type="spellEnd"/>
      <w:r w:rsidRPr="00121D9D">
        <w:rPr>
          <w:rFonts w:ascii="Times New Roman" w:eastAsia="Times New Roman" w:hAnsi="Times New Roman" w:cs="Times New Roman"/>
          <w:b/>
          <w:bCs/>
          <w:sz w:val="24"/>
          <w:szCs w:val="24"/>
        </w:rPr>
        <w:t>:</w:t>
      </w:r>
      <w:r w:rsidRPr="00121D9D">
        <w:rPr>
          <w:rFonts w:ascii="Times New Roman" w:eastAsia="Times New Roman" w:hAnsi="Times New Roman" w:cs="Times New Roman"/>
          <w:sz w:val="24"/>
          <w:szCs w:val="24"/>
        </w:rPr>
        <w:t xml:space="preserve"> Which </w:t>
      </w:r>
      <w:proofErr w:type="spellStart"/>
      <w:r w:rsidRPr="00121D9D">
        <w:rPr>
          <w:rFonts w:ascii="Times New Roman" w:eastAsia="Times New Roman" w:hAnsi="Times New Roman" w:cs="Times New Roman"/>
          <w:sz w:val="24"/>
          <w:szCs w:val="24"/>
        </w:rPr>
        <w:t>explainability</w:t>
      </w:r>
      <w:proofErr w:type="spellEnd"/>
      <w:r w:rsidRPr="00121D9D">
        <w:rPr>
          <w:rFonts w:ascii="Times New Roman" w:eastAsia="Times New Roman" w:hAnsi="Times New Roman" w:cs="Times New Roman"/>
          <w:sz w:val="24"/>
          <w:szCs w:val="24"/>
        </w:rPr>
        <w:t xml:space="preserve"> techniques have been applied, and how is the interpretability of model predictions assessed?</w:t>
      </w:r>
    </w:p>
    <w:p w:rsidR="00121D9D" w:rsidRPr="00121D9D" w:rsidRDefault="00121D9D" w:rsidP="00121D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b/>
          <w:bCs/>
          <w:sz w:val="24"/>
          <w:szCs w:val="24"/>
        </w:rPr>
        <w:t>Limitations and future directions:</w:t>
      </w:r>
      <w:r w:rsidRPr="00121D9D">
        <w:rPr>
          <w:rFonts w:ascii="Times New Roman" w:eastAsia="Times New Roman" w:hAnsi="Times New Roman" w:cs="Times New Roman"/>
          <w:sz w:val="24"/>
          <w:szCs w:val="24"/>
        </w:rPr>
        <w:t xml:space="preserve"> What recurring methodological limitations and evidence gaps can be identified from the included studies?</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The review focuses primarily on research that uses color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 xml:space="preserve"> images for glaucoma detection or closely related tasks, including relevant optic nerve head analysis and classification methods. Studies involving other imaging modalities or additional clinical information may be considered where they provide directly relevant methodological evidence, but their findings must be distinguished from those of </w:t>
      </w:r>
      <w:proofErr w:type="spellStart"/>
      <w:r w:rsidRPr="00121D9D">
        <w:rPr>
          <w:rFonts w:ascii="Times New Roman" w:eastAsia="Times New Roman" w:hAnsi="Times New Roman" w:cs="Times New Roman"/>
          <w:sz w:val="24"/>
          <w:szCs w:val="24"/>
        </w:rPr>
        <w:t>fundus</w:t>
      </w:r>
      <w:proofErr w:type="spellEnd"/>
      <w:r w:rsidRPr="00121D9D">
        <w:rPr>
          <w:rFonts w:ascii="Times New Roman" w:eastAsia="Times New Roman" w:hAnsi="Times New Roman" w:cs="Times New Roman"/>
          <w:sz w:val="24"/>
          <w:szCs w:val="24"/>
        </w:rPr>
        <w:t>-only approaches. The scope is intended to support a structured and critical synthesis of the literature rather than to establish a performance ranking based solely on reported accuracy.</w:t>
      </w:r>
    </w:p>
    <w:p w:rsidR="00121D9D" w:rsidRPr="00121D9D" w:rsidRDefault="00121D9D" w:rsidP="00121D9D">
      <w:pPr>
        <w:spacing w:before="100" w:beforeAutospacing="1" w:after="100" w:afterAutospacing="1" w:line="240" w:lineRule="auto"/>
        <w:rPr>
          <w:rFonts w:ascii="Times New Roman" w:eastAsia="Times New Roman" w:hAnsi="Times New Roman" w:cs="Times New Roman"/>
          <w:sz w:val="24"/>
          <w:szCs w:val="24"/>
        </w:rPr>
      </w:pPr>
      <w:r w:rsidRPr="00121D9D">
        <w:rPr>
          <w:rFonts w:ascii="Times New Roman" w:eastAsia="Times New Roman" w:hAnsi="Times New Roman" w:cs="Times New Roman"/>
          <w:sz w:val="24"/>
          <w:szCs w:val="24"/>
        </w:rPr>
        <w:t xml:space="preserve">The remainder of the review builds on this foundation by first establishing the technical concepts necessary to interpret the included approaches. It then describes the systematic search and study-selection procedures, presents the characteristics and findings of the selected literature, and examines the evidence across architectures, datasets, evaluation strategies, and </w:t>
      </w:r>
      <w:proofErr w:type="spellStart"/>
      <w:r w:rsidRPr="00121D9D">
        <w:rPr>
          <w:rFonts w:ascii="Times New Roman" w:eastAsia="Times New Roman" w:hAnsi="Times New Roman" w:cs="Times New Roman"/>
          <w:sz w:val="24"/>
          <w:szCs w:val="24"/>
        </w:rPr>
        <w:t>explainability</w:t>
      </w:r>
      <w:proofErr w:type="spellEnd"/>
      <w:r w:rsidRPr="00121D9D">
        <w:rPr>
          <w:rFonts w:ascii="Times New Roman" w:eastAsia="Times New Roman" w:hAnsi="Times New Roman" w:cs="Times New Roman"/>
          <w:sz w:val="24"/>
          <w:szCs w:val="24"/>
        </w:rPr>
        <w:t xml:space="preserve"> methods. The subsequent discussion considers the implications of these findings and identifies priorities for future research.</w:t>
      </w:r>
    </w:p>
    <w:p w:rsidR="00D40F79" w:rsidRDefault="00D40F79"/>
    <w:p w:rsidR="00121D9D" w:rsidRPr="00121D9D" w:rsidRDefault="00121D9D" w:rsidP="00121D9D">
      <w:pPr>
        <w:pStyle w:val="NormalWeb"/>
        <w:rPr>
          <w:b/>
        </w:rPr>
      </w:pPr>
      <w:r w:rsidRPr="00121D9D">
        <w:rPr>
          <w:b/>
        </w:rPr>
        <w:lastRenderedPageBreak/>
        <w:t>Reference</w:t>
      </w:r>
    </w:p>
    <w:p w:rsidR="00121D9D" w:rsidRDefault="00121D9D" w:rsidP="00121D9D">
      <w:pPr>
        <w:pStyle w:val="NormalWeb"/>
      </w:pPr>
      <w:r>
        <w:t>The following references are numbered in the order in which they appear. The first five are studies represented in your Excel collection; the sixth is an additional foundational study from the same field. The full bibliographic details and original sources should be checked again when we finalize the complete reference list.</w:t>
      </w:r>
    </w:p>
    <w:p w:rsidR="00121D9D" w:rsidRDefault="00121D9D" w:rsidP="00121D9D">
      <w:pPr>
        <w:pStyle w:val="NormalWeb"/>
      </w:pPr>
      <w:r>
        <w:t xml:space="preserve">1. Quigley HA, Broman AT. </w:t>
      </w:r>
      <w:proofErr w:type="gramStart"/>
      <w:r>
        <w:t>The number of people with glaucoma worldwide in 2010 and 2020.</w:t>
      </w:r>
      <w:proofErr w:type="gramEnd"/>
      <w:r>
        <w:t xml:space="preserve"> </w:t>
      </w:r>
      <w:proofErr w:type="gramStart"/>
      <w:r>
        <w:t>British Journal of Ophthalmology.</w:t>
      </w:r>
      <w:proofErr w:type="gramEnd"/>
      <w:r>
        <w:t xml:space="preserve"> 2006</w:t>
      </w:r>
      <w:proofErr w:type="gramStart"/>
      <w:r>
        <w:t>;90</w:t>
      </w:r>
      <w:proofErr w:type="gramEnd"/>
      <w:r>
        <w:t xml:space="preserve">(3):262–267. </w:t>
      </w:r>
      <w:hyperlink r:id="rId5" w:history="1">
        <w:r>
          <w:rPr>
            <w:rStyle w:val="Hyperlink"/>
          </w:rPr>
          <w:t>https://doi.org/10.1136/bjo.2005.081224</w:t>
        </w:r>
      </w:hyperlink>
    </w:p>
    <w:p w:rsidR="00121D9D" w:rsidRDefault="00121D9D" w:rsidP="00121D9D">
      <w:pPr>
        <w:pStyle w:val="NormalWeb"/>
      </w:pPr>
      <w:r>
        <w:t xml:space="preserve">2. </w:t>
      </w:r>
      <w:proofErr w:type="spellStart"/>
      <w:r>
        <w:t>Gómez-Valverde</w:t>
      </w:r>
      <w:proofErr w:type="spellEnd"/>
      <w:r>
        <w:t xml:space="preserve"> JJ, </w:t>
      </w:r>
      <w:proofErr w:type="spellStart"/>
      <w:r>
        <w:t>Antón</w:t>
      </w:r>
      <w:proofErr w:type="spellEnd"/>
      <w:r>
        <w:t xml:space="preserve"> A, </w:t>
      </w:r>
      <w:proofErr w:type="spellStart"/>
      <w:r>
        <w:t>Fatti</w:t>
      </w:r>
      <w:proofErr w:type="spellEnd"/>
      <w:r>
        <w:t xml:space="preserve"> G, et al. Automatic glaucoma classification using color </w:t>
      </w:r>
      <w:proofErr w:type="spellStart"/>
      <w:r>
        <w:t>fundus</w:t>
      </w:r>
      <w:proofErr w:type="spellEnd"/>
      <w:r>
        <w:t xml:space="preserve"> images based on </w:t>
      </w:r>
      <w:proofErr w:type="spellStart"/>
      <w:r>
        <w:t>convolutional</w:t>
      </w:r>
      <w:proofErr w:type="spellEnd"/>
      <w:r>
        <w:t xml:space="preserve"> neural networks and transfer learning. </w:t>
      </w:r>
      <w:proofErr w:type="gramStart"/>
      <w:r>
        <w:t>Biomedical Optics Express.</w:t>
      </w:r>
      <w:proofErr w:type="gramEnd"/>
      <w:r>
        <w:t xml:space="preserve"> 2019</w:t>
      </w:r>
      <w:proofErr w:type="gramStart"/>
      <w:r>
        <w:t>;10</w:t>
      </w:r>
      <w:proofErr w:type="gramEnd"/>
      <w:r>
        <w:t xml:space="preserve">(2):892–913. </w:t>
      </w:r>
      <w:hyperlink r:id="rId6" w:history="1">
        <w:r>
          <w:rPr>
            <w:rStyle w:val="Hyperlink"/>
          </w:rPr>
          <w:t>https://doi.org/10.1364/BOE.10.000892</w:t>
        </w:r>
      </w:hyperlink>
    </w:p>
    <w:p w:rsidR="00121D9D" w:rsidRDefault="00121D9D" w:rsidP="00121D9D">
      <w:pPr>
        <w:pStyle w:val="NormalWeb"/>
      </w:pPr>
      <w:r>
        <w:t xml:space="preserve">3. </w:t>
      </w:r>
      <w:proofErr w:type="spellStart"/>
      <w:r>
        <w:t>Raghavendra</w:t>
      </w:r>
      <w:proofErr w:type="spellEnd"/>
      <w:r>
        <w:t xml:space="preserve"> U, Fujita H, </w:t>
      </w:r>
      <w:proofErr w:type="spellStart"/>
      <w:r>
        <w:t>Bhandary</w:t>
      </w:r>
      <w:proofErr w:type="spellEnd"/>
      <w:r>
        <w:t xml:space="preserve"> SV, </w:t>
      </w:r>
      <w:proofErr w:type="spellStart"/>
      <w:r>
        <w:t>Gudigar</w:t>
      </w:r>
      <w:proofErr w:type="spellEnd"/>
      <w:r>
        <w:t xml:space="preserve"> A, Tan JH, </w:t>
      </w:r>
      <w:proofErr w:type="spellStart"/>
      <w:r>
        <w:t>Acharya</w:t>
      </w:r>
      <w:proofErr w:type="spellEnd"/>
      <w:r>
        <w:t xml:space="preserve"> UR. </w:t>
      </w:r>
      <w:proofErr w:type="gramStart"/>
      <w:r>
        <w:t xml:space="preserve">Deep convolution neural network for accurate diagnosis of glaucoma using digital </w:t>
      </w:r>
      <w:proofErr w:type="spellStart"/>
      <w:r>
        <w:t>fundus</w:t>
      </w:r>
      <w:proofErr w:type="spellEnd"/>
      <w:r>
        <w:t xml:space="preserve"> images.</w:t>
      </w:r>
      <w:proofErr w:type="gramEnd"/>
      <w:r>
        <w:t xml:space="preserve"> </w:t>
      </w:r>
      <w:proofErr w:type="gramStart"/>
      <w:r>
        <w:t>Information Sciences.</w:t>
      </w:r>
      <w:proofErr w:type="gramEnd"/>
      <w:r>
        <w:t xml:space="preserve"> 2018</w:t>
      </w:r>
      <w:proofErr w:type="gramStart"/>
      <w:r>
        <w:t>;441:41</w:t>
      </w:r>
      <w:proofErr w:type="gramEnd"/>
      <w:r>
        <w:t xml:space="preserve">–49. </w:t>
      </w:r>
      <w:hyperlink r:id="rId7" w:history="1">
        <w:r>
          <w:rPr>
            <w:rStyle w:val="Hyperlink"/>
          </w:rPr>
          <w:t>https://doi.org/10.1016/j.ins.2018.01.051</w:t>
        </w:r>
      </w:hyperlink>
    </w:p>
    <w:p w:rsidR="00121D9D" w:rsidRDefault="00121D9D" w:rsidP="00121D9D">
      <w:pPr>
        <w:pStyle w:val="NormalWeb"/>
      </w:pPr>
      <w:r>
        <w:t xml:space="preserve">4. </w:t>
      </w:r>
      <w:proofErr w:type="spellStart"/>
      <w:r>
        <w:t>Gómez-Valverde</w:t>
      </w:r>
      <w:proofErr w:type="spellEnd"/>
      <w:r>
        <w:t xml:space="preserve"> JJ, </w:t>
      </w:r>
      <w:proofErr w:type="spellStart"/>
      <w:r>
        <w:t>Antón</w:t>
      </w:r>
      <w:proofErr w:type="spellEnd"/>
      <w:r>
        <w:t xml:space="preserve"> A, </w:t>
      </w:r>
      <w:proofErr w:type="spellStart"/>
      <w:r>
        <w:t>Fatti</w:t>
      </w:r>
      <w:proofErr w:type="spellEnd"/>
      <w:r>
        <w:t xml:space="preserve"> G, et al. Automatic glaucoma classification using color </w:t>
      </w:r>
      <w:proofErr w:type="spellStart"/>
      <w:r>
        <w:t>fundus</w:t>
      </w:r>
      <w:proofErr w:type="spellEnd"/>
      <w:r>
        <w:t xml:space="preserve"> images based on </w:t>
      </w:r>
      <w:proofErr w:type="spellStart"/>
      <w:r>
        <w:t>convolutional</w:t>
      </w:r>
      <w:proofErr w:type="spellEnd"/>
      <w:r>
        <w:t xml:space="preserve"> neural networks and transfer learning. </w:t>
      </w:r>
      <w:proofErr w:type="gramStart"/>
      <w:r>
        <w:t>Biomedical Optics Express.</w:t>
      </w:r>
      <w:proofErr w:type="gramEnd"/>
      <w:r>
        <w:t xml:space="preserve"> 2019</w:t>
      </w:r>
      <w:proofErr w:type="gramStart"/>
      <w:r>
        <w:t>;10</w:t>
      </w:r>
      <w:proofErr w:type="gramEnd"/>
      <w:r>
        <w:t xml:space="preserve">(2):892–913. </w:t>
      </w:r>
      <w:hyperlink r:id="rId8" w:history="1">
        <w:r>
          <w:rPr>
            <w:rStyle w:val="Hyperlink"/>
          </w:rPr>
          <w:t>https://doi.org/10.1364/BOE.10.000892</w:t>
        </w:r>
      </w:hyperlink>
    </w:p>
    <w:p w:rsidR="00121D9D" w:rsidRDefault="00121D9D" w:rsidP="00121D9D">
      <w:pPr>
        <w:pStyle w:val="NormalWeb"/>
      </w:pPr>
      <w:r>
        <w:t xml:space="preserve">5. Diaz-Pinto A, Morales S, </w:t>
      </w:r>
      <w:proofErr w:type="spellStart"/>
      <w:r>
        <w:t>Naranjo</w:t>
      </w:r>
      <w:proofErr w:type="spellEnd"/>
      <w:r>
        <w:t xml:space="preserve"> V, </w:t>
      </w:r>
      <w:proofErr w:type="spellStart"/>
      <w:r>
        <w:t>Köhler</w:t>
      </w:r>
      <w:proofErr w:type="spellEnd"/>
      <w:r>
        <w:t xml:space="preserve"> T, </w:t>
      </w:r>
      <w:proofErr w:type="spellStart"/>
      <w:r>
        <w:t>Mossi</w:t>
      </w:r>
      <w:proofErr w:type="spellEnd"/>
      <w:r>
        <w:t xml:space="preserve"> JM, </w:t>
      </w:r>
      <w:proofErr w:type="spellStart"/>
      <w:r>
        <w:t>Navea</w:t>
      </w:r>
      <w:proofErr w:type="spellEnd"/>
      <w:r>
        <w:t xml:space="preserve"> A. CNNs for automatic glaucoma assessment using </w:t>
      </w:r>
      <w:proofErr w:type="spellStart"/>
      <w:r>
        <w:t>fundus</w:t>
      </w:r>
      <w:proofErr w:type="spellEnd"/>
      <w:r>
        <w:t xml:space="preserve"> images: an extensive validation. </w:t>
      </w:r>
      <w:proofErr w:type="spellStart"/>
      <w:proofErr w:type="gramStart"/>
      <w:r>
        <w:t>BioMedical</w:t>
      </w:r>
      <w:proofErr w:type="spellEnd"/>
      <w:r>
        <w:t xml:space="preserve"> Engineering </w:t>
      </w:r>
      <w:proofErr w:type="spellStart"/>
      <w:r>
        <w:t>OnLine</w:t>
      </w:r>
      <w:proofErr w:type="spellEnd"/>
      <w:r>
        <w:t>.</w:t>
      </w:r>
      <w:proofErr w:type="gramEnd"/>
      <w:r>
        <w:t xml:space="preserve"> 2019</w:t>
      </w:r>
      <w:proofErr w:type="gramStart"/>
      <w:r>
        <w:t>;18:29</w:t>
      </w:r>
      <w:proofErr w:type="gramEnd"/>
      <w:r>
        <w:t xml:space="preserve">. </w:t>
      </w:r>
      <w:hyperlink r:id="rId9" w:history="1">
        <w:r>
          <w:rPr>
            <w:rStyle w:val="Hyperlink"/>
          </w:rPr>
          <w:t>https://doi.org/10.1186/s12938-019-0649-y</w:t>
        </w:r>
      </w:hyperlink>
    </w:p>
    <w:p w:rsidR="00121D9D" w:rsidRDefault="00121D9D" w:rsidP="00121D9D">
      <w:pPr>
        <w:pStyle w:val="NormalWeb"/>
      </w:pPr>
      <w:r>
        <w:t xml:space="preserve">6. Li L, </w:t>
      </w:r>
      <w:proofErr w:type="spellStart"/>
      <w:r>
        <w:t>Xu</w:t>
      </w:r>
      <w:proofErr w:type="spellEnd"/>
      <w:r>
        <w:t xml:space="preserve"> M, Wang X, Jiang L, Liu H. Attention Based Glaucoma Detection: A Large-Scale Database and CNN Model. In: Proceedings of the IEEE/CVF Conference on Computer Vision and Pattern Recognition (CVPR). 2019.</w:t>
      </w:r>
    </w:p>
    <w:p w:rsidR="00121D9D" w:rsidRDefault="00121D9D"/>
    <w:p w:rsidR="00121D9D" w:rsidRDefault="00121D9D">
      <w:r>
        <w:t xml:space="preserve">Important correction before you use this in a manuscript: references 2 and 4 above currently identify the same paper and should not be duplicated in the final bibliography. In the introduction, the intended sequence is Quigley and Broman for the global clinical context, </w:t>
      </w:r>
      <w:proofErr w:type="spellStart"/>
      <w:r>
        <w:t>Raghavendra</w:t>
      </w:r>
      <w:proofErr w:type="spellEnd"/>
      <w:r>
        <w:t xml:space="preserve"> et al. for CNN-based diagnosis, </w:t>
      </w:r>
      <w:proofErr w:type="spellStart"/>
      <w:r>
        <w:t>Gómez-Valverde</w:t>
      </w:r>
      <w:proofErr w:type="spellEnd"/>
      <w:r>
        <w:t xml:space="preserve"> et al. for transfer learning, Diaz-Pinto et al. for multi-dataset validation, and Li et al. for attention-guided detection. The in-text numbering should be reconciled with that unique reference list before submission.</w:t>
      </w:r>
    </w:p>
    <w:p w:rsidR="001C1622" w:rsidRDefault="001C1622"/>
    <w:p w:rsidR="001C1622" w:rsidRDefault="001C1622"/>
    <w:p w:rsidR="008939ED" w:rsidRDefault="008939ED" w:rsidP="008939ED">
      <w:pPr>
        <w:pStyle w:val="Heading2"/>
      </w:pPr>
      <w:r>
        <w:t>2. Background and Technical Foundations</w:t>
      </w:r>
    </w:p>
    <w:p w:rsidR="008939ED" w:rsidRDefault="008939ED" w:rsidP="008939ED">
      <w:pPr>
        <w:pStyle w:val="NormalWeb"/>
      </w:pPr>
      <w:r>
        <w:lastRenderedPageBreak/>
        <w:t xml:space="preserve">Understanding the </w:t>
      </w:r>
      <w:proofErr w:type="gramStart"/>
      <w:r>
        <w:t>methods used in automated glaucoma detection requires</w:t>
      </w:r>
      <w:proofErr w:type="gramEnd"/>
      <w:r>
        <w:t xml:space="preserve"> consideration of both the ophthalmic characteristics represented in </w:t>
      </w:r>
      <w:proofErr w:type="spellStart"/>
      <w:r>
        <w:t>fundus</w:t>
      </w:r>
      <w:proofErr w:type="spellEnd"/>
      <w:r>
        <w:t xml:space="preserve"> images and the computational approaches used to </w:t>
      </w:r>
      <w:proofErr w:type="spellStart"/>
      <w:r>
        <w:t>analyse</w:t>
      </w:r>
      <w:proofErr w:type="spellEnd"/>
      <w:r>
        <w:t xml:space="preserve"> them. Although deep-learning models differ in their internal architectures, they ultimately learn patterns from </w:t>
      </w:r>
      <w:proofErr w:type="spellStart"/>
      <w:r>
        <w:t>labelled</w:t>
      </w:r>
      <w:proofErr w:type="spellEnd"/>
      <w:r>
        <w:t xml:space="preserve"> image data and use those patterns to estimate whether an image is associated with glaucoma. The reliability of these estimates depends not only on the learning algorithm but also on the characteristics of the input images, the quality of the reference labels, the experimental design, and the criteria used to assess performance. This section establishes the technical foundations needed to interpret the methods and findings discussed in the subsequent sections.</w:t>
      </w:r>
    </w:p>
    <w:p w:rsidR="008939ED" w:rsidRDefault="008939ED" w:rsidP="008939ED">
      <w:pPr>
        <w:pStyle w:val="Heading3"/>
      </w:pPr>
      <w:r>
        <w:t xml:space="preserve">2.1. </w:t>
      </w:r>
      <w:proofErr w:type="spellStart"/>
      <w:r>
        <w:t>Fundus</w:t>
      </w:r>
      <w:proofErr w:type="spellEnd"/>
      <w:r>
        <w:t xml:space="preserve"> Imaging and Glaucoma-Related Anatomical Features</w:t>
      </w:r>
    </w:p>
    <w:p w:rsidR="008939ED" w:rsidRDefault="008939ED" w:rsidP="008939ED">
      <w:pPr>
        <w:pStyle w:val="NormalWeb"/>
      </w:pPr>
      <w:r>
        <w:t xml:space="preserve">Color </w:t>
      </w:r>
      <w:proofErr w:type="spellStart"/>
      <w:r>
        <w:t>fundus</w:t>
      </w:r>
      <w:proofErr w:type="spellEnd"/>
      <w:r>
        <w:t xml:space="preserve"> photography captures the appearance of the retina, including the optic nerve head, retinal blood vessels, and surrounding retinal tissue. The optic nerve head is particularly relevant to glaucoma assessment because it contains the optic disc and optic cup, whose appearance and relationship may provide evidence of glaucomatous structural changes. Clinicians examine these structures alongside other clinical findings when evaluating the possibility of optic nerve damage.</w:t>
      </w:r>
    </w:p>
    <w:p w:rsidR="008939ED" w:rsidRDefault="008939ED" w:rsidP="008939ED">
      <w:pPr>
        <w:pStyle w:val="NormalWeb"/>
      </w:pPr>
      <w:r>
        <w:t xml:space="preserve">The optic disc is the visible region where retinal nerve </w:t>
      </w:r>
      <w:proofErr w:type="spellStart"/>
      <w:r>
        <w:t>fibres</w:t>
      </w:r>
      <w:proofErr w:type="spellEnd"/>
      <w:r>
        <w:t xml:space="preserve"> converge and exit the eye. Within this region, the optic cup represents a central depression whose size and shape vary among individuals. The cup-to-disc ratio (CDR) describes the relative dimensions of the optic cup and optic disc and is commonly investigated in automated glaucoma-assessment research. However, an enlarged cup or an increased CDR is not, by itself, sufficient to establish a diagnosis. Anatomical variation between individuals, differences in image acquisition, and the presence of other ocular conditions must be considered when interpreting these features.</w:t>
      </w:r>
    </w:p>
    <w:p w:rsidR="008939ED" w:rsidRDefault="008939ED" w:rsidP="008939ED">
      <w:pPr>
        <w:pStyle w:val="NormalWeb"/>
      </w:pPr>
      <w:r>
        <w:t xml:space="preserve">Automated analysis of </w:t>
      </w:r>
      <w:proofErr w:type="spellStart"/>
      <w:r>
        <w:t>fundus</w:t>
      </w:r>
      <w:proofErr w:type="spellEnd"/>
      <w:r>
        <w:t xml:space="preserve"> images can follow more than one strategy. Some methods explicitly identify the boundaries of the optic disc and optic cup, calculate anatomical </w:t>
      </w:r>
      <w:proofErr w:type="gramStart"/>
      <w:r>
        <w:t>measurements</w:t>
      </w:r>
      <w:proofErr w:type="gramEnd"/>
      <w:r>
        <w:t>, and use those measurements to support classification. Other methods learn image representations directly from the photographs without requiring explicit segmentation as an intermediate step. Li et al. [6], for example, investigated attention-guided deep learning for glaucoma detection, while other approaches have examined the relationship between optic nerve head segmentation and subsequent classification [12]. These strategies differ in how they represent diagnostic information and in the degree to which their intermediate processing steps are anatomically interpretable.</w:t>
      </w:r>
    </w:p>
    <w:p w:rsidR="008939ED" w:rsidRDefault="008939ED" w:rsidP="008939ED">
      <w:pPr>
        <w:pStyle w:val="NormalWeb"/>
      </w:pPr>
      <w:proofErr w:type="spellStart"/>
      <w:r>
        <w:t>Fundus</w:t>
      </w:r>
      <w:proofErr w:type="spellEnd"/>
      <w:r>
        <w:t xml:space="preserve"> images also present practical challenges for automated analysis. Variations in illumination, contrast, camera characteristics, focus, field of view, and image resolution can affect the visibility of relevant structures. In addition, the appearance of the optic nerve head may vary substantially between individuals. A model trained on a limited range of images may consequently learn patterns that are less reliable when applied to images from different sources. These considerations make image preprocessing, dataset composition, and validation important components of glaucoma-detection research.</w:t>
      </w:r>
    </w:p>
    <w:p w:rsidR="008939ED" w:rsidRDefault="008939ED" w:rsidP="008939ED">
      <w:pPr>
        <w:pStyle w:val="Heading3"/>
      </w:pPr>
      <w:r>
        <w:t>2.2. Problem Formulation: Classification, Segmentation, and Related Tasks</w:t>
      </w:r>
    </w:p>
    <w:p w:rsidR="008939ED" w:rsidRDefault="008939ED" w:rsidP="008939ED">
      <w:pPr>
        <w:pStyle w:val="NormalWeb"/>
      </w:pPr>
      <w:r>
        <w:lastRenderedPageBreak/>
        <w:t>Although classification and segmentation are frequently discussed together in glaucoma-detection research, they represent different computational objectives. Distinguishing these tasks is necessary when comparing studies because their outputs, ground-truth annotations, and evaluation metrics are not interchangeable.</w:t>
      </w:r>
    </w:p>
    <w:p w:rsidR="008939ED" w:rsidRDefault="008939ED" w:rsidP="008939ED">
      <w:pPr>
        <w:pStyle w:val="NormalWeb"/>
      </w:pPr>
      <w:r>
        <w:rPr>
          <w:rStyle w:val="Strong"/>
        </w:rPr>
        <w:t>Glaucoma classification</w:t>
      </w:r>
      <w:r>
        <w:t xml:space="preserve"> aims to assign an image or patient to a diagnostic category, commonly glaucoma or non-glaucoma. A classification model typically produces a score or probability associated with each class, from which a predicted label can be obtained using a decision threshold. The resulting performance is evaluated using measures such as sensitivity, specificity, accuracy, and AUC.</w:t>
      </w:r>
    </w:p>
    <w:p w:rsidR="008939ED" w:rsidRDefault="008939ED" w:rsidP="008939ED">
      <w:pPr>
        <w:pStyle w:val="NormalWeb"/>
      </w:pPr>
      <w:r>
        <w:rPr>
          <w:rStyle w:val="Strong"/>
        </w:rPr>
        <w:t>Optic disc and optic cup segmentation</w:t>
      </w:r>
      <w:r>
        <w:t xml:space="preserve"> aims to identify the pixels belonging to these anatomical structures. The output is a pixel-level mask rather than a diagnostic label. Segmentation can provide anatomical measurements, including estimates of the cup-to-disc ratio, which may subsequently be used by a classification model. Methods for optic disc and cup segmentation have been reviewed extensively by researchers studying automated glaucoma assessment [12].</w:t>
      </w:r>
    </w:p>
    <w:p w:rsidR="008939ED" w:rsidRDefault="008939ED" w:rsidP="008939ED">
      <w:pPr>
        <w:pStyle w:val="NormalWeb"/>
      </w:pPr>
      <w:r>
        <w:rPr>
          <w:rStyle w:val="Strong"/>
        </w:rPr>
        <w:t>Optic disc detection and localization</w:t>
      </w:r>
      <w:r>
        <w:t xml:space="preserve"> concerns identifying the position or region of the optic nerve head within a </w:t>
      </w:r>
      <w:proofErr w:type="spellStart"/>
      <w:r>
        <w:t>fundus</w:t>
      </w:r>
      <w:proofErr w:type="spellEnd"/>
      <w:r>
        <w:t xml:space="preserve"> image. This task may be used to crop or focus subsequent processing on the relevant anatomy. Detection and localization are distinct from segmentation because locating a structure does not necessarily require delineating its complete boundary.</w:t>
      </w:r>
    </w:p>
    <w:p w:rsidR="008939ED" w:rsidRDefault="008939ED" w:rsidP="008939ED">
      <w:pPr>
        <w:pStyle w:val="NormalWeb"/>
      </w:pPr>
      <w:r>
        <w:rPr>
          <w:rStyle w:val="Strong"/>
        </w:rPr>
        <w:t>Structural measurement and disease grading</w:t>
      </w:r>
      <w:r>
        <w:t xml:space="preserve"> involve estimating anatomical characteristics or assigning disease-severity categories. These tasks may complement binary classification but require appropriate reference labels and evaluation procedures.</w:t>
      </w:r>
    </w:p>
    <w:p w:rsidR="008939ED" w:rsidRDefault="008939ED" w:rsidP="008939ED">
      <w:pPr>
        <w:pStyle w:val="NormalWeb"/>
      </w:pPr>
      <w:r>
        <w:t xml:space="preserve">The distinction between these objectives is important when synthesizing the literature. For example, a segmentation model may achieve a high overlap score for optic cup boundaries without directly demonstrating strong glaucoma-classification performance. Similarly, a classifier may accurately distinguish </w:t>
      </w:r>
      <w:proofErr w:type="spellStart"/>
      <w:r>
        <w:t>labelled</w:t>
      </w:r>
      <w:proofErr w:type="spellEnd"/>
      <w:r>
        <w:t xml:space="preserve"> classes without explicitly identifying the anatomical structures responsible for its predictions. Studies addressing related tasks should therefore be grouped according to their actual objectives and assessed using task-appropriate metrics.</w:t>
      </w:r>
    </w:p>
    <w:p w:rsidR="008939ED" w:rsidRDefault="008939ED" w:rsidP="008939ED">
      <w:pPr>
        <w:pStyle w:val="Heading3"/>
      </w:pPr>
      <w:r>
        <w:t>2.3. From Conventional Machine Learning to Deep Learning</w:t>
      </w:r>
    </w:p>
    <w:p w:rsidR="008939ED" w:rsidRDefault="008939ED" w:rsidP="008939ED">
      <w:pPr>
        <w:pStyle w:val="NormalWeb"/>
      </w:pPr>
      <w:r>
        <w:t xml:space="preserve">Early automated approaches to glaucoma assessment commonly combined image processing, handcrafted feature extraction, and conventional machine-learning algorithms. In such systems, researchers designed or selected features based on anatomical or visual characteristics and then supplied these features to a classifier. Depending on the study, the features could represent optic disc and cup measurements, </w:t>
      </w:r>
      <w:proofErr w:type="spellStart"/>
      <w:r>
        <w:t>colour</w:t>
      </w:r>
      <w:proofErr w:type="spellEnd"/>
      <w:r>
        <w:t xml:space="preserve"> and texture information, vessel patterns, or other image characteristics.</w:t>
      </w:r>
    </w:p>
    <w:p w:rsidR="008939ED" w:rsidRDefault="008939ED" w:rsidP="008939ED">
      <w:pPr>
        <w:pStyle w:val="NormalWeb"/>
      </w:pPr>
      <w:r>
        <w:t xml:space="preserve">Conventional classifiers, including support vector machines, decision trees, and related algorithms, can learn relationships between these extracted features and the diagnostic labels. </w:t>
      </w:r>
      <w:r>
        <w:lastRenderedPageBreak/>
        <w:t>Their effectiveness, however, may depend on the quality of the feature representation. If the selected features fail to capture relevant disease-related variation, the classifier may be unable to distinguish the classes reliably.</w:t>
      </w:r>
    </w:p>
    <w:p w:rsidR="008939ED" w:rsidRDefault="008939ED" w:rsidP="008939ED">
      <w:pPr>
        <w:pStyle w:val="NormalWeb"/>
      </w:pPr>
      <w:r>
        <w:t>Deep learning changes this process by learning multiple levels of image representation from data. Instead of relying exclusively on manually specified features, a neural network can learn low-level patterns, intermediate structures, and higher-level combinations that contribute to the prediction. In image-classification applications, these representations are learned jointly with the classification objective.</w:t>
      </w:r>
    </w:p>
    <w:p w:rsidR="008939ED" w:rsidRDefault="008939ED" w:rsidP="008939ED">
      <w:pPr>
        <w:pStyle w:val="NormalWeb"/>
      </w:pPr>
      <w:r>
        <w:t xml:space="preserve">This capability has made deep-learning methods an important component of contemporary glaucoma-detection research. CNN-based approaches, including those evaluated by </w:t>
      </w:r>
      <w:proofErr w:type="spellStart"/>
      <w:r>
        <w:t>Raghavendra</w:t>
      </w:r>
      <w:proofErr w:type="spellEnd"/>
      <w:r>
        <w:t xml:space="preserve"> et al. [3] and </w:t>
      </w:r>
      <w:proofErr w:type="spellStart"/>
      <w:r>
        <w:t>Gómez-Valverde</w:t>
      </w:r>
      <w:proofErr w:type="spellEnd"/>
      <w:r>
        <w:t xml:space="preserve"> et al. [4]</w:t>
      </w:r>
      <w:proofErr w:type="gramStart"/>
      <w:r>
        <w:t>,</w:t>
      </w:r>
      <w:proofErr w:type="gramEnd"/>
      <w:r>
        <w:t xml:space="preserve"> illustrate how learned image representations can be applied to </w:t>
      </w:r>
      <w:proofErr w:type="spellStart"/>
      <w:r>
        <w:t>fundus</w:t>
      </w:r>
      <w:proofErr w:type="spellEnd"/>
      <w:r>
        <w:t>-image classification. Nevertheless, deep learning does not automatically eliminate the need for appropriate feature selection, data quality control, or careful validation. Its performance remains dependent on the training data, model configuration, optimization process, and evaluation protocol.</w:t>
      </w:r>
    </w:p>
    <w:p w:rsidR="008939ED" w:rsidRDefault="008939ED" w:rsidP="008939ED">
      <w:pPr>
        <w:pStyle w:val="Heading3"/>
      </w:pPr>
      <w:r>
        <w:t xml:space="preserve">2.4. </w:t>
      </w:r>
      <w:proofErr w:type="spellStart"/>
      <w:r>
        <w:t>Convolutional</w:t>
      </w:r>
      <w:proofErr w:type="spellEnd"/>
      <w:r>
        <w:t xml:space="preserve"> Neural Networks for </w:t>
      </w:r>
      <w:proofErr w:type="spellStart"/>
      <w:r>
        <w:t>Fundus</w:t>
      </w:r>
      <w:proofErr w:type="spellEnd"/>
      <w:r>
        <w:t>-Image Analysis</w:t>
      </w:r>
    </w:p>
    <w:p w:rsidR="008939ED" w:rsidRDefault="008939ED" w:rsidP="008939ED">
      <w:pPr>
        <w:pStyle w:val="NormalWeb"/>
      </w:pPr>
      <w:proofErr w:type="spellStart"/>
      <w:r>
        <w:t>Convolutional</w:t>
      </w:r>
      <w:proofErr w:type="spellEnd"/>
      <w:r>
        <w:t xml:space="preserve"> neural networks are widely used in image analysis because their </w:t>
      </w:r>
      <w:proofErr w:type="spellStart"/>
      <w:r>
        <w:t>convolutional</w:t>
      </w:r>
      <w:proofErr w:type="spellEnd"/>
      <w:r>
        <w:t xml:space="preserve"> layers learn spatially localized patterns and reuse filters across different image locations. Early layers may respond to simple visual structures, while deeper layers combine these responses into more complex representations. Pooling or other spatial-reduction operations and subsequent feature-aggregation layers help produce representations suitable for classification.</w:t>
      </w:r>
    </w:p>
    <w:p w:rsidR="008939ED" w:rsidRDefault="008939ED" w:rsidP="008939ED">
      <w:pPr>
        <w:pStyle w:val="NormalWeb"/>
      </w:pPr>
      <w:r>
        <w:t xml:space="preserve">In a typical CNN-based glaucoma-detection pipeline, a </w:t>
      </w:r>
      <w:proofErr w:type="spellStart"/>
      <w:r>
        <w:t>fundus</w:t>
      </w:r>
      <w:proofErr w:type="spellEnd"/>
      <w:r>
        <w:t xml:space="preserve"> image is first prepared for model input. The network processes the image through successive feature-learning layers, and a classification head transforms the learned representation into a prediction. During training, the model parameters are optimized to reduce a loss function measuring the difference between predictions and reference labels.</w:t>
      </w:r>
    </w:p>
    <w:p w:rsidR="008939ED" w:rsidRDefault="008939ED" w:rsidP="008939ED">
      <w:pPr>
        <w:pStyle w:val="NormalWeb"/>
      </w:pPr>
      <w:r>
        <w:t xml:space="preserve">The architecture and training strategy can vary considerably between studies. Some researchers develop task-specific networks, whereas others use </w:t>
      </w:r>
      <w:proofErr w:type="spellStart"/>
      <w:r>
        <w:t>pretrained</w:t>
      </w:r>
      <w:proofErr w:type="spellEnd"/>
      <w:r>
        <w:t xml:space="preserve"> models and adapt them to </w:t>
      </w:r>
      <w:proofErr w:type="spellStart"/>
      <w:r>
        <w:t>fundus</w:t>
      </w:r>
      <w:proofErr w:type="spellEnd"/>
      <w:r>
        <w:t xml:space="preserve"> images. Transfer learning is particularly relevant when the target dataset is relatively small compared with the datasets commonly used to train large image-recognition models. A </w:t>
      </w:r>
      <w:proofErr w:type="spellStart"/>
      <w:r>
        <w:t>pretrained</w:t>
      </w:r>
      <w:proofErr w:type="spellEnd"/>
      <w:r>
        <w:t xml:space="preserve"> network provides an initial representation that can be retained or fine-tuned using the target data.</w:t>
      </w:r>
    </w:p>
    <w:p w:rsidR="008939ED" w:rsidRDefault="008939ED" w:rsidP="008939ED">
      <w:pPr>
        <w:pStyle w:val="NormalWeb"/>
      </w:pPr>
      <w:proofErr w:type="spellStart"/>
      <w:r>
        <w:t>Raghavendra</w:t>
      </w:r>
      <w:proofErr w:type="spellEnd"/>
      <w:r>
        <w:t xml:space="preserve"> et al. [3] demonstrated the application of a deep CNN to glaucoma diagnosis from digital </w:t>
      </w:r>
      <w:proofErr w:type="spellStart"/>
      <w:r>
        <w:t>fundus</w:t>
      </w:r>
      <w:proofErr w:type="spellEnd"/>
      <w:r>
        <w:t xml:space="preserve"> images. </w:t>
      </w:r>
      <w:proofErr w:type="spellStart"/>
      <w:r>
        <w:t>Gómez-Valverde</w:t>
      </w:r>
      <w:proofErr w:type="spellEnd"/>
      <w:r>
        <w:t xml:space="preserve"> et al. [4] examined CNN architectures and transfer-learning strategies, while Diaz-Pinto et al. [5] investigated multiple </w:t>
      </w:r>
      <w:proofErr w:type="spellStart"/>
      <w:r>
        <w:t>pretrained</w:t>
      </w:r>
      <w:proofErr w:type="spellEnd"/>
      <w:r>
        <w:t xml:space="preserve"> networks and their performance across different </w:t>
      </w:r>
      <w:proofErr w:type="spellStart"/>
      <w:r>
        <w:t>fundus</w:t>
      </w:r>
      <w:proofErr w:type="spellEnd"/>
      <w:r>
        <w:t>-image databases. Taken together, these studies illustrate the range of CNN-based strategies and the importance of evaluating their performance under clearly specified experimental conditions.</w:t>
      </w:r>
    </w:p>
    <w:p w:rsidR="008939ED" w:rsidRDefault="008939ED" w:rsidP="008939ED">
      <w:pPr>
        <w:pStyle w:val="NormalWeb"/>
      </w:pPr>
      <w:r>
        <w:lastRenderedPageBreak/>
        <w:t>However, a deeper network or a more complex feature representation should not automatically be considered superior. Greater model capacity can increase computational requirements and may make training more demanding. When the available dataset is limited or insufficiently diverse, a complex model may also learn patterns that do not generalize well. Consequently, architectural comparisons should consider predictive performance alongside data requirements, computational cost, and robustness across independent evaluation settings.</w:t>
      </w:r>
    </w:p>
    <w:p w:rsidR="008939ED" w:rsidRDefault="008939ED" w:rsidP="008939ED">
      <w:pPr>
        <w:pStyle w:val="Heading3"/>
      </w:pPr>
      <w:r>
        <w:t>2.5. Major Deep-Learning Architecture Families</w:t>
      </w:r>
    </w:p>
    <w:p w:rsidR="008939ED" w:rsidRDefault="008939ED" w:rsidP="008939ED">
      <w:pPr>
        <w:pStyle w:val="NormalWeb"/>
      </w:pPr>
      <w:r>
        <w:t>Several architectural families have been investigated for image classification, each offering different approaches to feature extraction and representation learning. Their inclusion in glaucoma-detection studies provides a basis for comparing the types of models used in the literature, although performance conclusions must be drawn from the relevant experiments rather than from the architecture name alone.</w:t>
      </w:r>
    </w:p>
    <w:p w:rsidR="008939ED" w:rsidRDefault="008939ED" w:rsidP="008939ED">
      <w:pPr>
        <w:pStyle w:val="Heading4"/>
      </w:pPr>
      <w:r>
        <w:t>2.5.1. Residual Networks</w:t>
      </w:r>
    </w:p>
    <w:p w:rsidR="008939ED" w:rsidRDefault="008939ED" w:rsidP="008939ED">
      <w:pPr>
        <w:pStyle w:val="NormalWeb"/>
      </w:pPr>
      <w:r>
        <w:t xml:space="preserve">Residual networks, commonly known as </w:t>
      </w:r>
      <w:proofErr w:type="spellStart"/>
      <w:r>
        <w:t>ResNets</w:t>
      </w:r>
      <w:proofErr w:type="spellEnd"/>
      <w:r>
        <w:t>, introduce shortcut connections that allow information to bypass one or more layers. Instead of requiring every block to learn a complete transformation of its input, residual learning allows a block to learn a residual function that is combined with the original input. This design helps optimize deeper networks and supports the learning of more complex image representations [7].</w:t>
      </w:r>
    </w:p>
    <w:p w:rsidR="008939ED" w:rsidRDefault="008939ED" w:rsidP="008939ED">
      <w:pPr>
        <w:pStyle w:val="NormalWeb"/>
      </w:pPr>
      <w:r>
        <w:t xml:space="preserve">ResNet-50 is a 50-layer variant that has been widely adopted in image-classification research. Its </w:t>
      </w:r>
      <w:proofErr w:type="spellStart"/>
      <w:r>
        <w:t>pretrained</w:t>
      </w:r>
      <w:proofErr w:type="spellEnd"/>
      <w:r>
        <w:t xml:space="preserve"> weights can provide a starting point for </w:t>
      </w:r>
      <w:proofErr w:type="spellStart"/>
      <w:r>
        <w:t>fundus</w:t>
      </w:r>
      <w:proofErr w:type="spellEnd"/>
      <w:r>
        <w:t xml:space="preserve">-image classification, after which some or </w:t>
      </w:r>
      <w:proofErr w:type="gramStart"/>
      <w:r>
        <w:t>all of the</w:t>
      </w:r>
      <w:proofErr w:type="gramEnd"/>
      <w:r>
        <w:t xml:space="preserve"> network can be fine-tuned for the target task. Its residual structure makes it a relevant architecture for investigating deep feature learning, but its actual effectiveness in glaucoma detection depends on the dataset, training procedure, and evaluation setting.</w:t>
      </w:r>
    </w:p>
    <w:p w:rsidR="008939ED" w:rsidRDefault="008939ED" w:rsidP="008939ED">
      <w:pPr>
        <w:pStyle w:val="Heading4"/>
      </w:pPr>
      <w:r>
        <w:t xml:space="preserve">2.5.2. Efficient </w:t>
      </w:r>
      <w:proofErr w:type="spellStart"/>
      <w:r>
        <w:t>Convolutional</w:t>
      </w:r>
      <w:proofErr w:type="spellEnd"/>
      <w:r>
        <w:t xml:space="preserve"> Networks</w:t>
      </w:r>
    </w:p>
    <w:p w:rsidR="008939ED" w:rsidRDefault="008939ED" w:rsidP="008939ED">
      <w:pPr>
        <w:pStyle w:val="NormalWeb"/>
      </w:pPr>
      <w:proofErr w:type="spellStart"/>
      <w:r>
        <w:t>EfficientNet</w:t>
      </w:r>
      <w:proofErr w:type="spellEnd"/>
      <w:r>
        <w:t xml:space="preserve"> was introduced as a family of </w:t>
      </w:r>
      <w:proofErr w:type="spellStart"/>
      <w:r>
        <w:t>convolutional</w:t>
      </w:r>
      <w:proofErr w:type="spellEnd"/>
      <w:r>
        <w:t xml:space="preserve"> neural networks designed to balance model depth, width, and input resolution through a compound-scaling strategy [8]. Rather than increasing a single dimension independently, this approach scales multiple dimensions in a coordinated manner.</w:t>
      </w:r>
    </w:p>
    <w:p w:rsidR="008939ED" w:rsidRDefault="008939ED" w:rsidP="008939ED">
      <w:pPr>
        <w:pStyle w:val="NormalWeb"/>
      </w:pPr>
      <w:proofErr w:type="spellStart"/>
      <w:r>
        <w:t>EfficientNet</w:t>
      </w:r>
      <w:proofErr w:type="spellEnd"/>
      <w:r>
        <w:t xml:space="preserve"> models are relevant when computational efficiency is an important consideration. Different variants offer different trade-offs between model capacity, inference requirements, and predictive performance. However, efficiency demonstrated on a general image-recognition benchmark does not necessarily translate directly into better glaucoma-detection performance. Evaluation on the relevant </w:t>
      </w:r>
      <w:proofErr w:type="spellStart"/>
      <w:r>
        <w:t>fundus</w:t>
      </w:r>
      <w:proofErr w:type="spellEnd"/>
      <w:r>
        <w:t xml:space="preserve"> datasets is still required.</w:t>
      </w:r>
    </w:p>
    <w:p w:rsidR="008939ED" w:rsidRDefault="008939ED" w:rsidP="008939ED">
      <w:pPr>
        <w:pStyle w:val="Heading4"/>
      </w:pPr>
      <w:r>
        <w:t>2.5.3. Vision Transformers</w:t>
      </w:r>
    </w:p>
    <w:p w:rsidR="008939ED" w:rsidRDefault="008939ED" w:rsidP="008939ED">
      <w:pPr>
        <w:pStyle w:val="NormalWeb"/>
      </w:pPr>
      <w:r>
        <w:t>Vision Transformers (</w:t>
      </w:r>
      <w:proofErr w:type="spellStart"/>
      <w:r>
        <w:t>ViTs</w:t>
      </w:r>
      <w:proofErr w:type="spellEnd"/>
      <w:r>
        <w:t xml:space="preserve">) adapt the transformer architecture to image recognition by representing an image as a sequence of patches. The image is divided into patches, which are </w:t>
      </w:r>
      <w:r>
        <w:lastRenderedPageBreak/>
        <w:t>embedded into vector representations and processed using self-attention mechanisms. Self-attention enables the model to learn relationships between different patches, including relationships between regions that may be spatially distant [9].</w:t>
      </w:r>
    </w:p>
    <w:p w:rsidR="008939ED" w:rsidRDefault="008939ED" w:rsidP="008939ED">
      <w:pPr>
        <w:pStyle w:val="NormalWeb"/>
      </w:pPr>
      <w:r>
        <w:t xml:space="preserve">This approach differs from the localized feature extraction of conventional </w:t>
      </w:r>
      <w:proofErr w:type="spellStart"/>
      <w:r>
        <w:t>convolutional</w:t>
      </w:r>
      <w:proofErr w:type="spellEnd"/>
      <w:r>
        <w:t xml:space="preserve"> layers. Transformers can model broader spatial relationships, although their data requirements and computational characteristics depend on the particular architecture, </w:t>
      </w:r>
      <w:proofErr w:type="spellStart"/>
      <w:r>
        <w:t>pretraining</w:t>
      </w:r>
      <w:proofErr w:type="spellEnd"/>
      <w:r>
        <w:t xml:space="preserve"> strategy, and implementation. </w:t>
      </w:r>
      <w:proofErr w:type="spellStart"/>
      <w:r>
        <w:t>Pretraining</w:t>
      </w:r>
      <w:proofErr w:type="spellEnd"/>
      <w:r>
        <w:t xml:space="preserve"> on large datasets can be important when adapting a </w:t>
      </w:r>
      <w:proofErr w:type="spellStart"/>
      <w:r>
        <w:t>ViT</w:t>
      </w:r>
      <w:proofErr w:type="spellEnd"/>
      <w:r>
        <w:t xml:space="preserve"> to a smaller target dataset.</w:t>
      </w:r>
    </w:p>
    <w:p w:rsidR="008939ED" w:rsidRDefault="008939ED" w:rsidP="008939ED">
      <w:pPr>
        <w:pStyle w:val="NormalWeb"/>
      </w:pPr>
      <w:r>
        <w:t xml:space="preserve">In glaucoma detection, transformer-based approaches provide an alternative representation-learning strategy for </w:t>
      </w:r>
      <w:proofErr w:type="spellStart"/>
      <w:r>
        <w:t>fundus</w:t>
      </w:r>
      <w:proofErr w:type="spellEnd"/>
      <w:r>
        <w:t xml:space="preserve"> images. Their value should be </w:t>
      </w:r>
      <w:proofErr w:type="spellStart"/>
      <w:r>
        <w:t>assessed</w:t>
      </w:r>
      <w:proofErr w:type="spellEnd"/>
      <w:r>
        <w:t xml:space="preserve"> through controlled comparisons with CNN-based approaches, taking into account differences in </w:t>
      </w:r>
      <w:proofErr w:type="spellStart"/>
      <w:r>
        <w:t>pretraining</w:t>
      </w:r>
      <w:proofErr w:type="spellEnd"/>
      <w:r>
        <w:t xml:space="preserve">, image resolution, data augmentation, optimization, and validation. A comparison between a </w:t>
      </w:r>
      <w:proofErr w:type="spellStart"/>
      <w:r>
        <w:t>pretrained</w:t>
      </w:r>
      <w:proofErr w:type="spellEnd"/>
      <w:r>
        <w:t xml:space="preserve"> transformer and a CNN trained under substantially different conditions would not isolate the effect of architecture alone.</w:t>
      </w:r>
    </w:p>
    <w:p w:rsidR="008939ED" w:rsidRDefault="008939ED" w:rsidP="008939ED">
      <w:pPr>
        <w:pStyle w:val="Heading4"/>
      </w:pPr>
      <w:r>
        <w:t>2.5.4. Hybrid Architectures</w:t>
      </w:r>
    </w:p>
    <w:p w:rsidR="008939ED" w:rsidRDefault="008939ED" w:rsidP="008939ED">
      <w:pPr>
        <w:pStyle w:val="NormalWeb"/>
      </w:pPr>
      <w:r>
        <w:t xml:space="preserve">Hybrid models combine elements of different architectural families, such as </w:t>
      </w:r>
      <w:proofErr w:type="spellStart"/>
      <w:r>
        <w:t>convolutional</w:t>
      </w:r>
      <w:proofErr w:type="spellEnd"/>
      <w:r>
        <w:t xml:space="preserve"> feature extraction and transformer-based attention. The objective may be to combine local visual representation learning with broader contextual relationships. Hybrid approaches can also incorporate anatomical information or additional image-processing stages.</w:t>
      </w:r>
    </w:p>
    <w:p w:rsidR="008939ED" w:rsidRDefault="008939ED" w:rsidP="008939ED">
      <w:pPr>
        <w:pStyle w:val="NormalWeb"/>
      </w:pPr>
      <w:r>
        <w:t xml:space="preserve">Although combining architectural components can provide flexibility, greater complexity does not guarantee improved generalization. Such models may introduce additional parameters, training requirements, and opportunities for </w:t>
      </w:r>
      <w:proofErr w:type="spellStart"/>
      <w:r>
        <w:t>overfitting</w:t>
      </w:r>
      <w:proofErr w:type="spellEnd"/>
      <w:r>
        <w:t>. Their contribution should therefore be evaluated using appropriate baselines and, where possible, controlled experiments that establish whether each component adds measurable value.</w:t>
      </w:r>
    </w:p>
    <w:p w:rsidR="008939ED" w:rsidRDefault="008939ED" w:rsidP="008939ED">
      <w:pPr>
        <w:pStyle w:val="Heading3"/>
      </w:pPr>
      <w:r>
        <w:t>2.6. Ensemble Learning for Glaucoma Classification</w:t>
      </w:r>
    </w:p>
    <w:p w:rsidR="008939ED" w:rsidRDefault="008939ED" w:rsidP="008939ED">
      <w:pPr>
        <w:pStyle w:val="NormalWeb"/>
      </w:pPr>
      <w:r>
        <w:t>Ensemble learning combines the predictions of multiple models to produce a final prediction. Its potential benefit comes from the possibility that different models capture complementary patterns or make different errors. If their errors are sufficiently diverse, combining their predictions may improve overall performance compared with relying on a single model.</w:t>
      </w:r>
    </w:p>
    <w:p w:rsidR="008939ED" w:rsidRDefault="008939ED" w:rsidP="008939ED">
      <w:pPr>
        <w:pStyle w:val="NormalWeb"/>
      </w:pPr>
      <w:r>
        <w:t>Ensemble strategies differ in how individual predictions are combined. The principal approaches relevant to image classification include the following.</w:t>
      </w:r>
    </w:p>
    <w:p w:rsidR="008939ED" w:rsidRDefault="008939ED" w:rsidP="008939ED">
      <w:pPr>
        <w:pStyle w:val="NormalWeb"/>
      </w:pPr>
      <w:r>
        <w:rPr>
          <w:rStyle w:val="Strong"/>
        </w:rPr>
        <w:t>Hard voting</w:t>
      </w:r>
      <w:r>
        <w:t xml:space="preserve"> combines the discrete class labels predicted by individual models. The final class is selected according to the majority vote. This approach is relatively straightforward, but it discards information contained in the confidence scores or probabilities produced by the individual models.</w:t>
      </w:r>
    </w:p>
    <w:p w:rsidR="008939ED" w:rsidRDefault="008939ED" w:rsidP="008939ED">
      <w:pPr>
        <w:pStyle w:val="NormalWeb"/>
      </w:pPr>
      <w:r>
        <w:rPr>
          <w:rStyle w:val="Strong"/>
        </w:rPr>
        <w:lastRenderedPageBreak/>
        <w:t>Soft voting</w:t>
      </w:r>
      <w:r>
        <w:t xml:space="preserve"> combines predicted class probabilities, commonly by averaging them, and selects the class with the highest combined probability. This approach retains more information than hard voting, although differences in probability calibration between models may affect the result.</w:t>
      </w:r>
    </w:p>
    <w:p w:rsidR="008939ED" w:rsidRDefault="008939ED" w:rsidP="008939ED">
      <w:pPr>
        <w:pStyle w:val="NormalWeb"/>
      </w:pPr>
      <w:r>
        <w:rPr>
          <w:rStyle w:val="Strong"/>
        </w:rPr>
        <w:t>Weighted voting</w:t>
      </w:r>
      <w:r>
        <w:t xml:space="preserve"> assigns different weights to the predictions of individual models. A model may receive a greater weight based on a predefined validation strategy, but the weighting procedure should be documented and should not use the final test set to optimize the combination.</w:t>
      </w:r>
    </w:p>
    <w:p w:rsidR="008939ED" w:rsidRDefault="008939ED" w:rsidP="008939ED">
      <w:pPr>
        <w:pStyle w:val="NormalWeb"/>
      </w:pPr>
      <w:r>
        <w:rPr>
          <w:rStyle w:val="Strong"/>
        </w:rPr>
        <w:t>Stacking</w:t>
      </w:r>
      <w:r>
        <w:t xml:space="preserve"> uses the predictions of base models as inputs to a second-level model, commonly called a meta-learner. The meta-learner learns how to combine the base predictions. Proper stacking requires careful separation of training and evaluation data, often through out-of-fold predictions, to prevent information leakage.</w:t>
      </w:r>
    </w:p>
    <w:p w:rsidR="008939ED" w:rsidRDefault="008939ED" w:rsidP="008939ED">
      <w:pPr>
        <w:pStyle w:val="NormalWeb"/>
      </w:pPr>
      <w:r>
        <w:t>The effectiveness of an ensemble depends on more than the number of models it contains. If several models make highly correlated errors, combining them may provide little improvement. Similarly, an ensemble may increase computational cost and inference time without producing a meaningful gain in performance. For these reasons, ensemble studies should be assessed by comparing their results against individual-model baselines under the same evaluation conditions.</w:t>
      </w:r>
    </w:p>
    <w:p w:rsidR="008939ED" w:rsidRDefault="008939ED" w:rsidP="008939ED">
      <w:pPr>
        <w:pStyle w:val="NormalWeb"/>
      </w:pPr>
      <w:r>
        <w:t xml:space="preserve">When examining ensemble-based glaucoma-detection studies, it is also important to distinguish between ensembles created from different model architectures and ensembles composed of multiple instances of the same architecture. The former may provide complementary representations, whereas the latter may primarily capture variation arising from training, initialization, or data sampling. The degree of </w:t>
      </w:r>
      <w:proofErr w:type="spellStart"/>
      <w:r>
        <w:t>complementarity</w:t>
      </w:r>
      <w:proofErr w:type="spellEnd"/>
      <w:r>
        <w:t xml:space="preserve"> must be established empirically rather than assumed from the model names.</w:t>
      </w:r>
    </w:p>
    <w:p w:rsidR="008939ED" w:rsidRDefault="008939ED" w:rsidP="008939ED">
      <w:pPr>
        <w:pStyle w:val="Heading3"/>
      </w:pPr>
      <w:r>
        <w:t xml:space="preserve">2.7. </w:t>
      </w:r>
      <w:proofErr w:type="spellStart"/>
      <w:r>
        <w:t>Fundus</w:t>
      </w:r>
      <w:proofErr w:type="spellEnd"/>
      <w:r>
        <w:t>-Image Datasets and Data Preparation</w:t>
      </w:r>
    </w:p>
    <w:p w:rsidR="008939ED" w:rsidRDefault="008939ED" w:rsidP="008939ED">
      <w:pPr>
        <w:pStyle w:val="NormalWeb"/>
      </w:pPr>
      <w:r>
        <w:t>The quality and diversity of the datasets used for training and evaluation are central to the development of automated glaucoma-detection systems. Research studies may use publicly accessible benchmark datasets, institutional collections, or combinations of multiple data sources. These collections differ in image count, patient characteristics, diagnostic labels, acquisition conditions, and annotation procedures.</w:t>
      </w:r>
    </w:p>
    <w:p w:rsidR="008939ED" w:rsidRDefault="008939ED" w:rsidP="008939ED">
      <w:pPr>
        <w:pStyle w:val="NormalWeb"/>
      </w:pPr>
      <w:r>
        <w:t>Public datasets can support reproducibility and facilitate comparisons between research groups, provided that access conditions and evaluation protocols are clearly documented. However, public availability does not necessarily mean that every study uses the same subset of images, label definitions, or train-test partitions. Researchers may also apply different preprocessing procedures, which can influence the information available to a model.</w:t>
      </w:r>
    </w:p>
    <w:p w:rsidR="008939ED" w:rsidRDefault="008939ED" w:rsidP="008939ED">
      <w:pPr>
        <w:pStyle w:val="NormalWeb"/>
      </w:pPr>
      <w:r>
        <w:t xml:space="preserve">Several datasets have been used in glaucoma-related </w:t>
      </w:r>
      <w:proofErr w:type="spellStart"/>
      <w:r>
        <w:t>fundus</w:t>
      </w:r>
      <w:proofErr w:type="spellEnd"/>
      <w:r>
        <w:t>-image research, including RIM-ONE, DRISHTI-GS, ORIGA, ACRIMA, and REFUGE. These resources are not interchangeable: they differ in their intended research tasks, image characteristics, annotations, and composition. Some are particularly useful for studying optic disc and cup segmentation, while others have been used for glaucoma classification or benchmark evaluation. Consequently, dataset selection should be interpreted in relation to the specific task addressed by each study.</w:t>
      </w:r>
    </w:p>
    <w:p w:rsidR="008939ED" w:rsidRDefault="008939ED" w:rsidP="008939ED">
      <w:pPr>
        <w:pStyle w:val="NormalWeb"/>
      </w:pPr>
      <w:r>
        <w:lastRenderedPageBreak/>
        <w:t xml:space="preserve">Data preparation may include image resizing, normalization, </w:t>
      </w:r>
      <w:proofErr w:type="spellStart"/>
      <w:r>
        <w:t>colour</w:t>
      </w:r>
      <w:proofErr w:type="spellEnd"/>
      <w:r>
        <w:t xml:space="preserve"> correction, contrast enhancement, removal of low-quality images, or localization of the optic nerve head. Data augmentation techniques, such as rotation, flipping, and controlled changes in image appearance, may also be applied during training to improve robustness to variations in the input data. These operations should be documented because different preprocessing and augmentation choices can influence model performance.</w:t>
      </w:r>
    </w:p>
    <w:p w:rsidR="008939ED" w:rsidRDefault="008939ED" w:rsidP="008939ED">
      <w:pPr>
        <w:pStyle w:val="NormalWeb"/>
      </w:pPr>
      <w:r>
        <w:t xml:space="preserve">A further concern is the distinction between images and independent patients. If multiple images from the same patient are distributed across training and test sets, the evaluation may overestimate performance because the model can exploit patient-specific characteristics. Similar problems can arise when duplicate or near-duplicate images occur across partitions. </w:t>
      </w:r>
      <w:proofErr w:type="gramStart"/>
      <w:r>
        <w:t>Patient-level separation, where applicable, and independent external evaluation can provide stronger evidence of generalization.</w:t>
      </w:r>
      <w:proofErr w:type="gramEnd"/>
    </w:p>
    <w:p w:rsidR="008939ED" w:rsidRDefault="008939ED" w:rsidP="008939ED">
      <w:pPr>
        <w:pStyle w:val="NormalWeb"/>
      </w:pPr>
      <w:r>
        <w:t>Dataset accessibility also requires precise reporting. A dataset may be openly downloadable, available only after registration or approval, or accessible solely through an institution or data-use agreement. These categories should not be collapsed into a simple public-versus-private label without verification. Dataset names, sample counts, diagnostic labels, and access conditions should be extracted from original dataset publications or official repositories wherever possible.</w:t>
      </w:r>
    </w:p>
    <w:p w:rsidR="008939ED" w:rsidRDefault="008939ED" w:rsidP="008939ED">
      <w:pPr>
        <w:pStyle w:val="Heading3"/>
      </w:pPr>
      <w:r>
        <w:t>2.8. Evaluation Metrics and Validation Protocols</w:t>
      </w:r>
    </w:p>
    <w:p w:rsidR="008939ED" w:rsidRDefault="008939ED" w:rsidP="008939ED">
      <w:pPr>
        <w:pStyle w:val="NormalWeb"/>
      </w:pPr>
      <w:r>
        <w:t xml:space="preserve">The performance of a glaucoma-detection model is commonly assessed using a collection of complementary metrics. Each metric captures a different aspect of classification </w:t>
      </w:r>
      <w:proofErr w:type="spellStart"/>
      <w:r>
        <w:t>behaviour</w:t>
      </w:r>
      <w:proofErr w:type="spellEnd"/>
      <w:r>
        <w:t>, and the choice of metric should reflect the purpose of the evaluation.</w:t>
      </w:r>
    </w:p>
    <w:p w:rsidR="008939ED" w:rsidRDefault="008939ED" w:rsidP="008939ED">
      <w:pPr>
        <w:pStyle w:val="NormalWeb"/>
      </w:pPr>
      <w:r>
        <w:t>For binary classification, let true positives (TP) represent glaucoma-positive cases correctly identified by the model, true negatives (TN) represent normal cases correctly classified, false positives (FP) represent normal cases incorrectly classified as glaucoma, and false negatives (FN) represent glaucoma-positive cases missed by the model.</w:t>
      </w:r>
    </w:p>
    <w:p w:rsidR="008939ED" w:rsidRDefault="008939ED" w:rsidP="008939ED">
      <w:pPr>
        <w:pStyle w:val="NormalWeb"/>
      </w:pPr>
      <w:r>
        <w:t>The principal metrics can be expressed as follows:</w:t>
      </w:r>
    </w:p>
    <w:p w:rsidR="008939ED" w:rsidRDefault="008939ED" w:rsidP="008939ED">
      <w:pPr>
        <w:pStyle w:val="NormalWeb"/>
      </w:pPr>
      <w:r>
        <w:t>[</w:t>
      </w:r>
      <w:r>
        <w:br/>
        <w:t>\text{Accuracy}=\</w:t>
      </w:r>
      <w:proofErr w:type="spellStart"/>
      <w:r>
        <w:t>frac</w:t>
      </w:r>
      <w:proofErr w:type="spellEnd"/>
      <w:r>
        <w:t>{TP+TN}{TP+TN+FP+FN}</w:t>
      </w:r>
      <w:r>
        <w:br/>
        <w:t>]</w:t>
      </w:r>
    </w:p>
    <w:p w:rsidR="008939ED" w:rsidRDefault="008939ED" w:rsidP="008939ED">
      <w:pPr>
        <w:pStyle w:val="NormalWeb"/>
      </w:pPr>
      <w:r>
        <w:t>[</w:t>
      </w:r>
      <w:r>
        <w:br/>
        <w:t>\text{Sensitivity}=\</w:t>
      </w:r>
      <w:proofErr w:type="spellStart"/>
      <w:r>
        <w:t>frac</w:t>
      </w:r>
      <w:proofErr w:type="spellEnd"/>
      <w:r>
        <w:t>{TP}{TP+FN}</w:t>
      </w:r>
      <w:r>
        <w:br/>
        <w:t>]</w:t>
      </w:r>
    </w:p>
    <w:p w:rsidR="008939ED" w:rsidRDefault="008939ED" w:rsidP="008939ED">
      <w:pPr>
        <w:pStyle w:val="NormalWeb"/>
      </w:pPr>
      <w:r>
        <w:t>[</w:t>
      </w:r>
      <w:r>
        <w:br/>
        <w:t>\text{Specificity}=\</w:t>
      </w:r>
      <w:proofErr w:type="spellStart"/>
      <w:r>
        <w:t>frac</w:t>
      </w:r>
      <w:proofErr w:type="spellEnd"/>
      <w:r>
        <w:t>{TN}{TN+FP}</w:t>
      </w:r>
      <w:r>
        <w:br/>
        <w:t>]</w:t>
      </w:r>
    </w:p>
    <w:p w:rsidR="008939ED" w:rsidRDefault="008939ED" w:rsidP="008939ED">
      <w:pPr>
        <w:pStyle w:val="NormalWeb"/>
      </w:pPr>
      <w:r>
        <w:lastRenderedPageBreak/>
        <w:t>[</w:t>
      </w:r>
      <w:r>
        <w:br/>
        <w:t>\text{Precision}=\</w:t>
      </w:r>
      <w:proofErr w:type="spellStart"/>
      <w:r>
        <w:t>frac</w:t>
      </w:r>
      <w:proofErr w:type="spellEnd"/>
      <w:r>
        <w:t>{TP}{TP+FP}</w:t>
      </w:r>
      <w:r>
        <w:br/>
        <w:t>]</w:t>
      </w:r>
    </w:p>
    <w:p w:rsidR="008939ED" w:rsidRDefault="008939ED" w:rsidP="008939ED">
      <w:pPr>
        <w:pStyle w:val="NormalWeb"/>
      </w:pPr>
      <w:r>
        <w:t>[</w:t>
      </w:r>
      <w:r>
        <w:br/>
        <w:t>F_1=2\</w:t>
      </w:r>
      <w:proofErr w:type="spellStart"/>
      <w:r>
        <w:t>cdot</w:t>
      </w:r>
      <w:proofErr w:type="spellEnd"/>
      <w:r>
        <w:t>\</w:t>
      </w:r>
      <w:proofErr w:type="spellStart"/>
      <w:proofErr w:type="gramStart"/>
      <w:r>
        <w:t>frac</w:t>
      </w:r>
      <w:proofErr w:type="spellEnd"/>
      <w:r>
        <w:t>{</w:t>
      </w:r>
      <w:proofErr w:type="gramEnd"/>
      <w:r>
        <w:t>\text{Precision}\</w:t>
      </w:r>
      <w:proofErr w:type="spellStart"/>
      <w:r>
        <w:t>cdot</w:t>
      </w:r>
      <w:proofErr w:type="spellEnd"/>
      <w:r>
        <w:t>\text{Recall}}</w:t>
      </w:r>
      <w:r>
        <w:br/>
        <w:t>{\text{Precision}+\text{Recall}}</w:t>
      </w:r>
      <w:r>
        <w:br/>
        <w:t>]</w:t>
      </w:r>
    </w:p>
    <w:p w:rsidR="008939ED" w:rsidRDefault="008939ED" w:rsidP="008939ED">
      <w:pPr>
        <w:pStyle w:val="NormalWeb"/>
      </w:pPr>
      <w:r>
        <w:t>Accuracy measures the overall proportion of correct predictions. Sensitivity measures the proportion of glaucoma-positive cases correctly identified, while specificity measures the proportion of normal cases correctly classified. Precision describes the proportion of predicted positive cases that are truly positive, and the F1-score balances precision and recall through their harmonic mean.</w:t>
      </w:r>
    </w:p>
    <w:p w:rsidR="008939ED" w:rsidRDefault="008939ED" w:rsidP="008939ED">
      <w:pPr>
        <w:pStyle w:val="NormalWeb"/>
      </w:pPr>
      <w:r>
        <w:t>The area under the receiver operating characteristic curve (ROC-AUC) measures the model's ability to rank positive cases above negative cases across classification thresholds. It provides a threshold-independent summary of discrimination, but it does not by itself establish that the model's probabilities are well calibrated or that a particular operating threshold is appropriate for screening.</w:t>
      </w:r>
    </w:p>
    <w:p w:rsidR="008939ED" w:rsidRDefault="008939ED" w:rsidP="008939ED">
      <w:pPr>
        <w:pStyle w:val="NormalWeb"/>
      </w:pPr>
      <w:r>
        <w:t>These metrics should be interpreted together. For example, high accuracy can be misleading when the classes are imbalanced, and a model with high sensitivity may also produce a substantial number of false positives. The clinical implications of these errors depend on the intended use of the system and the consequences of missed cases and unnecessary referrals.</w:t>
      </w:r>
    </w:p>
    <w:p w:rsidR="008939ED" w:rsidRDefault="008939ED" w:rsidP="008939ED">
      <w:pPr>
        <w:pStyle w:val="NormalWeb"/>
      </w:pPr>
      <w:r>
        <w:t>The evaluation protocol is equally important. A training set is used to learn model parameters, while a validation set supports model selection and tuning. A separate test set is intended to estimate performance after the model-development decisions have been made. When the same data are repeatedly used for tuning and final reporting, the resulting estimate may be optimistic.</w:t>
      </w:r>
    </w:p>
    <w:p w:rsidR="008939ED" w:rsidRDefault="008939ED" w:rsidP="008939ED">
      <w:pPr>
        <w:pStyle w:val="NormalWeb"/>
      </w:pPr>
      <w:r>
        <w:t>External validation provides additional evidence by evaluating a model on a separate dataset, ideally collected under different conditions. Cross-validation can support model development when data are limited, but it does not automatically establish generalization to independent institutions or populations. Studies should therefore be compared in light of their data partitions, patient-level separation, external validation, class distributions, and reported uncertainty. These considerations are especially important when synthesizing performance results across heterogeneous studies [5].</w:t>
      </w:r>
    </w:p>
    <w:p w:rsidR="008939ED" w:rsidRDefault="008939ED" w:rsidP="008939ED">
      <w:pPr>
        <w:pStyle w:val="Heading3"/>
      </w:pPr>
      <w:r>
        <w:t xml:space="preserve">2.9. Explainable Artificial Intelligence in </w:t>
      </w:r>
      <w:proofErr w:type="spellStart"/>
      <w:r>
        <w:t>Fundus</w:t>
      </w:r>
      <w:proofErr w:type="spellEnd"/>
      <w:r>
        <w:t>-Image Analysis</w:t>
      </w:r>
    </w:p>
    <w:p w:rsidR="008939ED" w:rsidRDefault="008939ED" w:rsidP="008939ED">
      <w:pPr>
        <w:pStyle w:val="NormalWeb"/>
      </w:pPr>
      <w:r>
        <w:t xml:space="preserve">Explainable artificial intelligence refers to methods intended to make model </w:t>
      </w:r>
      <w:proofErr w:type="spellStart"/>
      <w:r>
        <w:t>behaviour</w:t>
      </w:r>
      <w:proofErr w:type="spellEnd"/>
      <w:r>
        <w:t xml:space="preserve"> or individual predictions more interpretable. In medical-image analysis, explanations can help researchers investigate which image regions or input features contribute to a model's output. However, the existence of an explanation does not independently establish the correctness of the prediction or the clinical validity of the highlighted features.</w:t>
      </w:r>
    </w:p>
    <w:p w:rsidR="008939ED" w:rsidRDefault="008939ED" w:rsidP="008939ED">
      <w:pPr>
        <w:pStyle w:val="NormalWeb"/>
      </w:pPr>
      <w:r>
        <w:lastRenderedPageBreak/>
        <w:t xml:space="preserve">One widely used approach for </w:t>
      </w:r>
      <w:proofErr w:type="spellStart"/>
      <w:r>
        <w:t>convolutional</w:t>
      </w:r>
      <w:proofErr w:type="spellEnd"/>
      <w:r>
        <w:t xml:space="preserve"> neural networks is Gradient-weighted Class Activation Mapping (Grad-CAM). Introduced by </w:t>
      </w:r>
      <w:proofErr w:type="spellStart"/>
      <w:r>
        <w:t>Selvaraju</w:t>
      </w:r>
      <w:proofErr w:type="spellEnd"/>
      <w:r>
        <w:t xml:space="preserve"> et al. [10], Grad-CAM uses gradients associated with a target class to construct a coarse spatial map of regions contributing to the model's prediction. When superimposed on a </w:t>
      </w:r>
      <w:proofErr w:type="spellStart"/>
      <w:r>
        <w:t>fundus</w:t>
      </w:r>
      <w:proofErr w:type="spellEnd"/>
      <w:r>
        <w:t xml:space="preserve"> image, the resulting </w:t>
      </w:r>
      <w:proofErr w:type="spellStart"/>
      <w:r>
        <w:t>heatmap</w:t>
      </w:r>
      <w:proofErr w:type="spellEnd"/>
      <w:r>
        <w:t xml:space="preserve"> can help researchers inspect whether the model emphasizes the optic nerve head or other regions of the retina.</w:t>
      </w:r>
    </w:p>
    <w:p w:rsidR="008939ED" w:rsidRDefault="008939ED" w:rsidP="008939ED">
      <w:pPr>
        <w:pStyle w:val="NormalWeb"/>
      </w:pPr>
      <w:r>
        <w:t xml:space="preserve">Other </w:t>
      </w:r>
      <w:proofErr w:type="spellStart"/>
      <w:r>
        <w:t>explainability</w:t>
      </w:r>
      <w:proofErr w:type="spellEnd"/>
      <w:r>
        <w:t xml:space="preserve"> approaches include gradient-based saliency methods, perturbation-based methods, and feature-attribution techniques. Their suitability depends on the architecture, input representation, and question being investigated. Methods designed for image pixels or spatial features are not necessarily interchangeable with techniques intended for structured clinical variables.</w:t>
      </w:r>
    </w:p>
    <w:p w:rsidR="008939ED" w:rsidRDefault="008939ED" w:rsidP="008939ED">
      <w:pPr>
        <w:pStyle w:val="NormalWeb"/>
      </w:pPr>
      <w:r>
        <w:t xml:space="preserve">For glaucoma-detection research, </w:t>
      </w:r>
      <w:proofErr w:type="spellStart"/>
      <w:r>
        <w:t>explainability</w:t>
      </w:r>
      <w:proofErr w:type="spellEnd"/>
      <w:r>
        <w:t xml:space="preserve"> can be examined at several levels. A visual explanation may indicate which regions influenced a prediction; a feature-attribution method may estimate the contribution of particular inputs; and a broader model analysis may investigate whether predictions depend on clinically meaningful patterns or unintended dataset cues. These forms of analysis answer different questions and should be described accordingly.</w:t>
      </w:r>
    </w:p>
    <w:p w:rsidR="008939ED" w:rsidRDefault="008939ED" w:rsidP="008939ED">
      <w:pPr>
        <w:pStyle w:val="NormalWeb"/>
      </w:pPr>
      <w:r>
        <w:t xml:space="preserve">The evaluation of explanations is an important consideration. A </w:t>
      </w:r>
      <w:proofErr w:type="spellStart"/>
      <w:r>
        <w:t>heatmap</w:t>
      </w:r>
      <w:proofErr w:type="spellEnd"/>
      <w:r>
        <w:t xml:space="preserve"> may appear anatomically plausible while failing to represent the model's actual decision process reliably. Relevant evaluation strategies can include testing sensitivity to input changes, examining explanation stability, assessing the relationship between highlighted regions and expert annotations, or investigating whether removing important regions changes the prediction as expected. No single evaluation approach establishes all aspects of explanation quality.</w:t>
      </w:r>
    </w:p>
    <w:p w:rsidR="008939ED" w:rsidRDefault="008939ED" w:rsidP="008939ED">
      <w:pPr>
        <w:pStyle w:val="NormalWeb"/>
      </w:pPr>
      <w:proofErr w:type="spellStart"/>
      <w:r>
        <w:t>Explainability</w:t>
      </w:r>
      <w:proofErr w:type="spellEnd"/>
      <w:r>
        <w:t xml:space="preserve"> should therefore be considered alongside predictive performance, data quality, and external validation. A model that produces convincing visualizations but performs unreliably on independent data remains unsuitable for dependable clinical use. Likewise, a model with strong classification metrics may still provide limited insight into the basis of its predictions. A careful review should distinguish between studies that merely display explanations and those that evaluate their reliability or clinical relevance.</w:t>
      </w:r>
    </w:p>
    <w:p w:rsidR="008939ED" w:rsidRDefault="008939ED" w:rsidP="008939ED">
      <w:pPr>
        <w:pStyle w:val="Heading3"/>
      </w:pPr>
      <w:r>
        <w:t>2.10. Summary of the Technical Foundations</w:t>
      </w:r>
    </w:p>
    <w:p w:rsidR="008939ED" w:rsidRDefault="008939ED" w:rsidP="008939ED">
      <w:pPr>
        <w:pStyle w:val="NormalWeb"/>
      </w:pPr>
      <w:r>
        <w:t xml:space="preserve">The preceding discussion establishes that automated glaucoma detection from </w:t>
      </w:r>
      <w:proofErr w:type="spellStart"/>
      <w:r>
        <w:t>fundus</w:t>
      </w:r>
      <w:proofErr w:type="spellEnd"/>
      <w:r>
        <w:t xml:space="preserve"> images involves several related but distinct methodological choices. Anatomical analysis provides the clinical context for the image features under investigation, while classification, segmentation, and localization define different computational objectives. Deep-learning architectures offer alternative approaches to representation learning, and ensemble methods provide mechanisms for combining predictions when individual models contribute complementary information.</w:t>
      </w:r>
    </w:p>
    <w:p w:rsidR="008939ED" w:rsidRDefault="008939ED" w:rsidP="008939ED">
      <w:pPr>
        <w:pStyle w:val="NormalWeb"/>
      </w:pPr>
      <w:r>
        <w:t xml:space="preserve">At the same time, model performance cannot be interpreted independently of dataset characteristics, data preparation, validation strategy, and metric selection. </w:t>
      </w:r>
      <w:proofErr w:type="spellStart"/>
      <w:r>
        <w:t>Explainability</w:t>
      </w:r>
      <w:proofErr w:type="spellEnd"/>
      <w:r>
        <w:t xml:space="preserve"> adds another dimension by enabling investigation of model </w:t>
      </w:r>
      <w:proofErr w:type="spellStart"/>
      <w:r>
        <w:t>behaviour</w:t>
      </w:r>
      <w:proofErr w:type="spellEnd"/>
      <w:r>
        <w:t>, but its value depends on the reliability and meaningfulness of the explanations produced.</w:t>
      </w:r>
    </w:p>
    <w:p w:rsidR="008939ED" w:rsidRDefault="008939ED" w:rsidP="008939ED">
      <w:pPr>
        <w:pStyle w:val="NormalWeb"/>
      </w:pPr>
      <w:r>
        <w:lastRenderedPageBreak/>
        <w:t>These distinctions provide the conceptual basis for the systematic review that follows. The next section will describe how the literature is identified, screened, and selected, including the information sources, search strategies, eligibility criteria, data-extraction procedures, and study-assessment methods used to establish a transparent evidence base.</w:t>
      </w:r>
    </w:p>
    <w:p w:rsidR="001C1622" w:rsidRDefault="001C1622"/>
    <w:p w:rsidR="008939ED" w:rsidRDefault="008939ED"/>
    <w:p w:rsidR="008939ED" w:rsidRDefault="008939ED"/>
    <w:p w:rsidR="008939ED" w:rsidRDefault="008939ED"/>
    <w:p w:rsidR="008939ED" w:rsidRPr="008939ED" w:rsidRDefault="008939ED" w:rsidP="008939ED">
      <w:pPr>
        <w:spacing w:before="100" w:beforeAutospacing="1" w:after="100" w:afterAutospacing="1" w:line="240" w:lineRule="auto"/>
        <w:outlineLvl w:val="1"/>
        <w:rPr>
          <w:rFonts w:ascii="Times New Roman" w:eastAsia="Times New Roman" w:hAnsi="Times New Roman" w:cs="Times New Roman"/>
          <w:b/>
          <w:bCs/>
          <w:sz w:val="36"/>
          <w:szCs w:val="36"/>
        </w:rPr>
      </w:pPr>
      <w:r w:rsidRPr="008939ED">
        <w:rPr>
          <w:rFonts w:ascii="Times New Roman" w:eastAsia="Times New Roman" w:hAnsi="Times New Roman" w:cs="Times New Roman"/>
          <w:b/>
          <w:bCs/>
          <w:sz w:val="36"/>
          <w:szCs w:val="36"/>
        </w:rPr>
        <w:t>References to add to the manuscript's existing reference list</w:t>
      </w:r>
    </w:p>
    <w:p w:rsidR="008939ED" w:rsidRPr="008939ED" w:rsidRDefault="008939ED" w:rsidP="008939ED">
      <w:pPr>
        <w:spacing w:before="100" w:beforeAutospacing="1" w:after="100" w:afterAutospacing="1"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These are new, unique entries for this section. Existing papers [3]–[6] are cited again using their existing numbers; they are not duplicated below.</w:t>
      </w:r>
    </w:p>
    <w:p w:rsidR="008939ED" w:rsidRPr="008939ED" w:rsidRDefault="008939ED" w:rsidP="008939ED">
      <w:pPr>
        <w:spacing w:before="100" w:beforeAutospacing="1" w:after="100" w:afterAutospacing="1"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 xml:space="preserve">[7] He K, Zhang X, </w:t>
      </w:r>
      <w:proofErr w:type="spellStart"/>
      <w:r w:rsidRPr="008939ED">
        <w:rPr>
          <w:rFonts w:ascii="Times New Roman" w:eastAsia="Times New Roman" w:hAnsi="Times New Roman" w:cs="Times New Roman"/>
          <w:sz w:val="24"/>
          <w:szCs w:val="24"/>
        </w:rPr>
        <w:t>Ren</w:t>
      </w:r>
      <w:proofErr w:type="spellEnd"/>
      <w:r w:rsidRPr="008939ED">
        <w:rPr>
          <w:rFonts w:ascii="Times New Roman" w:eastAsia="Times New Roman" w:hAnsi="Times New Roman" w:cs="Times New Roman"/>
          <w:sz w:val="24"/>
          <w:szCs w:val="24"/>
        </w:rPr>
        <w:t xml:space="preserve"> S, Sun J. Deep residual learning for image recognition. In: Proceedings of the IEEE Conference on Computer Vision and Pattern Recognition (CVPR). 2016:770–778. </w:t>
      </w:r>
      <w:hyperlink r:id="rId10" w:history="1">
        <w:r w:rsidRPr="008939ED">
          <w:rPr>
            <w:rFonts w:ascii="Times New Roman" w:eastAsia="Times New Roman" w:hAnsi="Times New Roman" w:cs="Times New Roman"/>
            <w:color w:val="0000FF"/>
            <w:sz w:val="24"/>
            <w:szCs w:val="24"/>
            <w:u w:val="single"/>
          </w:rPr>
          <w:t>https://doi.org/10.1109/CVPR.2016.90</w:t>
        </w:r>
      </w:hyperlink>
      <w:r w:rsidRPr="008939ED">
        <w:rPr>
          <w:rFonts w:ascii="Times New Roman" w:eastAsia="Times New Roman" w:hAnsi="Times New Roman" w:cs="Times New Roman"/>
          <w:sz w:val="24"/>
          <w:szCs w:val="24"/>
        </w:rPr>
        <w:t xml:space="preserve">. </w:t>
      </w:r>
    </w:p>
    <w:p w:rsidR="008939ED" w:rsidRPr="008939ED" w:rsidRDefault="008939ED" w:rsidP="008939ED">
      <w:pPr>
        <w:spacing w:after="0"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DOI+1</w:t>
      </w:r>
    </w:p>
    <w:p w:rsidR="008939ED" w:rsidRPr="008939ED" w:rsidRDefault="008939ED" w:rsidP="008939ED">
      <w:pPr>
        <w:spacing w:before="100" w:beforeAutospacing="1" w:after="100" w:afterAutospacing="1"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 xml:space="preserve">[8] Tan M, Le Q. </w:t>
      </w:r>
      <w:proofErr w:type="spellStart"/>
      <w:r w:rsidRPr="008939ED">
        <w:rPr>
          <w:rFonts w:ascii="Times New Roman" w:eastAsia="Times New Roman" w:hAnsi="Times New Roman" w:cs="Times New Roman"/>
          <w:sz w:val="24"/>
          <w:szCs w:val="24"/>
        </w:rPr>
        <w:t>EfficientNet</w:t>
      </w:r>
      <w:proofErr w:type="spellEnd"/>
      <w:r w:rsidRPr="008939ED">
        <w:rPr>
          <w:rFonts w:ascii="Times New Roman" w:eastAsia="Times New Roman" w:hAnsi="Times New Roman" w:cs="Times New Roman"/>
          <w:sz w:val="24"/>
          <w:szCs w:val="24"/>
        </w:rPr>
        <w:t xml:space="preserve">: Rethinking model scaling for </w:t>
      </w:r>
      <w:proofErr w:type="spellStart"/>
      <w:r w:rsidRPr="008939ED">
        <w:rPr>
          <w:rFonts w:ascii="Times New Roman" w:eastAsia="Times New Roman" w:hAnsi="Times New Roman" w:cs="Times New Roman"/>
          <w:sz w:val="24"/>
          <w:szCs w:val="24"/>
        </w:rPr>
        <w:t>convolutional</w:t>
      </w:r>
      <w:proofErr w:type="spellEnd"/>
      <w:r w:rsidRPr="008939ED">
        <w:rPr>
          <w:rFonts w:ascii="Times New Roman" w:eastAsia="Times New Roman" w:hAnsi="Times New Roman" w:cs="Times New Roman"/>
          <w:sz w:val="24"/>
          <w:szCs w:val="24"/>
        </w:rPr>
        <w:t xml:space="preserve"> neural networks. In: Proceedings of the 36th International Conference on Machine Learning. </w:t>
      </w:r>
      <w:proofErr w:type="gramStart"/>
      <w:r w:rsidRPr="008939ED">
        <w:rPr>
          <w:rFonts w:ascii="Times New Roman" w:eastAsia="Times New Roman" w:hAnsi="Times New Roman" w:cs="Times New Roman"/>
          <w:sz w:val="24"/>
          <w:szCs w:val="24"/>
        </w:rPr>
        <w:t>Proceedings of Machine Learning Research.</w:t>
      </w:r>
      <w:proofErr w:type="gramEnd"/>
      <w:r w:rsidRPr="008939ED">
        <w:rPr>
          <w:rFonts w:ascii="Times New Roman" w:eastAsia="Times New Roman" w:hAnsi="Times New Roman" w:cs="Times New Roman"/>
          <w:sz w:val="24"/>
          <w:szCs w:val="24"/>
        </w:rPr>
        <w:t xml:space="preserve"> 2019</w:t>
      </w:r>
      <w:proofErr w:type="gramStart"/>
      <w:r w:rsidRPr="008939ED">
        <w:rPr>
          <w:rFonts w:ascii="Times New Roman" w:eastAsia="Times New Roman" w:hAnsi="Times New Roman" w:cs="Times New Roman"/>
          <w:sz w:val="24"/>
          <w:szCs w:val="24"/>
        </w:rPr>
        <w:t>;97:6105</w:t>
      </w:r>
      <w:proofErr w:type="gramEnd"/>
      <w:r w:rsidRPr="008939ED">
        <w:rPr>
          <w:rFonts w:ascii="Times New Roman" w:eastAsia="Times New Roman" w:hAnsi="Times New Roman" w:cs="Times New Roman"/>
          <w:sz w:val="24"/>
          <w:szCs w:val="24"/>
        </w:rPr>
        <w:t xml:space="preserve">–6114. </w:t>
      </w:r>
    </w:p>
    <w:p w:rsidR="008939ED" w:rsidRPr="008939ED" w:rsidRDefault="008939ED" w:rsidP="008939ED">
      <w:pPr>
        <w:spacing w:after="0"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Proceedings of Machine Learning Research</w:t>
      </w:r>
    </w:p>
    <w:p w:rsidR="008939ED" w:rsidRPr="008939ED" w:rsidRDefault="008939ED" w:rsidP="008939ED">
      <w:pPr>
        <w:spacing w:before="100" w:beforeAutospacing="1" w:after="100" w:afterAutospacing="1"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 xml:space="preserve">[9] </w:t>
      </w:r>
      <w:proofErr w:type="spellStart"/>
      <w:r w:rsidRPr="008939ED">
        <w:rPr>
          <w:rFonts w:ascii="Times New Roman" w:eastAsia="Times New Roman" w:hAnsi="Times New Roman" w:cs="Times New Roman"/>
          <w:sz w:val="24"/>
          <w:szCs w:val="24"/>
        </w:rPr>
        <w:t>Dosovitskiy</w:t>
      </w:r>
      <w:proofErr w:type="spellEnd"/>
      <w:r w:rsidRPr="008939ED">
        <w:rPr>
          <w:rFonts w:ascii="Times New Roman" w:eastAsia="Times New Roman" w:hAnsi="Times New Roman" w:cs="Times New Roman"/>
          <w:sz w:val="24"/>
          <w:szCs w:val="24"/>
        </w:rPr>
        <w:t xml:space="preserve"> A, Beyer L, </w:t>
      </w:r>
      <w:proofErr w:type="spellStart"/>
      <w:r w:rsidRPr="008939ED">
        <w:rPr>
          <w:rFonts w:ascii="Times New Roman" w:eastAsia="Times New Roman" w:hAnsi="Times New Roman" w:cs="Times New Roman"/>
          <w:sz w:val="24"/>
          <w:szCs w:val="24"/>
        </w:rPr>
        <w:t>Kolesnikov</w:t>
      </w:r>
      <w:proofErr w:type="spellEnd"/>
      <w:r w:rsidRPr="008939ED">
        <w:rPr>
          <w:rFonts w:ascii="Times New Roman" w:eastAsia="Times New Roman" w:hAnsi="Times New Roman" w:cs="Times New Roman"/>
          <w:sz w:val="24"/>
          <w:szCs w:val="24"/>
        </w:rPr>
        <w:t xml:space="preserve"> A, et al. An image is worth 16×16 words: Transformers for image recognition at scale. In: International Conference on Learning Representations (ICLR). </w:t>
      </w:r>
      <w:proofErr w:type="gramStart"/>
      <w:r w:rsidRPr="008939ED">
        <w:rPr>
          <w:rFonts w:ascii="Times New Roman" w:eastAsia="Times New Roman" w:hAnsi="Times New Roman" w:cs="Times New Roman"/>
          <w:sz w:val="24"/>
          <w:szCs w:val="24"/>
        </w:rPr>
        <w:t xml:space="preserve">2021. </w:t>
      </w:r>
      <w:hyperlink r:id="rId11" w:history="1">
        <w:r w:rsidRPr="008939ED">
          <w:rPr>
            <w:rFonts w:ascii="Times New Roman" w:eastAsia="Times New Roman" w:hAnsi="Times New Roman" w:cs="Times New Roman"/>
            <w:color w:val="0000FF"/>
            <w:sz w:val="24"/>
            <w:szCs w:val="24"/>
            <w:u w:val="single"/>
          </w:rPr>
          <w:t>https://arxiv.org/abs/2010.11929</w:t>
        </w:r>
      </w:hyperlink>
      <w:r w:rsidRPr="008939ED">
        <w:rPr>
          <w:rFonts w:ascii="Times New Roman" w:eastAsia="Times New Roman" w:hAnsi="Times New Roman" w:cs="Times New Roman"/>
          <w:sz w:val="24"/>
          <w:szCs w:val="24"/>
        </w:rPr>
        <w:t>.</w:t>
      </w:r>
      <w:proofErr w:type="gramEnd"/>
      <w:r w:rsidRPr="008939ED">
        <w:rPr>
          <w:rFonts w:ascii="Times New Roman" w:eastAsia="Times New Roman" w:hAnsi="Times New Roman" w:cs="Times New Roman"/>
          <w:sz w:val="24"/>
          <w:szCs w:val="24"/>
        </w:rPr>
        <w:t xml:space="preserve"> </w:t>
      </w:r>
    </w:p>
    <w:p w:rsidR="008939ED" w:rsidRPr="008939ED" w:rsidRDefault="008939ED" w:rsidP="008939ED">
      <w:pPr>
        <w:spacing w:after="0"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Google Research</w:t>
      </w:r>
    </w:p>
    <w:p w:rsidR="008939ED" w:rsidRPr="008939ED" w:rsidRDefault="008939ED" w:rsidP="008939ED">
      <w:pPr>
        <w:spacing w:before="100" w:beforeAutospacing="1" w:after="100" w:afterAutospacing="1"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 xml:space="preserve">[10] </w:t>
      </w:r>
      <w:proofErr w:type="spellStart"/>
      <w:r w:rsidRPr="008939ED">
        <w:rPr>
          <w:rFonts w:ascii="Times New Roman" w:eastAsia="Times New Roman" w:hAnsi="Times New Roman" w:cs="Times New Roman"/>
          <w:sz w:val="24"/>
          <w:szCs w:val="24"/>
        </w:rPr>
        <w:t>Selvaraju</w:t>
      </w:r>
      <w:proofErr w:type="spellEnd"/>
      <w:r w:rsidRPr="008939ED">
        <w:rPr>
          <w:rFonts w:ascii="Times New Roman" w:eastAsia="Times New Roman" w:hAnsi="Times New Roman" w:cs="Times New Roman"/>
          <w:sz w:val="24"/>
          <w:szCs w:val="24"/>
        </w:rPr>
        <w:t xml:space="preserve"> RR, </w:t>
      </w:r>
      <w:proofErr w:type="spellStart"/>
      <w:r w:rsidRPr="008939ED">
        <w:rPr>
          <w:rFonts w:ascii="Times New Roman" w:eastAsia="Times New Roman" w:hAnsi="Times New Roman" w:cs="Times New Roman"/>
          <w:sz w:val="24"/>
          <w:szCs w:val="24"/>
        </w:rPr>
        <w:t>Cogswell</w:t>
      </w:r>
      <w:proofErr w:type="spellEnd"/>
      <w:r w:rsidRPr="008939ED">
        <w:rPr>
          <w:rFonts w:ascii="Times New Roman" w:eastAsia="Times New Roman" w:hAnsi="Times New Roman" w:cs="Times New Roman"/>
          <w:sz w:val="24"/>
          <w:szCs w:val="24"/>
        </w:rPr>
        <w:t xml:space="preserve"> M, Das A, </w:t>
      </w:r>
      <w:proofErr w:type="spellStart"/>
      <w:r w:rsidRPr="008939ED">
        <w:rPr>
          <w:rFonts w:ascii="Times New Roman" w:eastAsia="Times New Roman" w:hAnsi="Times New Roman" w:cs="Times New Roman"/>
          <w:sz w:val="24"/>
          <w:szCs w:val="24"/>
        </w:rPr>
        <w:t>Vedantam</w:t>
      </w:r>
      <w:proofErr w:type="spellEnd"/>
      <w:r w:rsidRPr="008939ED">
        <w:rPr>
          <w:rFonts w:ascii="Times New Roman" w:eastAsia="Times New Roman" w:hAnsi="Times New Roman" w:cs="Times New Roman"/>
          <w:sz w:val="24"/>
          <w:szCs w:val="24"/>
        </w:rPr>
        <w:t xml:space="preserve"> R, Parikh D, </w:t>
      </w:r>
      <w:proofErr w:type="spellStart"/>
      <w:r w:rsidRPr="008939ED">
        <w:rPr>
          <w:rFonts w:ascii="Times New Roman" w:eastAsia="Times New Roman" w:hAnsi="Times New Roman" w:cs="Times New Roman"/>
          <w:sz w:val="24"/>
          <w:szCs w:val="24"/>
        </w:rPr>
        <w:t>Batra</w:t>
      </w:r>
      <w:proofErr w:type="spellEnd"/>
      <w:r w:rsidRPr="008939ED">
        <w:rPr>
          <w:rFonts w:ascii="Times New Roman" w:eastAsia="Times New Roman" w:hAnsi="Times New Roman" w:cs="Times New Roman"/>
          <w:sz w:val="24"/>
          <w:szCs w:val="24"/>
        </w:rPr>
        <w:t xml:space="preserve"> D. Grad-CAM: Visual explanations from deep networks via gradient-based localization. In: Proceedings of the IEEE International Conference on Computer Vision (ICCV). 2017:618–626. </w:t>
      </w:r>
      <w:hyperlink r:id="rId12" w:history="1">
        <w:r w:rsidRPr="008939ED">
          <w:rPr>
            <w:rFonts w:ascii="Times New Roman" w:eastAsia="Times New Roman" w:hAnsi="Times New Roman" w:cs="Times New Roman"/>
            <w:color w:val="0000FF"/>
            <w:sz w:val="24"/>
            <w:szCs w:val="24"/>
            <w:u w:val="single"/>
          </w:rPr>
          <w:t>https://doi.org/10.1109/ICCV.2017.74</w:t>
        </w:r>
      </w:hyperlink>
      <w:r w:rsidRPr="008939ED">
        <w:rPr>
          <w:rFonts w:ascii="Times New Roman" w:eastAsia="Times New Roman" w:hAnsi="Times New Roman" w:cs="Times New Roman"/>
          <w:sz w:val="24"/>
          <w:szCs w:val="24"/>
        </w:rPr>
        <w:t xml:space="preserve">. </w:t>
      </w:r>
    </w:p>
    <w:p w:rsidR="008939ED" w:rsidRPr="008939ED" w:rsidRDefault="008939ED" w:rsidP="008939ED">
      <w:pPr>
        <w:spacing w:after="0"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Open Access</w:t>
      </w:r>
    </w:p>
    <w:p w:rsidR="008939ED" w:rsidRPr="008939ED" w:rsidRDefault="008939ED" w:rsidP="008939ED">
      <w:pPr>
        <w:spacing w:before="100" w:beforeAutospacing="1" w:after="100" w:afterAutospacing="1"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 xml:space="preserve">[12] </w:t>
      </w:r>
      <w:proofErr w:type="spellStart"/>
      <w:r w:rsidRPr="008939ED">
        <w:rPr>
          <w:rFonts w:ascii="Times New Roman" w:eastAsia="Times New Roman" w:hAnsi="Times New Roman" w:cs="Times New Roman"/>
          <w:sz w:val="24"/>
          <w:szCs w:val="24"/>
        </w:rPr>
        <w:t>Alawad</w:t>
      </w:r>
      <w:proofErr w:type="spellEnd"/>
      <w:r w:rsidRPr="008939ED">
        <w:rPr>
          <w:rFonts w:ascii="Times New Roman" w:eastAsia="Times New Roman" w:hAnsi="Times New Roman" w:cs="Times New Roman"/>
          <w:sz w:val="24"/>
          <w:szCs w:val="24"/>
        </w:rPr>
        <w:t xml:space="preserve"> M, </w:t>
      </w:r>
      <w:proofErr w:type="spellStart"/>
      <w:r w:rsidRPr="008939ED">
        <w:rPr>
          <w:rFonts w:ascii="Times New Roman" w:eastAsia="Times New Roman" w:hAnsi="Times New Roman" w:cs="Times New Roman"/>
          <w:sz w:val="24"/>
          <w:szCs w:val="24"/>
        </w:rPr>
        <w:t>Aljouie</w:t>
      </w:r>
      <w:proofErr w:type="spellEnd"/>
      <w:r w:rsidRPr="008939ED">
        <w:rPr>
          <w:rFonts w:ascii="Times New Roman" w:eastAsia="Times New Roman" w:hAnsi="Times New Roman" w:cs="Times New Roman"/>
          <w:sz w:val="24"/>
          <w:szCs w:val="24"/>
        </w:rPr>
        <w:t xml:space="preserve"> A, </w:t>
      </w:r>
      <w:proofErr w:type="spellStart"/>
      <w:r w:rsidRPr="008939ED">
        <w:rPr>
          <w:rFonts w:ascii="Times New Roman" w:eastAsia="Times New Roman" w:hAnsi="Times New Roman" w:cs="Times New Roman"/>
          <w:sz w:val="24"/>
          <w:szCs w:val="24"/>
        </w:rPr>
        <w:t>Alamri</w:t>
      </w:r>
      <w:proofErr w:type="spellEnd"/>
      <w:r w:rsidRPr="008939ED">
        <w:rPr>
          <w:rFonts w:ascii="Times New Roman" w:eastAsia="Times New Roman" w:hAnsi="Times New Roman" w:cs="Times New Roman"/>
          <w:sz w:val="24"/>
          <w:szCs w:val="24"/>
        </w:rPr>
        <w:t xml:space="preserve"> S, et al. Machine learning and deep learning techniques for optic disc and cup segmentation—A review. </w:t>
      </w:r>
      <w:proofErr w:type="gramStart"/>
      <w:r w:rsidRPr="008939ED">
        <w:rPr>
          <w:rFonts w:ascii="Times New Roman" w:eastAsia="Times New Roman" w:hAnsi="Times New Roman" w:cs="Times New Roman"/>
          <w:sz w:val="24"/>
          <w:szCs w:val="24"/>
        </w:rPr>
        <w:t>Clinical Ophthalmology.</w:t>
      </w:r>
      <w:proofErr w:type="gramEnd"/>
      <w:r w:rsidRPr="008939ED">
        <w:rPr>
          <w:rFonts w:ascii="Times New Roman" w:eastAsia="Times New Roman" w:hAnsi="Times New Roman" w:cs="Times New Roman"/>
          <w:sz w:val="24"/>
          <w:szCs w:val="24"/>
        </w:rPr>
        <w:t xml:space="preserve"> 2022</w:t>
      </w:r>
      <w:proofErr w:type="gramStart"/>
      <w:r w:rsidRPr="008939ED">
        <w:rPr>
          <w:rFonts w:ascii="Times New Roman" w:eastAsia="Times New Roman" w:hAnsi="Times New Roman" w:cs="Times New Roman"/>
          <w:sz w:val="24"/>
          <w:szCs w:val="24"/>
        </w:rPr>
        <w:t>;16:747</w:t>
      </w:r>
      <w:proofErr w:type="gramEnd"/>
      <w:r w:rsidRPr="008939ED">
        <w:rPr>
          <w:rFonts w:ascii="Times New Roman" w:eastAsia="Times New Roman" w:hAnsi="Times New Roman" w:cs="Times New Roman"/>
          <w:sz w:val="24"/>
          <w:szCs w:val="24"/>
        </w:rPr>
        <w:t xml:space="preserve">–764. </w:t>
      </w:r>
      <w:hyperlink r:id="rId13" w:history="1">
        <w:r w:rsidRPr="008939ED">
          <w:rPr>
            <w:rFonts w:ascii="Times New Roman" w:eastAsia="Times New Roman" w:hAnsi="Times New Roman" w:cs="Times New Roman"/>
            <w:color w:val="0000FF"/>
            <w:sz w:val="24"/>
            <w:szCs w:val="24"/>
            <w:u w:val="single"/>
          </w:rPr>
          <w:t>https://doi.org/10.2147/OPTH.S348479</w:t>
        </w:r>
      </w:hyperlink>
      <w:r w:rsidRPr="008939ED">
        <w:rPr>
          <w:rFonts w:ascii="Times New Roman" w:eastAsia="Times New Roman" w:hAnsi="Times New Roman" w:cs="Times New Roman"/>
          <w:sz w:val="24"/>
          <w:szCs w:val="24"/>
        </w:rPr>
        <w:t xml:space="preserve">. </w:t>
      </w:r>
    </w:p>
    <w:p w:rsidR="008939ED" w:rsidRPr="008939ED" w:rsidRDefault="008939ED" w:rsidP="008939ED">
      <w:pPr>
        <w:spacing w:after="0"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lastRenderedPageBreak/>
        <w:t>PMC+1</w:t>
      </w:r>
    </w:p>
    <w:p w:rsidR="008939ED" w:rsidRPr="008939ED" w:rsidRDefault="008939ED" w:rsidP="008939ED">
      <w:pPr>
        <w:spacing w:before="100" w:beforeAutospacing="1" w:after="100" w:afterAutospacing="1" w:line="240" w:lineRule="auto"/>
        <w:rPr>
          <w:rFonts w:ascii="Times New Roman" w:eastAsia="Times New Roman" w:hAnsi="Times New Roman" w:cs="Times New Roman"/>
          <w:sz w:val="24"/>
          <w:szCs w:val="24"/>
        </w:rPr>
      </w:pPr>
      <w:r w:rsidRPr="008939ED">
        <w:rPr>
          <w:rFonts w:ascii="Times New Roman" w:eastAsia="Times New Roman" w:hAnsi="Times New Roman" w:cs="Times New Roman"/>
          <w:sz w:val="24"/>
          <w:szCs w:val="24"/>
        </w:rPr>
        <w:t xml:space="preserve">Reference-number audit: [11] is deliberately not assigned in this draft. Before submission, the reference list should be reconciled with the introduction so that the duplicate </w:t>
      </w:r>
      <w:proofErr w:type="spellStart"/>
      <w:r w:rsidRPr="008939ED">
        <w:rPr>
          <w:rFonts w:ascii="Times New Roman" w:eastAsia="Times New Roman" w:hAnsi="Times New Roman" w:cs="Times New Roman"/>
          <w:sz w:val="24"/>
          <w:szCs w:val="24"/>
        </w:rPr>
        <w:t>Gómez-Valverde</w:t>
      </w:r>
      <w:proofErr w:type="spellEnd"/>
      <w:r w:rsidRPr="008939ED">
        <w:rPr>
          <w:rFonts w:ascii="Times New Roman" w:eastAsia="Times New Roman" w:hAnsi="Times New Roman" w:cs="Times New Roman"/>
          <w:sz w:val="24"/>
          <w:szCs w:val="24"/>
        </w:rPr>
        <w:t xml:space="preserve"> entry is removed and every citation number points to exactly one publication. References [7]–[10] and [12] should retain these numbers only if the corrected manuscript-wide numbering confirms they are available.</w:t>
      </w:r>
    </w:p>
    <w:p w:rsidR="008939ED" w:rsidRDefault="008939ED"/>
    <w:p w:rsidR="00466182" w:rsidRDefault="00466182"/>
    <w:p w:rsidR="00466182" w:rsidRPr="00466182" w:rsidRDefault="00466182" w:rsidP="00466182">
      <w:pPr>
        <w:spacing w:before="100" w:beforeAutospacing="1" w:after="100" w:afterAutospacing="1" w:line="240" w:lineRule="auto"/>
        <w:outlineLvl w:val="1"/>
        <w:rPr>
          <w:rFonts w:ascii="Times New Roman" w:eastAsia="Times New Roman" w:hAnsi="Times New Roman" w:cs="Times New Roman"/>
          <w:b/>
          <w:bCs/>
          <w:sz w:val="36"/>
          <w:szCs w:val="36"/>
        </w:rPr>
      </w:pPr>
      <w:r w:rsidRPr="00466182">
        <w:rPr>
          <w:rFonts w:ascii="Times New Roman" w:eastAsia="Times New Roman" w:hAnsi="Times New Roman" w:cs="Times New Roman"/>
          <w:b/>
          <w:bCs/>
          <w:sz w:val="36"/>
          <w:szCs w:val="36"/>
        </w:rPr>
        <w:t>Suggested figures and tables for Section 2</w:t>
      </w:r>
    </w:p>
    <w:p w:rsidR="00466182" w:rsidRPr="00466182" w:rsidRDefault="00FD6C5F" w:rsidP="00466182">
      <w:pPr>
        <w:spacing w:after="0" w:line="240" w:lineRule="auto"/>
        <w:rPr>
          <w:rFonts w:ascii="Times New Roman" w:eastAsia="Times New Roman" w:hAnsi="Times New Roman" w:cs="Times New Roman"/>
          <w:sz w:val="24"/>
          <w:szCs w:val="24"/>
        </w:rPr>
      </w:pPr>
      <w:hyperlink r:id="rId14" w:history="1">
        <w:r w:rsidR="00466182" w:rsidRPr="00466182">
          <w:rPr>
            <w:rFonts w:ascii="Times New Roman" w:eastAsia="Times New Roman" w:hAnsi="Times New Roman" w:cs="Times New Roman"/>
            <w:color w:val="0000FF"/>
            <w:sz w:val="24"/>
            <w:szCs w:val="24"/>
            <w:u w:val="single"/>
          </w:rPr>
          <w:t xml:space="preserve">Automated Glaucoma Screening and Diagnosis Based on Retinal </w:t>
        </w:r>
        <w:proofErr w:type="spellStart"/>
        <w:r w:rsidR="00466182" w:rsidRPr="00466182">
          <w:rPr>
            <w:rFonts w:ascii="Times New Roman" w:eastAsia="Times New Roman" w:hAnsi="Times New Roman" w:cs="Times New Roman"/>
            <w:color w:val="0000FF"/>
            <w:sz w:val="24"/>
            <w:szCs w:val="24"/>
            <w:u w:val="single"/>
          </w:rPr>
          <w:t>Fundus</w:t>
        </w:r>
        <w:proofErr w:type="spellEnd"/>
        <w:r w:rsidR="00466182" w:rsidRPr="00466182">
          <w:rPr>
            <w:rFonts w:ascii="Times New Roman" w:eastAsia="Times New Roman" w:hAnsi="Times New Roman" w:cs="Times New Roman"/>
            <w:color w:val="0000FF"/>
            <w:sz w:val="24"/>
            <w:szCs w:val="24"/>
            <w:u w:val="single"/>
          </w:rPr>
          <w:t xml:space="preserve"> Images Using Deep Learning Approaches: A Comprehensive Review | MDPI</w:t>
        </w:r>
      </w:hyperlink>
    </w:p>
    <w:p w:rsidR="00466182" w:rsidRPr="00466182" w:rsidRDefault="00466182" w:rsidP="00466182">
      <w:pPr>
        <w:spacing w:before="100" w:beforeAutospacing="1" w:after="100" w:afterAutospacing="1" w:line="240" w:lineRule="auto"/>
        <w:rPr>
          <w:rFonts w:ascii="Times New Roman" w:eastAsia="Times New Roman" w:hAnsi="Times New Roman" w:cs="Times New Roman"/>
          <w:sz w:val="24"/>
          <w:szCs w:val="24"/>
        </w:rPr>
      </w:pPr>
      <w:proofErr w:type="gramStart"/>
      <w:r w:rsidRPr="00466182">
        <w:rPr>
          <w:rFonts w:ascii="Times New Roman" w:eastAsia="Times New Roman" w:hAnsi="Times New Roman" w:cs="Times New Roman"/>
          <w:sz w:val="24"/>
          <w:szCs w:val="24"/>
        </w:rPr>
        <w:t>Figure 1.</w:t>
      </w:r>
      <w:proofErr w:type="gramEnd"/>
      <w:r w:rsidRPr="00466182">
        <w:rPr>
          <w:rFonts w:ascii="Times New Roman" w:eastAsia="Times New Roman" w:hAnsi="Times New Roman" w:cs="Times New Roman"/>
          <w:sz w:val="24"/>
          <w:szCs w:val="24"/>
        </w:rPr>
        <w:t xml:space="preserve"> Anatomical features of a </w:t>
      </w:r>
      <w:proofErr w:type="spellStart"/>
      <w:r w:rsidRPr="00466182">
        <w:rPr>
          <w:rFonts w:ascii="Times New Roman" w:eastAsia="Times New Roman" w:hAnsi="Times New Roman" w:cs="Times New Roman"/>
          <w:sz w:val="24"/>
          <w:szCs w:val="24"/>
        </w:rPr>
        <w:t>fundus</w:t>
      </w:r>
      <w:proofErr w:type="spellEnd"/>
      <w:r w:rsidRPr="00466182">
        <w:rPr>
          <w:rFonts w:ascii="Times New Roman" w:eastAsia="Times New Roman" w:hAnsi="Times New Roman" w:cs="Times New Roman"/>
          <w:sz w:val="24"/>
          <w:szCs w:val="24"/>
        </w:rPr>
        <w:t xml:space="preserve"> image</w:t>
      </w:r>
    </w:p>
    <w:p w:rsidR="00466182" w:rsidRPr="00466182" w:rsidRDefault="00466182" w:rsidP="00466182">
      <w:pPr>
        <w:spacing w:before="100" w:beforeAutospacing="1" w:after="100" w:afterAutospacing="1" w:line="240" w:lineRule="auto"/>
        <w:rPr>
          <w:rFonts w:ascii="Times New Roman" w:eastAsia="Times New Roman" w:hAnsi="Times New Roman" w:cs="Times New Roman"/>
          <w:sz w:val="24"/>
          <w:szCs w:val="24"/>
        </w:rPr>
      </w:pPr>
      <w:r w:rsidRPr="00466182">
        <w:rPr>
          <w:rFonts w:ascii="Times New Roman" w:eastAsia="Times New Roman" w:hAnsi="Times New Roman" w:cs="Times New Roman"/>
          <w:sz w:val="24"/>
          <w:szCs w:val="24"/>
        </w:rPr>
        <w:t>Place in Section 2.1, after the discussion of the optic disc, optic cup, and cup-to-disc ratio. Use a properly licensed image with clear labels and a source attribution.</w:t>
      </w:r>
    </w:p>
    <w:p w:rsidR="00466182" w:rsidRPr="00466182" w:rsidRDefault="00FD6C5F" w:rsidP="00466182">
      <w:pPr>
        <w:spacing w:after="0" w:line="240" w:lineRule="auto"/>
        <w:rPr>
          <w:rFonts w:ascii="Times New Roman" w:eastAsia="Times New Roman" w:hAnsi="Times New Roman" w:cs="Times New Roman"/>
          <w:sz w:val="24"/>
          <w:szCs w:val="24"/>
        </w:rPr>
      </w:pPr>
      <w:hyperlink r:id="rId15" w:history="1">
        <w:proofErr w:type="spellStart"/>
        <w:r w:rsidR="00466182" w:rsidRPr="00466182">
          <w:rPr>
            <w:rFonts w:ascii="Batang" w:eastAsia="Batang" w:hAnsi="Batang" w:cs="Batang" w:hint="eastAsia"/>
            <w:color w:val="0000FF"/>
            <w:sz w:val="24"/>
            <w:szCs w:val="24"/>
            <w:u w:val="single"/>
          </w:rPr>
          <w:t>딥러닝</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이미지</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분류</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초보자도</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이해하는</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최신</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모델</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비교와</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응용</w:t>
        </w:r>
        <w:proofErr w:type="spellEnd"/>
        <w:r w:rsidR="00466182" w:rsidRPr="00466182">
          <w:rPr>
            <w:rFonts w:ascii="Times New Roman" w:eastAsia="Times New Roman" w:hAnsi="Times New Roman" w:cs="Times New Roman"/>
            <w:color w:val="0000FF"/>
            <w:sz w:val="24"/>
            <w:szCs w:val="24"/>
            <w:u w:val="single"/>
          </w:rPr>
          <w:t xml:space="preserve"> </w:t>
        </w:r>
        <w:proofErr w:type="spellStart"/>
        <w:r w:rsidR="00466182" w:rsidRPr="00466182">
          <w:rPr>
            <w:rFonts w:ascii="Batang" w:eastAsia="Batang" w:hAnsi="Batang" w:cs="Batang" w:hint="eastAsia"/>
            <w:color w:val="0000FF"/>
            <w:sz w:val="24"/>
            <w:szCs w:val="24"/>
            <w:u w:val="single"/>
          </w:rPr>
          <w:t>사례</w:t>
        </w:r>
        <w:proofErr w:type="spellEnd"/>
      </w:hyperlink>
    </w:p>
    <w:p w:rsidR="00466182" w:rsidRPr="00466182" w:rsidRDefault="00466182" w:rsidP="00466182">
      <w:pPr>
        <w:spacing w:before="100" w:beforeAutospacing="1" w:after="100" w:afterAutospacing="1" w:line="240" w:lineRule="auto"/>
        <w:rPr>
          <w:rFonts w:ascii="Times New Roman" w:eastAsia="Times New Roman" w:hAnsi="Times New Roman" w:cs="Times New Roman"/>
          <w:sz w:val="24"/>
          <w:szCs w:val="24"/>
        </w:rPr>
      </w:pPr>
      <w:proofErr w:type="gramStart"/>
      <w:r w:rsidRPr="00466182">
        <w:rPr>
          <w:rFonts w:ascii="Times New Roman" w:eastAsia="Times New Roman" w:hAnsi="Times New Roman" w:cs="Times New Roman"/>
          <w:sz w:val="24"/>
          <w:szCs w:val="24"/>
        </w:rPr>
        <w:t>Figure 2.</w:t>
      </w:r>
      <w:proofErr w:type="gramEnd"/>
      <w:r w:rsidRPr="00466182">
        <w:rPr>
          <w:rFonts w:ascii="Times New Roman" w:eastAsia="Times New Roman" w:hAnsi="Times New Roman" w:cs="Times New Roman"/>
          <w:sz w:val="24"/>
          <w:szCs w:val="24"/>
        </w:rPr>
        <w:t xml:space="preserve"> Overview of deep-learning architecture families</w:t>
      </w:r>
    </w:p>
    <w:p w:rsidR="00466182" w:rsidRPr="00466182" w:rsidRDefault="00466182" w:rsidP="00466182">
      <w:pPr>
        <w:spacing w:before="100" w:beforeAutospacing="1" w:after="100" w:afterAutospacing="1" w:line="240" w:lineRule="auto"/>
        <w:rPr>
          <w:rFonts w:ascii="Times New Roman" w:eastAsia="Times New Roman" w:hAnsi="Times New Roman" w:cs="Times New Roman"/>
          <w:sz w:val="24"/>
          <w:szCs w:val="24"/>
        </w:rPr>
      </w:pPr>
      <w:r w:rsidRPr="00466182">
        <w:rPr>
          <w:rFonts w:ascii="Times New Roman" w:eastAsia="Times New Roman" w:hAnsi="Times New Roman" w:cs="Times New Roman"/>
          <w:sz w:val="24"/>
          <w:szCs w:val="24"/>
        </w:rPr>
        <w:t>Place in Section 2.5. Create an original schematic comparing CNNs, residual connections, compound-scaled CNNs, and patch-based transformers. Avoid reproducing a copyrighted paper figure without permission.</w:t>
      </w:r>
    </w:p>
    <w:p w:rsidR="00466182" w:rsidRPr="00466182" w:rsidRDefault="00FD6C5F" w:rsidP="00466182">
      <w:pPr>
        <w:spacing w:after="0" w:line="240" w:lineRule="auto"/>
        <w:rPr>
          <w:rFonts w:ascii="Times New Roman" w:eastAsia="Times New Roman" w:hAnsi="Times New Roman" w:cs="Times New Roman"/>
          <w:sz w:val="24"/>
          <w:szCs w:val="24"/>
        </w:rPr>
      </w:pPr>
      <w:hyperlink r:id="rId16" w:history="1">
        <w:r w:rsidR="00466182" w:rsidRPr="00466182">
          <w:rPr>
            <w:rFonts w:ascii="Times New Roman" w:eastAsia="Times New Roman" w:hAnsi="Times New Roman" w:cs="Times New Roman"/>
            <w:color w:val="0000FF"/>
            <w:sz w:val="24"/>
            <w:szCs w:val="24"/>
            <w:u w:val="single"/>
          </w:rPr>
          <w:t xml:space="preserve">A Study of the Interpretability of </w:t>
        </w:r>
        <w:proofErr w:type="spellStart"/>
        <w:r w:rsidR="00466182" w:rsidRPr="00466182">
          <w:rPr>
            <w:rFonts w:ascii="Times New Roman" w:eastAsia="Times New Roman" w:hAnsi="Times New Roman" w:cs="Times New Roman"/>
            <w:color w:val="0000FF"/>
            <w:sz w:val="24"/>
            <w:szCs w:val="24"/>
            <w:u w:val="single"/>
          </w:rPr>
          <w:t>Fundus</w:t>
        </w:r>
        <w:proofErr w:type="spellEnd"/>
        <w:r w:rsidR="00466182" w:rsidRPr="00466182">
          <w:rPr>
            <w:rFonts w:ascii="Times New Roman" w:eastAsia="Times New Roman" w:hAnsi="Times New Roman" w:cs="Times New Roman"/>
            <w:color w:val="0000FF"/>
            <w:sz w:val="24"/>
            <w:szCs w:val="24"/>
            <w:u w:val="single"/>
          </w:rPr>
          <w:t xml:space="preserve"> Analysis with Deep Learning-Based Approaches for Glaucoma Assessment</w:t>
        </w:r>
      </w:hyperlink>
    </w:p>
    <w:p w:rsidR="00466182" w:rsidRPr="00466182" w:rsidRDefault="00466182" w:rsidP="00466182">
      <w:pPr>
        <w:spacing w:before="100" w:beforeAutospacing="1" w:after="100" w:afterAutospacing="1" w:line="240" w:lineRule="auto"/>
        <w:rPr>
          <w:rFonts w:ascii="Times New Roman" w:eastAsia="Times New Roman" w:hAnsi="Times New Roman" w:cs="Times New Roman"/>
          <w:sz w:val="24"/>
          <w:szCs w:val="24"/>
        </w:rPr>
      </w:pPr>
      <w:proofErr w:type="gramStart"/>
      <w:r w:rsidRPr="00466182">
        <w:rPr>
          <w:rFonts w:ascii="Times New Roman" w:eastAsia="Times New Roman" w:hAnsi="Times New Roman" w:cs="Times New Roman"/>
          <w:sz w:val="24"/>
          <w:szCs w:val="24"/>
        </w:rPr>
        <w:t>Figure 3.</w:t>
      </w:r>
      <w:proofErr w:type="gramEnd"/>
      <w:r w:rsidRPr="00466182">
        <w:rPr>
          <w:rFonts w:ascii="Times New Roman" w:eastAsia="Times New Roman" w:hAnsi="Times New Roman" w:cs="Times New Roman"/>
          <w:sz w:val="24"/>
          <w:szCs w:val="24"/>
        </w:rPr>
        <w:t xml:space="preserve"> Conceptual illustration of an </w:t>
      </w:r>
      <w:proofErr w:type="spellStart"/>
      <w:r w:rsidRPr="00466182">
        <w:rPr>
          <w:rFonts w:ascii="Times New Roman" w:eastAsia="Times New Roman" w:hAnsi="Times New Roman" w:cs="Times New Roman"/>
          <w:sz w:val="24"/>
          <w:szCs w:val="24"/>
        </w:rPr>
        <w:t>explainability</w:t>
      </w:r>
      <w:proofErr w:type="spellEnd"/>
      <w:r w:rsidRPr="00466182">
        <w:rPr>
          <w:rFonts w:ascii="Times New Roman" w:eastAsia="Times New Roman" w:hAnsi="Times New Roman" w:cs="Times New Roman"/>
          <w:sz w:val="24"/>
          <w:szCs w:val="24"/>
        </w:rPr>
        <w:t xml:space="preserve"> map</w:t>
      </w:r>
    </w:p>
    <w:p w:rsidR="00466182" w:rsidRPr="00466182" w:rsidRDefault="00466182" w:rsidP="00466182">
      <w:pPr>
        <w:spacing w:before="100" w:beforeAutospacing="1" w:after="100" w:afterAutospacing="1" w:line="240" w:lineRule="auto"/>
        <w:rPr>
          <w:rFonts w:ascii="Times New Roman" w:eastAsia="Times New Roman" w:hAnsi="Times New Roman" w:cs="Times New Roman"/>
          <w:sz w:val="24"/>
          <w:szCs w:val="24"/>
        </w:rPr>
      </w:pPr>
      <w:r w:rsidRPr="00466182">
        <w:rPr>
          <w:rFonts w:ascii="Times New Roman" w:eastAsia="Times New Roman" w:hAnsi="Times New Roman" w:cs="Times New Roman"/>
          <w:sz w:val="24"/>
          <w:szCs w:val="24"/>
        </w:rPr>
        <w:t xml:space="preserve">Place in Section 2.9. Use an actual published example with permission or generate an illustration clearly </w:t>
      </w:r>
      <w:proofErr w:type="spellStart"/>
      <w:r w:rsidRPr="00466182">
        <w:rPr>
          <w:rFonts w:ascii="Times New Roman" w:eastAsia="Times New Roman" w:hAnsi="Times New Roman" w:cs="Times New Roman"/>
          <w:sz w:val="24"/>
          <w:szCs w:val="24"/>
        </w:rPr>
        <w:t>labelled</w:t>
      </w:r>
      <w:proofErr w:type="spellEnd"/>
      <w:r w:rsidRPr="00466182">
        <w:rPr>
          <w:rFonts w:ascii="Times New Roman" w:eastAsia="Times New Roman" w:hAnsi="Times New Roman" w:cs="Times New Roman"/>
          <w:sz w:val="24"/>
          <w:szCs w:val="24"/>
        </w:rPr>
        <w:t xml:space="preserve"> as conceptual. Do not imply that a generated </w:t>
      </w:r>
      <w:proofErr w:type="spellStart"/>
      <w:r w:rsidRPr="00466182">
        <w:rPr>
          <w:rFonts w:ascii="Times New Roman" w:eastAsia="Times New Roman" w:hAnsi="Times New Roman" w:cs="Times New Roman"/>
          <w:sz w:val="24"/>
          <w:szCs w:val="24"/>
        </w:rPr>
        <w:t>heatmap</w:t>
      </w:r>
      <w:proofErr w:type="spellEnd"/>
      <w:r w:rsidRPr="00466182">
        <w:rPr>
          <w:rFonts w:ascii="Times New Roman" w:eastAsia="Times New Roman" w:hAnsi="Times New Roman" w:cs="Times New Roman"/>
          <w:sz w:val="24"/>
          <w:szCs w:val="24"/>
        </w:rPr>
        <w:t xml:space="preserve"> represents a real model's explanation.</w:t>
      </w:r>
    </w:p>
    <w:p w:rsidR="00466182" w:rsidRDefault="00466182"/>
    <w:p w:rsidR="006275A2" w:rsidRDefault="006275A2"/>
    <w:p w:rsidR="00BD7FD5" w:rsidRDefault="00BD7FD5">
      <w:pPr>
        <w:rPr>
          <w:rFonts w:ascii="Times New Roman" w:eastAsia="Times New Roman" w:hAnsi="Times New Roman" w:cs="Times New Roman"/>
          <w:b/>
          <w:bCs/>
          <w:kern w:val="36"/>
          <w:sz w:val="48"/>
          <w:szCs w:val="48"/>
        </w:rPr>
      </w:pPr>
      <w:r>
        <w:br w:type="page"/>
      </w:r>
    </w:p>
    <w:p w:rsidR="00B57F10" w:rsidRDefault="00B57F10" w:rsidP="00B57F10">
      <w:pPr>
        <w:pStyle w:val="Heading1"/>
      </w:pPr>
      <w:r>
        <w:lastRenderedPageBreak/>
        <w:t>3. Review Methodology</w:t>
      </w:r>
    </w:p>
    <w:p w:rsidR="00B57F10" w:rsidRDefault="00B57F10" w:rsidP="00B57F10">
      <w:pPr>
        <w:pStyle w:val="Heading2"/>
      </w:pPr>
      <w:r>
        <w:t>3.1 Review Design and Reporting Framework</w:t>
      </w:r>
    </w:p>
    <w:p w:rsidR="00B57F10" w:rsidRDefault="00B57F10" w:rsidP="00B57F10">
      <w:pPr>
        <w:pStyle w:val="NormalWeb"/>
      </w:pPr>
      <w:r>
        <w:t xml:space="preserve">This review examines deep learning-based glaucoma detection from </w:t>
      </w:r>
      <w:proofErr w:type="spellStart"/>
      <w:r>
        <w:t>fundus</w:t>
      </w:r>
      <w:proofErr w:type="spellEnd"/>
      <w:r>
        <w:t xml:space="preserve"> images, with particular emphasis on model architectures, dataset characteristics, evaluation protocols, ensemble learning, and </w:t>
      </w:r>
      <w:proofErr w:type="spellStart"/>
      <w:r>
        <w:t>explainability</w:t>
      </w:r>
      <w:proofErr w:type="spellEnd"/>
      <w:r>
        <w:t>. A structured literature-review approach is adopted to identify and compare relevant research, evaluate reported methodological choices, and highlight limitations that affect the reliability and clinical applicability of automated glaucoma detection systems.</w:t>
      </w:r>
    </w:p>
    <w:p w:rsidR="00B57F10" w:rsidRDefault="00B57F10" w:rsidP="00B57F10">
      <w:pPr>
        <w:pStyle w:val="NormalWeb"/>
      </w:pPr>
      <w:r>
        <w:t>The review is organized around five principal dimensions: (</w:t>
      </w:r>
      <w:proofErr w:type="spellStart"/>
      <w:r>
        <w:t>i</w:t>
      </w:r>
      <w:proofErr w:type="spellEnd"/>
      <w:r>
        <w:t xml:space="preserve">) deep learning architectures and their adaptations for </w:t>
      </w:r>
      <w:proofErr w:type="spellStart"/>
      <w:r>
        <w:t>fundus</w:t>
      </w:r>
      <w:proofErr w:type="spellEnd"/>
      <w:r>
        <w:t xml:space="preserve">-image analysis; (ii) datasets, image characteristics, and data preparation procedures; (iii) evaluation metrics and validation strategies; (iv) ensemble learning and the integration of image-derived and clinical information; and (v) </w:t>
      </w:r>
      <w:proofErr w:type="spellStart"/>
      <w:r>
        <w:t>explainability</w:t>
      </w:r>
      <w:proofErr w:type="spellEnd"/>
      <w:r>
        <w:t xml:space="preserve">, </w:t>
      </w:r>
      <w:proofErr w:type="spellStart"/>
      <w:r>
        <w:t>generalizability</w:t>
      </w:r>
      <w:proofErr w:type="spellEnd"/>
      <w:r>
        <w:t>, and limitations relevant to clinical translation. This framework allows studies to be compared not only by their reported predictive performance but also by the experimental conditions under which their results were obtained.</w:t>
      </w:r>
    </w:p>
    <w:p w:rsidR="00B57F10" w:rsidRDefault="00B57F10" w:rsidP="00B57F10">
      <w:pPr>
        <w:pStyle w:val="NormalWeb"/>
      </w:pPr>
      <w:r>
        <w:t>The reporting structure is informed by the Preferred Reporting Items for Systematic Reviews and Meta-Analyses (PRISMA) 2020 guidance, which emphasizes transparent reporting of information sources, search strategies, eligibility criteria, study selection, and evidence synthesis [13]. PRISMA is a reporting guideline rather than a guarantee of methodological quality; therefore, the review must also document its own screening procedures and limitations. [13]</w:t>
      </w:r>
    </w:p>
    <w:p w:rsidR="00B57F10" w:rsidRDefault="00B57F10" w:rsidP="00B57F10">
      <w:pPr>
        <w:pStyle w:val="NormalWeb"/>
      </w:pPr>
      <w:r>
        <w:rPr>
          <w:rStyle w:val="Strong"/>
        </w:rPr>
        <w:t>Important methodological distinction:</w:t>
      </w:r>
      <w:r>
        <w:t xml:space="preserve"> the use of a structured review framework does not, by itself, establish that a review is fully systematic. The final manuscript should describe the review as systematic only if the search, screening, and documentation procedures are actually carried out and reported transparently.</w:t>
      </w:r>
    </w:p>
    <w:p w:rsidR="00B57F10" w:rsidRDefault="00B57F10" w:rsidP="00B57F10">
      <w:pPr>
        <w:pStyle w:val="Heading2"/>
      </w:pPr>
      <w:r>
        <w:t>3.2 Information Sources and Search Strategy</w:t>
      </w:r>
    </w:p>
    <w:p w:rsidR="00B57F10" w:rsidRDefault="00B57F10" w:rsidP="00B57F10">
      <w:pPr>
        <w:pStyle w:val="NormalWeb"/>
      </w:pPr>
      <w:r>
        <w:t xml:space="preserve">The literature search should cover relevant scholarly databases and publication platforms to capture studies from medical imaging, ophthalmology, computer vision, and machine learning. Suitable sources include </w:t>
      </w:r>
      <w:proofErr w:type="spellStart"/>
      <w:r>
        <w:t>PubMed</w:t>
      </w:r>
      <w:proofErr w:type="spellEnd"/>
      <w:r>
        <w:t xml:space="preserve">, Scopus, Web of Science, IEEE </w:t>
      </w:r>
      <w:proofErr w:type="spellStart"/>
      <w:r>
        <w:t>Xplore</w:t>
      </w:r>
      <w:proofErr w:type="spellEnd"/>
      <w:r>
        <w:t xml:space="preserve">, and </w:t>
      </w:r>
      <w:proofErr w:type="spellStart"/>
      <w:r>
        <w:t>ScienceDirect</w:t>
      </w:r>
      <w:proofErr w:type="spellEnd"/>
      <w:r>
        <w:t>, subject to access availability. Google Scholar may be used as a supplementary source for discovering relevant publications and tracing citations. The final manuscript must distinguish databases searched systematically from platforms used only for supplementary discovery.</w:t>
      </w:r>
    </w:p>
    <w:p w:rsidR="00B57F10" w:rsidRDefault="00B57F10" w:rsidP="00B57F10">
      <w:pPr>
        <w:pStyle w:val="NormalWeb"/>
      </w:pPr>
      <w:r>
        <w:t xml:space="preserve">The search strategy should combine terms describing the disease, imaging modality, computational methods, and related analytical tasks. Search terms should include variations of </w:t>
      </w:r>
      <w:r>
        <w:rPr>
          <w:rStyle w:val="Emphasis"/>
        </w:rPr>
        <w:t>glaucoma</w:t>
      </w:r>
      <w:r>
        <w:t xml:space="preserve">, </w:t>
      </w:r>
      <w:proofErr w:type="spellStart"/>
      <w:r>
        <w:rPr>
          <w:rStyle w:val="Emphasis"/>
        </w:rPr>
        <w:t>fundus</w:t>
      </w:r>
      <w:proofErr w:type="spellEnd"/>
      <w:r>
        <w:rPr>
          <w:rStyle w:val="Emphasis"/>
        </w:rPr>
        <w:t xml:space="preserve"> image</w:t>
      </w:r>
      <w:r>
        <w:t xml:space="preserve">, </w:t>
      </w:r>
      <w:r>
        <w:rPr>
          <w:rStyle w:val="Emphasis"/>
        </w:rPr>
        <w:t>retinal imaging</w:t>
      </w:r>
      <w:r>
        <w:t xml:space="preserve">, </w:t>
      </w:r>
      <w:r>
        <w:rPr>
          <w:rStyle w:val="Emphasis"/>
        </w:rPr>
        <w:t>deep learning</w:t>
      </w:r>
      <w:r>
        <w:t xml:space="preserve">, </w:t>
      </w:r>
      <w:proofErr w:type="spellStart"/>
      <w:r>
        <w:rPr>
          <w:rStyle w:val="Emphasis"/>
        </w:rPr>
        <w:t>convolutional</w:t>
      </w:r>
      <w:proofErr w:type="spellEnd"/>
      <w:r>
        <w:rPr>
          <w:rStyle w:val="Emphasis"/>
        </w:rPr>
        <w:t xml:space="preserve"> neural network</w:t>
      </w:r>
      <w:r>
        <w:t xml:space="preserve">, </w:t>
      </w:r>
      <w:r>
        <w:rPr>
          <w:rStyle w:val="Emphasis"/>
        </w:rPr>
        <w:t>transfer learning</w:t>
      </w:r>
      <w:r>
        <w:t xml:space="preserve">, </w:t>
      </w:r>
      <w:r>
        <w:rPr>
          <w:rStyle w:val="Emphasis"/>
        </w:rPr>
        <w:t>Vision Transformer</w:t>
      </w:r>
      <w:r>
        <w:t xml:space="preserve">, </w:t>
      </w:r>
      <w:r>
        <w:rPr>
          <w:rStyle w:val="Emphasis"/>
        </w:rPr>
        <w:t>ensemble learning</w:t>
      </w:r>
      <w:r>
        <w:t xml:space="preserve">, </w:t>
      </w:r>
      <w:r>
        <w:rPr>
          <w:rStyle w:val="Emphasis"/>
        </w:rPr>
        <w:t>optic disc</w:t>
      </w:r>
      <w:r>
        <w:t xml:space="preserve">, </w:t>
      </w:r>
      <w:r>
        <w:rPr>
          <w:rStyle w:val="Emphasis"/>
        </w:rPr>
        <w:t>optic cup</w:t>
      </w:r>
      <w:r>
        <w:t xml:space="preserve">, and </w:t>
      </w:r>
      <w:r>
        <w:rPr>
          <w:rStyle w:val="Emphasis"/>
        </w:rPr>
        <w:t xml:space="preserve">explainable artificial </w:t>
      </w:r>
      <w:r>
        <w:rPr>
          <w:rStyle w:val="Emphasis"/>
        </w:rPr>
        <w:lastRenderedPageBreak/>
        <w:t>intelligence</w:t>
      </w:r>
      <w:r>
        <w:t>. Boolean operators, phrase searching, and database-specific syntax should be adapted as necessary.</w:t>
      </w:r>
    </w:p>
    <w:p w:rsidR="00B57F10" w:rsidRDefault="00B57F10" w:rsidP="00B57F10">
      <w:pPr>
        <w:pStyle w:val="NormalWeb"/>
      </w:pPr>
      <w:r>
        <w:t>A representative search string is provided below. It should be adapted to each database and retained in its final executed form so that the search can be reproduced.</w:t>
      </w:r>
    </w:p>
    <w:p w:rsidR="00B57F10" w:rsidRDefault="00B57F10" w:rsidP="00B57F10">
      <w:pPr>
        <w:pStyle w:val="NormalWeb"/>
      </w:pPr>
      <w:r>
        <w:rPr>
          <w:rStyle w:val="Strong"/>
        </w:rPr>
        <w:t>Example search string</w:t>
      </w:r>
    </w:p>
    <w:p w:rsidR="00B57F10" w:rsidRDefault="00B57F10" w:rsidP="00B57F10">
      <w:pPr>
        <w:pStyle w:val="NormalWeb"/>
      </w:pPr>
      <w:r>
        <w:rPr>
          <w:rStyle w:val="HTMLCode"/>
        </w:rPr>
        <w:t>("glaucoma" OR "glaucoma detection" OR "glaucoma classification") AND ("</w:t>
      </w:r>
      <w:proofErr w:type="spellStart"/>
      <w:r>
        <w:rPr>
          <w:rStyle w:val="HTMLCode"/>
        </w:rPr>
        <w:t>fundus</w:t>
      </w:r>
      <w:proofErr w:type="spellEnd"/>
      <w:r>
        <w:rPr>
          <w:rStyle w:val="HTMLCode"/>
        </w:rPr>
        <w:t xml:space="preserve"> image" OR "</w:t>
      </w:r>
      <w:proofErr w:type="spellStart"/>
      <w:r>
        <w:rPr>
          <w:rStyle w:val="HTMLCode"/>
        </w:rPr>
        <w:t>fundus</w:t>
      </w:r>
      <w:proofErr w:type="spellEnd"/>
      <w:r>
        <w:rPr>
          <w:rStyle w:val="HTMLCode"/>
        </w:rPr>
        <w:t xml:space="preserve"> photography" OR "retinal image") AND ("deep learning" OR "</w:t>
      </w:r>
      <w:proofErr w:type="spellStart"/>
      <w:r>
        <w:rPr>
          <w:rStyle w:val="HTMLCode"/>
        </w:rPr>
        <w:t>convolutional</w:t>
      </w:r>
      <w:proofErr w:type="spellEnd"/>
      <w:r>
        <w:rPr>
          <w:rStyle w:val="HTMLCode"/>
        </w:rPr>
        <w:t xml:space="preserve"> neural network" OR CNN OR transformer OR "ensemble learning" OR "explainable AI" OR XAI)</w:t>
      </w:r>
    </w:p>
    <w:p w:rsidR="00B57F10" w:rsidRDefault="00B57F10" w:rsidP="00B57F10">
      <w:pPr>
        <w:pStyle w:val="NormalWeb"/>
      </w:pPr>
      <w:r>
        <w:t xml:space="preserve">The search should prioritize studies that directly investigate glaucoma detection or classification using </w:t>
      </w:r>
      <w:proofErr w:type="spellStart"/>
      <w:r>
        <w:t>fundus</w:t>
      </w:r>
      <w:proofErr w:type="spellEnd"/>
      <w:r>
        <w:t xml:space="preserve"> images. Studies on optic-disc and optic-cup segmentation, retinal representation learning, multimodal diagnosis, and </w:t>
      </w:r>
      <w:proofErr w:type="spellStart"/>
      <w:r>
        <w:t>explainability</w:t>
      </w:r>
      <w:proofErr w:type="spellEnd"/>
      <w:r>
        <w:t xml:space="preserve"> may also be included when they provide methodological evidence relevant to the review objectives. Studies based exclusively on unrelated imaging modalities should not be treated as direct evidence for </w:t>
      </w:r>
      <w:proofErr w:type="spellStart"/>
      <w:r>
        <w:t>fundus</w:t>
      </w:r>
      <w:proofErr w:type="spellEnd"/>
      <w:r>
        <w:t>-image classification, although particularly relevant work may be discussed separately as contextual evidence.</w:t>
      </w:r>
    </w:p>
    <w:p w:rsidR="00B57F10" w:rsidRDefault="00B57F10" w:rsidP="00B57F10">
      <w:pPr>
        <w:pStyle w:val="NormalWeb"/>
      </w:pPr>
      <w:r>
        <w:t>The final methodology must report the actual date on which each source was last searched, any publication-year restrictions, language restrictions, and other filters applied. These details should not be inferred retrospectively or reported as completed before the searches have taken place.</w:t>
      </w:r>
    </w:p>
    <w:p w:rsidR="00B57F10" w:rsidRDefault="00B57F10" w:rsidP="00B57F10">
      <w:pPr>
        <w:pStyle w:val="Heading2"/>
      </w:pPr>
      <w:r>
        <w:t>3.3 Eligibility Criteria</w:t>
      </w:r>
    </w:p>
    <w:p w:rsidR="00B57F10" w:rsidRDefault="00B57F10" w:rsidP="00B57F10">
      <w:pPr>
        <w:pStyle w:val="NormalWeb"/>
      </w:pPr>
      <w:r>
        <w:t xml:space="preserve">Studies should be selected according to predefined eligibility criteria to reduce arbitrary selection and ensure consistency across the reviewed literature. The criteria should reflect the review's broad scope while preserving a clear distinction between direct evidence for </w:t>
      </w:r>
      <w:proofErr w:type="spellStart"/>
      <w:r>
        <w:t>fundus</w:t>
      </w:r>
      <w:proofErr w:type="spellEnd"/>
      <w:r>
        <w:t>-image glaucoma detection and supporting research on related methods.</w:t>
      </w:r>
    </w:p>
    <w:p w:rsidR="00B57F10" w:rsidRDefault="00B57F10" w:rsidP="00B57F10">
      <w:pPr>
        <w:pStyle w:val="NormalWeb"/>
      </w:pPr>
      <w:proofErr w:type="gramStart"/>
      <w:r>
        <w:rPr>
          <w:rStyle w:val="Strong"/>
        </w:rPr>
        <w:t>Table 3.1.</w:t>
      </w:r>
      <w:proofErr w:type="gramEnd"/>
      <w:r>
        <w:rPr>
          <w:rStyle w:val="Strong"/>
        </w:rPr>
        <w:t xml:space="preserve"> Inclusion and exclusion criteria for study selection</w:t>
      </w:r>
    </w:p>
    <w:tbl>
      <w:tblPr>
        <w:tblStyle w:val="TableGrid"/>
        <w:tblW w:w="0" w:type="auto"/>
        <w:tblLook w:val="04A0"/>
      </w:tblPr>
      <w:tblGrid>
        <w:gridCol w:w="1751"/>
        <w:gridCol w:w="4518"/>
        <w:gridCol w:w="3307"/>
      </w:tblGrid>
      <w:tr w:rsidR="00B57F10" w:rsidTr="00BD7FD5">
        <w:tc>
          <w:tcPr>
            <w:tcW w:w="0" w:type="auto"/>
            <w:vAlign w:val="center"/>
            <w:hideMark/>
          </w:tcPr>
          <w:p w:rsidR="00B57F10" w:rsidRDefault="00B57F10" w:rsidP="00BD7FD5">
            <w:pPr>
              <w:jc w:val="center"/>
              <w:rPr>
                <w:b/>
                <w:bCs/>
                <w:sz w:val="24"/>
                <w:szCs w:val="24"/>
              </w:rPr>
            </w:pPr>
            <w:r>
              <w:rPr>
                <w:b/>
                <w:bCs/>
              </w:rPr>
              <w:t>Criterion</w:t>
            </w:r>
          </w:p>
        </w:tc>
        <w:tc>
          <w:tcPr>
            <w:tcW w:w="0" w:type="auto"/>
            <w:vAlign w:val="center"/>
            <w:hideMark/>
          </w:tcPr>
          <w:p w:rsidR="00B57F10" w:rsidRDefault="00B57F10" w:rsidP="00BD7FD5">
            <w:pPr>
              <w:jc w:val="center"/>
              <w:rPr>
                <w:b/>
                <w:bCs/>
                <w:sz w:val="24"/>
                <w:szCs w:val="24"/>
              </w:rPr>
            </w:pPr>
            <w:r>
              <w:rPr>
                <w:b/>
                <w:bCs/>
              </w:rPr>
              <w:t>Include</w:t>
            </w:r>
          </w:p>
        </w:tc>
        <w:tc>
          <w:tcPr>
            <w:tcW w:w="0" w:type="auto"/>
            <w:vAlign w:val="center"/>
            <w:hideMark/>
          </w:tcPr>
          <w:p w:rsidR="00B57F10" w:rsidRDefault="00B57F10" w:rsidP="00BD7FD5">
            <w:pPr>
              <w:jc w:val="center"/>
              <w:rPr>
                <w:b/>
                <w:bCs/>
                <w:sz w:val="24"/>
                <w:szCs w:val="24"/>
              </w:rPr>
            </w:pPr>
            <w:r>
              <w:rPr>
                <w:b/>
                <w:bCs/>
              </w:rPr>
              <w:t>Exclude</w:t>
            </w:r>
          </w:p>
        </w:tc>
      </w:tr>
      <w:tr w:rsidR="00B57F10" w:rsidTr="00BD7FD5">
        <w:tc>
          <w:tcPr>
            <w:tcW w:w="0" w:type="auto"/>
            <w:vAlign w:val="center"/>
            <w:hideMark/>
          </w:tcPr>
          <w:p w:rsidR="00B57F10" w:rsidRDefault="00B57F10" w:rsidP="00BD7FD5">
            <w:pPr>
              <w:jc w:val="center"/>
              <w:rPr>
                <w:sz w:val="24"/>
                <w:szCs w:val="24"/>
              </w:rPr>
            </w:pPr>
            <w:r>
              <w:t>Research topic</w:t>
            </w:r>
          </w:p>
        </w:tc>
        <w:tc>
          <w:tcPr>
            <w:tcW w:w="0" w:type="auto"/>
            <w:vAlign w:val="center"/>
            <w:hideMark/>
          </w:tcPr>
          <w:p w:rsidR="00B57F10" w:rsidRDefault="00B57F10" w:rsidP="00BD7FD5">
            <w:pPr>
              <w:jc w:val="center"/>
              <w:rPr>
                <w:sz w:val="24"/>
                <w:szCs w:val="24"/>
              </w:rPr>
            </w:pPr>
            <w:r>
              <w:t>Glaucoma detection, classification, screening, or assessment</w:t>
            </w:r>
          </w:p>
        </w:tc>
        <w:tc>
          <w:tcPr>
            <w:tcW w:w="0" w:type="auto"/>
            <w:vAlign w:val="center"/>
            <w:hideMark/>
          </w:tcPr>
          <w:p w:rsidR="00B57F10" w:rsidRDefault="00B57F10" w:rsidP="00BD7FD5">
            <w:pPr>
              <w:jc w:val="center"/>
              <w:rPr>
                <w:sz w:val="24"/>
                <w:szCs w:val="24"/>
              </w:rPr>
            </w:pPr>
            <w:r>
              <w:t>Studies with no meaningful connection to glaucoma analysis</w:t>
            </w:r>
          </w:p>
        </w:tc>
      </w:tr>
      <w:tr w:rsidR="00B57F10" w:rsidTr="00BD7FD5">
        <w:tc>
          <w:tcPr>
            <w:tcW w:w="0" w:type="auto"/>
            <w:vAlign w:val="center"/>
            <w:hideMark/>
          </w:tcPr>
          <w:p w:rsidR="00B57F10" w:rsidRDefault="00B57F10" w:rsidP="00BD7FD5">
            <w:pPr>
              <w:jc w:val="center"/>
              <w:rPr>
                <w:sz w:val="24"/>
                <w:szCs w:val="24"/>
              </w:rPr>
            </w:pPr>
            <w:r>
              <w:t>Imaging modality</w:t>
            </w:r>
          </w:p>
        </w:tc>
        <w:tc>
          <w:tcPr>
            <w:tcW w:w="0" w:type="auto"/>
            <w:vAlign w:val="center"/>
            <w:hideMark/>
          </w:tcPr>
          <w:p w:rsidR="00B57F10" w:rsidRDefault="00B57F10" w:rsidP="00BD7FD5">
            <w:pPr>
              <w:jc w:val="center"/>
              <w:rPr>
                <w:sz w:val="24"/>
                <w:szCs w:val="24"/>
              </w:rPr>
            </w:pPr>
            <w:r>
              <w:t xml:space="preserve">Color </w:t>
            </w:r>
            <w:proofErr w:type="spellStart"/>
            <w:r>
              <w:t>fundus</w:t>
            </w:r>
            <w:proofErr w:type="spellEnd"/>
            <w:r>
              <w:t xml:space="preserve"> photographs and relevant </w:t>
            </w:r>
            <w:proofErr w:type="spellStart"/>
            <w:r>
              <w:t>fundus</w:t>
            </w:r>
            <w:proofErr w:type="spellEnd"/>
            <w:r>
              <w:t>-derived representations</w:t>
            </w:r>
          </w:p>
        </w:tc>
        <w:tc>
          <w:tcPr>
            <w:tcW w:w="0" w:type="auto"/>
            <w:vAlign w:val="center"/>
            <w:hideMark/>
          </w:tcPr>
          <w:p w:rsidR="00B57F10" w:rsidRDefault="00B57F10" w:rsidP="00BD7FD5">
            <w:pPr>
              <w:jc w:val="center"/>
              <w:rPr>
                <w:sz w:val="24"/>
                <w:szCs w:val="24"/>
              </w:rPr>
            </w:pPr>
            <w:r>
              <w:t>Studies exclusively using unrelated modalities, unless included as contextual evidence</w:t>
            </w:r>
          </w:p>
        </w:tc>
      </w:tr>
      <w:tr w:rsidR="00B57F10" w:rsidTr="00BD7FD5">
        <w:tc>
          <w:tcPr>
            <w:tcW w:w="0" w:type="auto"/>
            <w:vAlign w:val="center"/>
            <w:hideMark/>
          </w:tcPr>
          <w:p w:rsidR="00B57F10" w:rsidRDefault="00B57F10" w:rsidP="00BD7FD5">
            <w:pPr>
              <w:jc w:val="center"/>
              <w:rPr>
                <w:sz w:val="24"/>
                <w:szCs w:val="24"/>
              </w:rPr>
            </w:pPr>
            <w:r>
              <w:t>Computational approach</w:t>
            </w:r>
          </w:p>
        </w:tc>
        <w:tc>
          <w:tcPr>
            <w:tcW w:w="0" w:type="auto"/>
            <w:vAlign w:val="center"/>
            <w:hideMark/>
          </w:tcPr>
          <w:p w:rsidR="00B57F10" w:rsidRDefault="00B57F10" w:rsidP="00BD7FD5">
            <w:pPr>
              <w:jc w:val="center"/>
              <w:rPr>
                <w:sz w:val="24"/>
                <w:szCs w:val="24"/>
              </w:rPr>
            </w:pPr>
            <w:r>
              <w:t xml:space="preserve">Deep learning, conventional machine learning, transfer learning, ensembles, segmentation-assisted methods, or </w:t>
            </w:r>
            <w:proofErr w:type="spellStart"/>
            <w:r>
              <w:t>explainability</w:t>
            </w:r>
            <w:proofErr w:type="spellEnd"/>
            <w:r>
              <w:t xml:space="preserve"> methods relevant to glaucoma</w:t>
            </w:r>
          </w:p>
        </w:tc>
        <w:tc>
          <w:tcPr>
            <w:tcW w:w="0" w:type="auto"/>
            <w:vAlign w:val="center"/>
            <w:hideMark/>
          </w:tcPr>
          <w:p w:rsidR="00B57F10" w:rsidRDefault="00B57F10" w:rsidP="00BD7FD5">
            <w:pPr>
              <w:jc w:val="center"/>
              <w:rPr>
                <w:sz w:val="24"/>
                <w:szCs w:val="24"/>
              </w:rPr>
            </w:pPr>
            <w:r>
              <w:t>Methods unrelated to automated glaucoma analysis</w:t>
            </w:r>
          </w:p>
        </w:tc>
      </w:tr>
      <w:tr w:rsidR="00B57F10" w:rsidTr="00BD7FD5">
        <w:tc>
          <w:tcPr>
            <w:tcW w:w="0" w:type="auto"/>
            <w:vAlign w:val="center"/>
            <w:hideMark/>
          </w:tcPr>
          <w:p w:rsidR="00B57F10" w:rsidRDefault="00B57F10" w:rsidP="00BD7FD5">
            <w:pPr>
              <w:jc w:val="center"/>
              <w:rPr>
                <w:sz w:val="24"/>
                <w:szCs w:val="24"/>
              </w:rPr>
            </w:pPr>
            <w:r>
              <w:t>Study type</w:t>
            </w:r>
          </w:p>
        </w:tc>
        <w:tc>
          <w:tcPr>
            <w:tcW w:w="0" w:type="auto"/>
            <w:vAlign w:val="center"/>
            <w:hideMark/>
          </w:tcPr>
          <w:p w:rsidR="00B57F10" w:rsidRDefault="00B57F10" w:rsidP="00BD7FD5">
            <w:pPr>
              <w:jc w:val="center"/>
              <w:rPr>
                <w:sz w:val="24"/>
                <w:szCs w:val="24"/>
              </w:rPr>
            </w:pPr>
            <w:r>
              <w:t>Original research articles and relevant peer-reviewed conference papers</w:t>
            </w:r>
          </w:p>
        </w:tc>
        <w:tc>
          <w:tcPr>
            <w:tcW w:w="0" w:type="auto"/>
            <w:vAlign w:val="center"/>
            <w:hideMark/>
          </w:tcPr>
          <w:p w:rsidR="00B57F10" w:rsidRDefault="00B57F10" w:rsidP="00BD7FD5">
            <w:pPr>
              <w:jc w:val="center"/>
              <w:rPr>
                <w:sz w:val="24"/>
                <w:szCs w:val="24"/>
              </w:rPr>
            </w:pPr>
            <w:r>
              <w:t xml:space="preserve">Editorials, opinion pieces, and non-research material without substantive methodological </w:t>
            </w:r>
            <w:r>
              <w:lastRenderedPageBreak/>
              <w:t>evidence</w:t>
            </w:r>
          </w:p>
        </w:tc>
      </w:tr>
      <w:tr w:rsidR="00B57F10" w:rsidTr="00BD7FD5">
        <w:tc>
          <w:tcPr>
            <w:tcW w:w="0" w:type="auto"/>
            <w:vAlign w:val="center"/>
            <w:hideMark/>
          </w:tcPr>
          <w:p w:rsidR="00B57F10" w:rsidRDefault="00B57F10" w:rsidP="00BD7FD5">
            <w:pPr>
              <w:jc w:val="center"/>
              <w:rPr>
                <w:sz w:val="24"/>
                <w:szCs w:val="24"/>
              </w:rPr>
            </w:pPr>
            <w:r>
              <w:lastRenderedPageBreak/>
              <w:t>Evaluation evidence</w:t>
            </w:r>
          </w:p>
        </w:tc>
        <w:tc>
          <w:tcPr>
            <w:tcW w:w="0" w:type="auto"/>
            <w:vAlign w:val="center"/>
            <w:hideMark/>
          </w:tcPr>
          <w:p w:rsidR="00B57F10" w:rsidRDefault="00B57F10" w:rsidP="00BD7FD5">
            <w:pPr>
              <w:jc w:val="center"/>
              <w:rPr>
                <w:sz w:val="24"/>
                <w:szCs w:val="24"/>
              </w:rPr>
            </w:pPr>
            <w:r>
              <w:t>Studies reporting experimental methods, datasets, or evaluation outcomes</w:t>
            </w:r>
          </w:p>
        </w:tc>
        <w:tc>
          <w:tcPr>
            <w:tcW w:w="0" w:type="auto"/>
            <w:vAlign w:val="center"/>
            <w:hideMark/>
          </w:tcPr>
          <w:p w:rsidR="00B57F10" w:rsidRDefault="00B57F10" w:rsidP="00BD7FD5">
            <w:pPr>
              <w:jc w:val="center"/>
              <w:rPr>
                <w:sz w:val="24"/>
                <w:szCs w:val="24"/>
              </w:rPr>
            </w:pPr>
            <w:r>
              <w:t>Records with insufficient information to establish relevance or study type</w:t>
            </w:r>
          </w:p>
        </w:tc>
      </w:tr>
      <w:tr w:rsidR="00B57F10" w:rsidTr="00BD7FD5">
        <w:tc>
          <w:tcPr>
            <w:tcW w:w="0" w:type="auto"/>
            <w:vAlign w:val="center"/>
            <w:hideMark/>
          </w:tcPr>
          <w:p w:rsidR="00B57F10" w:rsidRDefault="00B57F10" w:rsidP="00BD7FD5">
            <w:pPr>
              <w:jc w:val="center"/>
              <w:rPr>
                <w:sz w:val="24"/>
                <w:szCs w:val="24"/>
              </w:rPr>
            </w:pPr>
            <w:r>
              <w:t>Publication information</w:t>
            </w:r>
          </w:p>
        </w:tc>
        <w:tc>
          <w:tcPr>
            <w:tcW w:w="0" w:type="auto"/>
            <w:vAlign w:val="center"/>
            <w:hideMark/>
          </w:tcPr>
          <w:p w:rsidR="00B57F10" w:rsidRDefault="00B57F10" w:rsidP="00BD7FD5">
            <w:pPr>
              <w:jc w:val="center"/>
              <w:rPr>
                <w:sz w:val="24"/>
                <w:szCs w:val="24"/>
              </w:rPr>
            </w:pPr>
            <w:r>
              <w:t>Publications with sufficient bibliographic information to identify and verify the source</w:t>
            </w:r>
          </w:p>
        </w:tc>
        <w:tc>
          <w:tcPr>
            <w:tcW w:w="0" w:type="auto"/>
            <w:vAlign w:val="center"/>
            <w:hideMark/>
          </w:tcPr>
          <w:p w:rsidR="00B57F10" w:rsidRDefault="00B57F10" w:rsidP="00BD7FD5">
            <w:pPr>
              <w:jc w:val="center"/>
              <w:rPr>
                <w:sz w:val="24"/>
                <w:szCs w:val="24"/>
              </w:rPr>
            </w:pPr>
            <w:r>
              <w:t>Unverifiable records that cannot be reliably identified</w:t>
            </w:r>
          </w:p>
        </w:tc>
      </w:tr>
      <w:tr w:rsidR="00B57F10" w:rsidTr="00BD7FD5">
        <w:tc>
          <w:tcPr>
            <w:tcW w:w="0" w:type="auto"/>
            <w:vAlign w:val="center"/>
            <w:hideMark/>
          </w:tcPr>
          <w:p w:rsidR="00B57F10" w:rsidRDefault="00B57F10" w:rsidP="00BD7FD5">
            <w:pPr>
              <w:jc w:val="center"/>
              <w:rPr>
                <w:sz w:val="24"/>
                <w:szCs w:val="24"/>
              </w:rPr>
            </w:pPr>
            <w:r>
              <w:t>Accessibility</w:t>
            </w:r>
          </w:p>
        </w:tc>
        <w:tc>
          <w:tcPr>
            <w:tcW w:w="0" w:type="auto"/>
            <w:vAlign w:val="center"/>
            <w:hideMark/>
          </w:tcPr>
          <w:p w:rsidR="00B57F10" w:rsidRDefault="00B57F10" w:rsidP="00BD7FD5">
            <w:pPr>
              <w:jc w:val="center"/>
              <w:rPr>
                <w:sz w:val="24"/>
                <w:szCs w:val="24"/>
              </w:rPr>
            </w:pPr>
            <w:r>
              <w:t>Full text available, or sufficient reliable information available to determine eligibility and extract the relevant evidence</w:t>
            </w:r>
          </w:p>
        </w:tc>
        <w:tc>
          <w:tcPr>
            <w:tcW w:w="0" w:type="auto"/>
            <w:vAlign w:val="center"/>
            <w:hideMark/>
          </w:tcPr>
          <w:p w:rsidR="00B57F10" w:rsidRDefault="00B57F10" w:rsidP="00BD7FD5">
            <w:pPr>
              <w:jc w:val="center"/>
              <w:rPr>
                <w:sz w:val="24"/>
                <w:szCs w:val="24"/>
              </w:rPr>
            </w:pPr>
            <w:r>
              <w:t>Records for which eligibility cannot be established because essential information is unavailable</w:t>
            </w:r>
          </w:p>
        </w:tc>
      </w:tr>
    </w:tbl>
    <w:p w:rsidR="00B57F10" w:rsidRDefault="00B57F10" w:rsidP="00B57F10">
      <w:pPr>
        <w:pStyle w:val="NormalWeb"/>
      </w:pPr>
      <w:r>
        <w:rPr>
          <w:rStyle w:val="Emphasis"/>
        </w:rPr>
        <w:t>Note:</w:t>
      </w:r>
      <w:r>
        <w:t xml:space="preserve"> These are proposed operational criteria. They should be finalized before formal screening and applied consistently. A study should not be excluded solely because it reports an incomplete set of performance metrics; instead, unavailable information should be recorded as “not reported” when the study otherwise meets the eligibility criteria.</w:t>
      </w:r>
    </w:p>
    <w:p w:rsidR="00B57F10" w:rsidRDefault="00B57F10" w:rsidP="00B57F10">
      <w:pPr>
        <w:pStyle w:val="Heading2"/>
      </w:pPr>
      <w:r>
        <w:t>3.4 Study Selection and Screening</w:t>
      </w:r>
    </w:p>
    <w:p w:rsidR="00B57F10" w:rsidRDefault="00B57F10" w:rsidP="00B57F10">
      <w:pPr>
        <w:pStyle w:val="NormalWeb"/>
      </w:pPr>
      <w:r>
        <w:t>Study selection should proceed through identification, duplicate removal, title and abstract screening, full-text eligibility assessment, and final inclusion. The initial search results should be consolidated into a reference-management spreadsheet or bibliographic tool. Duplicate records should be identified and removed before screening, while retaining enough information to track the source records.</w:t>
      </w:r>
    </w:p>
    <w:p w:rsidR="00B57F10" w:rsidRDefault="00B57F10" w:rsidP="00B57F10">
      <w:pPr>
        <w:pStyle w:val="NormalWeb"/>
      </w:pPr>
      <w:r>
        <w:t>During title and abstract screening, records should be assessed against the predefined eligibility criteria. Potentially relevant records should then undergo full-text assessment. For each excluded full-text report, the principal reason for exclusion should be documented. Where feasible, two reviewers should independently assess eligibility and resolve disagreements through discussion; if the review is conducted by a single reviewer, this limitation should be explicitly acknowledged rather than implying independent screening.</w:t>
      </w:r>
    </w:p>
    <w:p w:rsidR="00B57F10" w:rsidRDefault="00B57F10" w:rsidP="00B57F10">
      <w:pPr>
        <w:pStyle w:val="NormalWeb"/>
      </w:pPr>
      <w:r>
        <w:t>The number of records identified, duplicates removed, records screened, full-text reports assessed, and studies ultimately included must be taken from the actual screening log. These values form the basis of the study-selection flow diagram.</w:t>
      </w:r>
    </w:p>
    <w:p w:rsidR="00B57F10" w:rsidRDefault="00B57F10" w:rsidP="00B57F10">
      <w:pPr>
        <w:pStyle w:val="NormalWeb"/>
      </w:pPr>
      <w:r>
        <w:rPr>
          <w:rStyle w:val="Strong"/>
        </w:rPr>
        <w:t>&lt;&lt;FIGURE 3.1 HERE — PLACE IMMEDIATELY AFTER THIS PARAGRAPH&gt;&gt;</w:t>
      </w:r>
    </w:p>
    <w:p w:rsidR="00B57F10" w:rsidRDefault="00B57F10" w:rsidP="00B57F10">
      <w:pPr>
        <w:pStyle w:val="NormalWeb"/>
      </w:pPr>
      <w:proofErr w:type="gramStart"/>
      <w:r>
        <w:rPr>
          <w:rStyle w:val="Strong"/>
        </w:rPr>
        <w:t>Figure 3.1.</w:t>
      </w:r>
      <w:proofErr w:type="gramEnd"/>
      <w:r>
        <w:rPr>
          <w:rStyle w:val="Strong"/>
        </w:rPr>
        <w:t xml:space="preserve"> </w:t>
      </w:r>
      <w:proofErr w:type="gramStart"/>
      <w:r>
        <w:rPr>
          <w:rStyle w:val="Strong"/>
        </w:rPr>
        <w:t>Proposed study-selection flow for the literature review.</w:t>
      </w:r>
      <w:proofErr w:type="gramEnd"/>
      <w:r>
        <w:t xml:space="preserve"> Replace every bracketed field with the verified count from the screening log. Do not submit the figure with invented or estimated counts.</w:t>
      </w:r>
    </w:p>
    <w:p w:rsidR="00B57F10" w:rsidRDefault="00B57F10" w:rsidP="00B57F10">
      <w:pPr>
        <w:pStyle w:val="HTMLPreformatted"/>
        <w:rPr>
          <w:rStyle w:val="HTMLCode"/>
        </w:rPr>
      </w:pPr>
      <w:r>
        <w:rPr>
          <w:rStyle w:val="HTMLCode"/>
        </w:rPr>
        <w:t>Identification</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w:t>
      </w:r>
      <w:proofErr w:type="gramStart"/>
      <w:r>
        <w:rPr>
          <w:rStyle w:val="HTMLCode"/>
        </w:rPr>
        <w:t>v</w:t>
      </w:r>
      <w:proofErr w:type="gramEnd"/>
    </w:p>
    <w:p w:rsidR="00B57F10" w:rsidRDefault="00B57F10" w:rsidP="00B57F10">
      <w:pPr>
        <w:pStyle w:val="HTMLPreformatted"/>
        <w:rPr>
          <w:rStyle w:val="HTMLCode"/>
        </w:rPr>
      </w:pPr>
      <w:r>
        <w:rPr>
          <w:rStyle w:val="HTMLCode"/>
        </w:rPr>
        <w:t>Records identified through database searching (n = [N1])</w:t>
      </w:r>
    </w:p>
    <w:p w:rsidR="00B57F10" w:rsidRDefault="00B57F10" w:rsidP="00B57F10">
      <w:pPr>
        <w:pStyle w:val="HTMLPreformatted"/>
        <w:rPr>
          <w:rStyle w:val="HTMLCode"/>
        </w:rPr>
      </w:pPr>
      <w:r>
        <w:rPr>
          <w:rStyle w:val="HTMLCode"/>
        </w:rPr>
        <w:t>Additional records identified through other sources (n = [N2])</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lastRenderedPageBreak/>
        <w:t xml:space="preserve">      </w:t>
      </w:r>
      <w:proofErr w:type="gramStart"/>
      <w:r>
        <w:rPr>
          <w:rStyle w:val="HTMLCode"/>
        </w:rPr>
        <w:t>v</w:t>
      </w:r>
      <w:proofErr w:type="gramEnd"/>
    </w:p>
    <w:p w:rsidR="00B57F10" w:rsidRDefault="00B57F10" w:rsidP="00B57F10">
      <w:pPr>
        <w:pStyle w:val="HTMLPreformatted"/>
        <w:rPr>
          <w:rStyle w:val="HTMLCode"/>
        </w:rPr>
      </w:pPr>
      <w:r>
        <w:rPr>
          <w:rStyle w:val="HTMLCode"/>
        </w:rPr>
        <w:t>Records after duplicate removal (n = [N3])</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w:t>
      </w:r>
      <w:proofErr w:type="gramStart"/>
      <w:r>
        <w:rPr>
          <w:rStyle w:val="HTMLCode"/>
        </w:rPr>
        <w:t>v</w:t>
      </w:r>
      <w:proofErr w:type="gramEnd"/>
    </w:p>
    <w:p w:rsidR="00B57F10" w:rsidRDefault="00B57F10" w:rsidP="00B57F10">
      <w:pPr>
        <w:pStyle w:val="HTMLPreformatted"/>
        <w:rPr>
          <w:rStyle w:val="HTMLCode"/>
        </w:rPr>
      </w:pPr>
      <w:r>
        <w:rPr>
          <w:rStyle w:val="HTMLCode"/>
        </w:rPr>
        <w:t>Title and abstract screening (n = [N4])</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+----&gt; Records excluded (n = [N5])</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w:t>
      </w:r>
      <w:proofErr w:type="gramStart"/>
      <w:r>
        <w:rPr>
          <w:rStyle w:val="HTMLCode"/>
        </w:rPr>
        <w:t>v</w:t>
      </w:r>
      <w:proofErr w:type="gramEnd"/>
    </w:p>
    <w:p w:rsidR="00B57F10" w:rsidRDefault="00B57F10" w:rsidP="00B57F10">
      <w:pPr>
        <w:pStyle w:val="HTMLPreformatted"/>
        <w:rPr>
          <w:rStyle w:val="HTMLCode"/>
        </w:rPr>
      </w:pPr>
      <w:r>
        <w:rPr>
          <w:rStyle w:val="HTMLCode"/>
        </w:rPr>
        <w:t>Full-text reports sought for retrieval (n = [N6])</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+----&gt; Reports not retrieved (n = [N7])</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w:t>
      </w:r>
      <w:proofErr w:type="gramStart"/>
      <w:r>
        <w:rPr>
          <w:rStyle w:val="HTMLCode"/>
        </w:rPr>
        <w:t>v</w:t>
      </w:r>
      <w:proofErr w:type="gramEnd"/>
    </w:p>
    <w:p w:rsidR="00B57F10" w:rsidRDefault="00B57F10" w:rsidP="00B57F10">
      <w:pPr>
        <w:pStyle w:val="HTMLPreformatted"/>
        <w:rPr>
          <w:rStyle w:val="HTMLCode"/>
        </w:rPr>
      </w:pPr>
      <w:r>
        <w:rPr>
          <w:rStyle w:val="HTMLCode"/>
        </w:rPr>
        <w:t>Full-text reports assessed for eligibility (n = [N8])</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+----&gt; Reports excluded, with reasons (n = [N9])</w:t>
      </w:r>
    </w:p>
    <w:p w:rsidR="00B57F10" w:rsidRDefault="00B57F10" w:rsidP="00B57F10">
      <w:pPr>
        <w:pStyle w:val="HTMLPreformatted"/>
        <w:rPr>
          <w:rStyle w:val="HTMLCode"/>
        </w:rPr>
      </w:pPr>
      <w:r>
        <w:rPr>
          <w:rStyle w:val="HTMLCode"/>
        </w:rPr>
        <w:t xml:space="preserve">      |</w:t>
      </w:r>
    </w:p>
    <w:p w:rsidR="00B57F10" w:rsidRDefault="00B57F10" w:rsidP="00B57F10">
      <w:pPr>
        <w:pStyle w:val="HTMLPreformatted"/>
        <w:rPr>
          <w:rStyle w:val="HTMLCode"/>
        </w:rPr>
      </w:pPr>
      <w:r>
        <w:rPr>
          <w:rStyle w:val="HTMLCode"/>
        </w:rPr>
        <w:t xml:space="preserve">      </w:t>
      </w:r>
      <w:proofErr w:type="gramStart"/>
      <w:r>
        <w:rPr>
          <w:rStyle w:val="HTMLCode"/>
        </w:rPr>
        <w:t>v</w:t>
      </w:r>
      <w:proofErr w:type="gramEnd"/>
    </w:p>
    <w:p w:rsidR="00B57F10" w:rsidRDefault="00B57F10" w:rsidP="00B57F10">
      <w:pPr>
        <w:pStyle w:val="HTMLPreformatted"/>
      </w:pPr>
      <w:r>
        <w:rPr>
          <w:rStyle w:val="HTMLCode"/>
        </w:rPr>
        <w:t>Studies included in the review (n = [N10])</w:t>
      </w:r>
    </w:p>
    <w:p w:rsidR="00B57F10" w:rsidRDefault="00B57F10" w:rsidP="00B57F10">
      <w:pPr>
        <w:pStyle w:val="NormalWeb"/>
      </w:pPr>
      <w:r>
        <w:rPr>
          <w:rStyle w:val="Emphasis"/>
        </w:rPr>
        <w:t>Figure note:</w:t>
      </w:r>
      <w:r>
        <w:t xml:space="preserve"> This is a simplified working schematic, not a completed PRISMA flow diagram. The final version should follow the appropriate PRISMA 2020 template and report the required counts and exclusion reasons. The categories and counts must be reconciled so that each stage accurately reflects the screening records [13].</w:t>
      </w:r>
    </w:p>
    <w:p w:rsidR="00B57F10" w:rsidRDefault="00B57F10" w:rsidP="00B57F10">
      <w:pPr>
        <w:pStyle w:val="Heading2"/>
      </w:pPr>
      <w:r>
        <w:t>3.5 Data Extraction and Evidence Charting</w:t>
      </w:r>
    </w:p>
    <w:p w:rsidR="00B57F10" w:rsidRDefault="00B57F10" w:rsidP="00B57F10">
      <w:pPr>
        <w:pStyle w:val="NormalWeb"/>
      </w:pPr>
      <w:r>
        <w:t>A structured data-extraction form should be used to record the characteristics and findings of each included study. The extraction process should prioritize traceable information from the original publication, its supplementary material, and, where appropriate, an associated dataset or code repository. Secondary reviews may help identify relevant studies but should not replace primary sources when extracting experimental details.</w:t>
      </w:r>
    </w:p>
    <w:p w:rsidR="00B57F10" w:rsidRDefault="00B57F10" w:rsidP="00B57F10">
      <w:pPr>
        <w:pStyle w:val="NormalWeb"/>
      </w:pPr>
      <w:r>
        <w:t>The following information should be collected where available:</w:t>
      </w:r>
    </w:p>
    <w:p w:rsidR="00B57F10" w:rsidRDefault="00B57F10" w:rsidP="00B57F10">
      <w:pPr>
        <w:pStyle w:val="NormalWeb"/>
        <w:numPr>
          <w:ilvl w:val="0"/>
          <w:numId w:val="2"/>
        </w:numPr>
      </w:pPr>
      <w:r>
        <w:rPr>
          <w:rStyle w:val="Strong"/>
        </w:rPr>
        <w:t>Bibliographic information:</w:t>
      </w:r>
      <w:r>
        <w:t xml:space="preserve"> paper title, authors, publication year, journal or conference, DOI, and publication type.</w:t>
      </w:r>
    </w:p>
    <w:p w:rsidR="00B57F10" w:rsidRDefault="00B57F10" w:rsidP="00B57F10">
      <w:pPr>
        <w:pStyle w:val="NormalWeb"/>
        <w:numPr>
          <w:ilvl w:val="0"/>
          <w:numId w:val="2"/>
        </w:numPr>
      </w:pPr>
      <w:r>
        <w:rPr>
          <w:rStyle w:val="Strong"/>
        </w:rPr>
        <w:t>Research objective:</w:t>
      </w:r>
      <w:r>
        <w:t xml:space="preserve"> clinical or technical problem, principal contribution, and intended application.</w:t>
      </w:r>
    </w:p>
    <w:p w:rsidR="00B57F10" w:rsidRDefault="00B57F10" w:rsidP="00B57F10">
      <w:pPr>
        <w:pStyle w:val="NormalWeb"/>
        <w:numPr>
          <w:ilvl w:val="0"/>
          <w:numId w:val="2"/>
        </w:numPr>
      </w:pPr>
      <w:r>
        <w:rPr>
          <w:rStyle w:val="Strong"/>
        </w:rPr>
        <w:t>Dataset characteristics:</w:t>
      </w:r>
      <w:r>
        <w:t xml:space="preserve"> dataset name, public or private status, number of images or participants, class distribution, source institution or population when reported, and image modality.</w:t>
      </w:r>
    </w:p>
    <w:p w:rsidR="00B57F10" w:rsidRDefault="00B57F10" w:rsidP="00B57F10">
      <w:pPr>
        <w:pStyle w:val="NormalWeb"/>
        <w:numPr>
          <w:ilvl w:val="0"/>
          <w:numId w:val="2"/>
        </w:numPr>
      </w:pPr>
      <w:r>
        <w:rPr>
          <w:rStyle w:val="Strong"/>
        </w:rPr>
        <w:t>Preprocessing and data handling:</w:t>
      </w:r>
      <w:r>
        <w:t xml:space="preserve"> image resizing, normalization, enhancement, augmentation, segmentation, class balancing, and training–validation–test partitioning.</w:t>
      </w:r>
    </w:p>
    <w:p w:rsidR="00B57F10" w:rsidRDefault="00B57F10" w:rsidP="00B57F10">
      <w:pPr>
        <w:pStyle w:val="NormalWeb"/>
        <w:numPr>
          <w:ilvl w:val="0"/>
          <w:numId w:val="2"/>
        </w:numPr>
      </w:pPr>
      <w:r>
        <w:rPr>
          <w:rStyle w:val="Strong"/>
        </w:rPr>
        <w:t>Model architecture:</w:t>
      </w:r>
      <w:r>
        <w:t xml:space="preserve"> CNN backbones, transfer-learning strategy, transformer architectures, segmentation networks, conventional classifiers, ensemble methods, and multimodal integration.</w:t>
      </w:r>
    </w:p>
    <w:p w:rsidR="00B57F10" w:rsidRDefault="00B57F10" w:rsidP="00B57F10">
      <w:pPr>
        <w:pStyle w:val="NormalWeb"/>
        <w:numPr>
          <w:ilvl w:val="0"/>
          <w:numId w:val="2"/>
        </w:numPr>
      </w:pPr>
      <w:r>
        <w:rPr>
          <w:rStyle w:val="Strong"/>
        </w:rPr>
        <w:lastRenderedPageBreak/>
        <w:t>Evaluation methodology:</w:t>
      </w:r>
      <w:r>
        <w:t xml:space="preserve"> accuracy, sensitivity, specificity, precision, recall, F1-score, area under the receiver operating characteristic curve (ROC-AUC), confidence intervals, and other reported metrics.</w:t>
      </w:r>
    </w:p>
    <w:p w:rsidR="00B57F10" w:rsidRDefault="00B57F10" w:rsidP="00B57F10">
      <w:pPr>
        <w:pStyle w:val="NormalWeb"/>
        <w:numPr>
          <w:ilvl w:val="0"/>
          <w:numId w:val="2"/>
        </w:numPr>
      </w:pPr>
      <w:r>
        <w:rPr>
          <w:rStyle w:val="Strong"/>
        </w:rPr>
        <w:t>Validation design:</w:t>
      </w:r>
      <w:r>
        <w:t xml:space="preserve"> internal or external testing, cross-validation, patient-level or image-level splitting when specified, cross-dataset evaluation, and prospective or clinical validation where applicable.</w:t>
      </w:r>
    </w:p>
    <w:p w:rsidR="00B57F10" w:rsidRDefault="00B57F10" w:rsidP="00B57F10">
      <w:pPr>
        <w:pStyle w:val="NormalWeb"/>
        <w:numPr>
          <w:ilvl w:val="0"/>
          <w:numId w:val="2"/>
        </w:numPr>
      </w:pPr>
      <w:proofErr w:type="spellStart"/>
      <w:r>
        <w:rPr>
          <w:rStyle w:val="Strong"/>
        </w:rPr>
        <w:t>Explainability</w:t>
      </w:r>
      <w:proofErr w:type="spellEnd"/>
      <w:r>
        <w:rPr>
          <w:rStyle w:val="Strong"/>
        </w:rPr>
        <w:t xml:space="preserve"> and interpretability:</w:t>
      </w:r>
      <w:r>
        <w:t xml:space="preserve"> use of Grad-CAM, saliency maps, feature attribution, segmentation visualizations, or other explanation techniques, together with any evaluation of their reliability.</w:t>
      </w:r>
    </w:p>
    <w:p w:rsidR="00B57F10" w:rsidRDefault="00B57F10" w:rsidP="00B57F10">
      <w:pPr>
        <w:pStyle w:val="NormalWeb"/>
        <w:numPr>
          <w:ilvl w:val="0"/>
          <w:numId w:val="2"/>
        </w:numPr>
      </w:pPr>
      <w:r>
        <w:rPr>
          <w:rStyle w:val="Strong"/>
        </w:rPr>
        <w:t>Limitations and reproducibility:</w:t>
      </w:r>
      <w:r>
        <w:t xml:space="preserve"> class imbalance, small or homogeneous datasets, potential data leakage, missing methodological details, code availability, and stated limitations.</w:t>
      </w:r>
    </w:p>
    <w:p w:rsidR="00B57F10" w:rsidRDefault="00B57F10" w:rsidP="00B57F10">
      <w:pPr>
        <w:pStyle w:val="NormalWeb"/>
      </w:pPr>
      <w:proofErr w:type="gramStart"/>
      <w:r>
        <w:rPr>
          <w:rStyle w:val="Strong"/>
        </w:rPr>
        <w:t>Table 3.2.</w:t>
      </w:r>
      <w:proofErr w:type="gramEnd"/>
      <w:r>
        <w:rPr>
          <w:rStyle w:val="Strong"/>
        </w:rPr>
        <w:t xml:space="preserve"> Data-extraction framework for the included studies</w:t>
      </w:r>
    </w:p>
    <w:tbl>
      <w:tblPr>
        <w:tblStyle w:val="TableGrid"/>
        <w:tblW w:w="0" w:type="auto"/>
        <w:tblLook w:val="04A0"/>
      </w:tblPr>
      <w:tblGrid>
        <w:gridCol w:w="2081"/>
        <w:gridCol w:w="3826"/>
        <w:gridCol w:w="3669"/>
      </w:tblGrid>
      <w:tr w:rsidR="00B57F10" w:rsidTr="00BD7FD5">
        <w:tc>
          <w:tcPr>
            <w:tcW w:w="0" w:type="auto"/>
            <w:hideMark/>
          </w:tcPr>
          <w:p w:rsidR="00B57F10" w:rsidRDefault="00B57F10" w:rsidP="00BD7FD5">
            <w:pPr>
              <w:jc w:val="center"/>
              <w:rPr>
                <w:b/>
                <w:bCs/>
                <w:sz w:val="24"/>
                <w:szCs w:val="24"/>
              </w:rPr>
            </w:pPr>
            <w:r>
              <w:rPr>
                <w:b/>
                <w:bCs/>
              </w:rPr>
              <w:t>Data category</w:t>
            </w:r>
          </w:p>
        </w:tc>
        <w:tc>
          <w:tcPr>
            <w:tcW w:w="0" w:type="auto"/>
            <w:hideMark/>
          </w:tcPr>
          <w:p w:rsidR="00B57F10" w:rsidRDefault="00B57F10" w:rsidP="00BD7FD5">
            <w:pPr>
              <w:jc w:val="center"/>
              <w:rPr>
                <w:b/>
                <w:bCs/>
                <w:sz w:val="24"/>
                <w:szCs w:val="24"/>
              </w:rPr>
            </w:pPr>
            <w:r>
              <w:rPr>
                <w:b/>
                <w:bCs/>
              </w:rPr>
              <w:t>Fields to extract</w:t>
            </w:r>
          </w:p>
        </w:tc>
        <w:tc>
          <w:tcPr>
            <w:tcW w:w="0" w:type="auto"/>
            <w:hideMark/>
          </w:tcPr>
          <w:p w:rsidR="00B57F10" w:rsidRDefault="00B57F10" w:rsidP="00BD7FD5">
            <w:pPr>
              <w:jc w:val="center"/>
              <w:rPr>
                <w:b/>
                <w:bCs/>
                <w:sz w:val="24"/>
                <w:szCs w:val="24"/>
              </w:rPr>
            </w:pPr>
            <w:r>
              <w:rPr>
                <w:b/>
                <w:bCs/>
              </w:rPr>
              <w:t>Reporting rule</w:t>
            </w:r>
          </w:p>
        </w:tc>
      </w:tr>
      <w:tr w:rsidR="00B57F10" w:rsidTr="00BD7FD5">
        <w:tc>
          <w:tcPr>
            <w:tcW w:w="0" w:type="auto"/>
            <w:hideMark/>
          </w:tcPr>
          <w:p w:rsidR="00B57F10" w:rsidRDefault="00B57F10" w:rsidP="00BD7FD5">
            <w:pPr>
              <w:jc w:val="center"/>
              <w:rPr>
                <w:sz w:val="24"/>
                <w:szCs w:val="24"/>
              </w:rPr>
            </w:pPr>
            <w:r>
              <w:t>Bibliography</w:t>
            </w:r>
          </w:p>
        </w:tc>
        <w:tc>
          <w:tcPr>
            <w:tcW w:w="0" w:type="auto"/>
            <w:hideMark/>
          </w:tcPr>
          <w:p w:rsidR="00B57F10" w:rsidRDefault="00B57F10" w:rsidP="00BD7FD5">
            <w:pPr>
              <w:jc w:val="center"/>
              <w:rPr>
                <w:sz w:val="24"/>
                <w:szCs w:val="24"/>
              </w:rPr>
            </w:pPr>
            <w:r>
              <w:t>Title, authors, year, publication, DOI</w:t>
            </w:r>
          </w:p>
        </w:tc>
        <w:tc>
          <w:tcPr>
            <w:tcW w:w="0" w:type="auto"/>
            <w:hideMark/>
          </w:tcPr>
          <w:p w:rsidR="00B57F10" w:rsidRDefault="00B57F10" w:rsidP="00BD7FD5">
            <w:pPr>
              <w:jc w:val="center"/>
              <w:rPr>
                <w:sz w:val="24"/>
                <w:szCs w:val="24"/>
              </w:rPr>
            </w:pPr>
            <w:r>
              <w:t>Verify against the original record</w:t>
            </w:r>
          </w:p>
        </w:tc>
      </w:tr>
      <w:tr w:rsidR="00B57F10" w:rsidTr="00BD7FD5">
        <w:tc>
          <w:tcPr>
            <w:tcW w:w="0" w:type="auto"/>
            <w:hideMark/>
          </w:tcPr>
          <w:p w:rsidR="00B57F10" w:rsidRDefault="00B57F10" w:rsidP="00BD7FD5">
            <w:pPr>
              <w:jc w:val="center"/>
              <w:rPr>
                <w:sz w:val="24"/>
                <w:szCs w:val="24"/>
              </w:rPr>
            </w:pPr>
            <w:r>
              <w:t>Objective and contribution</w:t>
            </w:r>
          </w:p>
        </w:tc>
        <w:tc>
          <w:tcPr>
            <w:tcW w:w="0" w:type="auto"/>
            <w:hideMark/>
          </w:tcPr>
          <w:p w:rsidR="00B57F10" w:rsidRDefault="00B57F10" w:rsidP="00BD7FD5">
            <w:pPr>
              <w:jc w:val="center"/>
              <w:rPr>
                <w:sz w:val="24"/>
                <w:szCs w:val="24"/>
              </w:rPr>
            </w:pPr>
            <w:r>
              <w:t>Problem, core idea, proposed solution, main contribution</w:t>
            </w:r>
          </w:p>
        </w:tc>
        <w:tc>
          <w:tcPr>
            <w:tcW w:w="0" w:type="auto"/>
            <w:hideMark/>
          </w:tcPr>
          <w:p w:rsidR="00B57F10" w:rsidRDefault="00B57F10" w:rsidP="00BD7FD5">
            <w:pPr>
              <w:jc w:val="center"/>
              <w:rPr>
                <w:sz w:val="24"/>
                <w:szCs w:val="24"/>
              </w:rPr>
            </w:pPr>
            <w:r>
              <w:t>Summarize the authors' actual claims</w:t>
            </w:r>
          </w:p>
        </w:tc>
      </w:tr>
      <w:tr w:rsidR="00B57F10" w:rsidTr="00BD7FD5">
        <w:tc>
          <w:tcPr>
            <w:tcW w:w="0" w:type="auto"/>
            <w:hideMark/>
          </w:tcPr>
          <w:p w:rsidR="00B57F10" w:rsidRDefault="00B57F10" w:rsidP="00BD7FD5">
            <w:pPr>
              <w:jc w:val="center"/>
              <w:rPr>
                <w:sz w:val="24"/>
                <w:szCs w:val="24"/>
              </w:rPr>
            </w:pPr>
            <w:r>
              <w:t>Dataset</w:t>
            </w:r>
          </w:p>
        </w:tc>
        <w:tc>
          <w:tcPr>
            <w:tcW w:w="0" w:type="auto"/>
            <w:hideMark/>
          </w:tcPr>
          <w:p w:rsidR="00B57F10" w:rsidRDefault="00B57F10" w:rsidP="00BD7FD5">
            <w:pPr>
              <w:jc w:val="center"/>
              <w:rPr>
                <w:sz w:val="24"/>
                <w:szCs w:val="24"/>
              </w:rPr>
            </w:pPr>
            <w:r>
              <w:t>Name, size, class counts, public/private status</w:t>
            </w:r>
          </w:p>
        </w:tc>
        <w:tc>
          <w:tcPr>
            <w:tcW w:w="0" w:type="auto"/>
            <w:hideMark/>
          </w:tcPr>
          <w:p w:rsidR="00B57F10" w:rsidRDefault="00B57F10" w:rsidP="00BD7FD5">
            <w:pPr>
              <w:jc w:val="center"/>
              <w:rPr>
                <w:sz w:val="24"/>
                <w:szCs w:val="24"/>
              </w:rPr>
            </w:pPr>
            <w:r>
              <w:t>Record the exact reported unit: images, eyes, or patients</w:t>
            </w:r>
          </w:p>
        </w:tc>
      </w:tr>
      <w:tr w:rsidR="00B57F10" w:rsidTr="00BD7FD5">
        <w:tc>
          <w:tcPr>
            <w:tcW w:w="0" w:type="auto"/>
            <w:hideMark/>
          </w:tcPr>
          <w:p w:rsidR="00B57F10" w:rsidRDefault="00B57F10" w:rsidP="00BD7FD5">
            <w:pPr>
              <w:jc w:val="center"/>
              <w:rPr>
                <w:sz w:val="24"/>
                <w:szCs w:val="24"/>
              </w:rPr>
            </w:pPr>
            <w:r>
              <w:t>Model</w:t>
            </w:r>
          </w:p>
        </w:tc>
        <w:tc>
          <w:tcPr>
            <w:tcW w:w="0" w:type="auto"/>
            <w:hideMark/>
          </w:tcPr>
          <w:p w:rsidR="00B57F10" w:rsidRDefault="00B57F10" w:rsidP="00BD7FD5">
            <w:pPr>
              <w:jc w:val="center"/>
              <w:rPr>
                <w:sz w:val="24"/>
                <w:szCs w:val="24"/>
              </w:rPr>
            </w:pPr>
            <w:r>
              <w:t>Architecture, backbone, classifier, ensemble strategy</w:t>
            </w:r>
          </w:p>
        </w:tc>
        <w:tc>
          <w:tcPr>
            <w:tcW w:w="0" w:type="auto"/>
            <w:hideMark/>
          </w:tcPr>
          <w:p w:rsidR="00B57F10" w:rsidRDefault="00B57F10" w:rsidP="00BD7FD5">
            <w:pPr>
              <w:jc w:val="center"/>
              <w:rPr>
                <w:sz w:val="24"/>
                <w:szCs w:val="24"/>
              </w:rPr>
            </w:pPr>
            <w:r>
              <w:t>Distinguish proposed methods from comparison baselines</w:t>
            </w:r>
          </w:p>
        </w:tc>
      </w:tr>
      <w:tr w:rsidR="00B57F10" w:rsidTr="00BD7FD5">
        <w:tc>
          <w:tcPr>
            <w:tcW w:w="0" w:type="auto"/>
            <w:hideMark/>
          </w:tcPr>
          <w:p w:rsidR="00B57F10" w:rsidRDefault="00B57F10" w:rsidP="00BD7FD5">
            <w:pPr>
              <w:jc w:val="center"/>
              <w:rPr>
                <w:sz w:val="24"/>
                <w:szCs w:val="24"/>
              </w:rPr>
            </w:pPr>
            <w:r>
              <w:t>Experimental setup</w:t>
            </w:r>
          </w:p>
        </w:tc>
        <w:tc>
          <w:tcPr>
            <w:tcW w:w="0" w:type="auto"/>
            <w:hideMark/>
          </w:tcPr>
          <w:p w:rsidR="00B57F10" w:rsidRDefault="00B57F10" w:rsidP="00BD7FD5">
            <w:pPr>
              <w:jc w:val="center"/>
              <w:rPr>
                <w:sz w:val="24"/>
                <w:szCs w:val="24"/>
              </w:rPr>
            </w:pPr>
            <w:r>
              <w:t>Preprocessing, augmentation, split, validation method</w:t>
            </w:r>
          </w:p>
        </w:tc>
        <w:tc>
          <w:tcPr>
            <w:tcW w:w="0" w:type="auto"/>
            <w:hideMark/>
          </w:tcPr>
          <w:p w:rsidR="00B57F10" w:rsidRDefault="00B57F10" w:rsidP="00BD7FD5">
            <w:pPr>
              <w:jc w:val="center"/>
              <w:rPr>
                <w:sz w:val="24"/>
                <w:szCs w:val="24"/>
              </w:rPr>
            </w:pPr>
            <w:r>
              <w:t>Record only details supported by the source</w:t>
            </w:r>
          </w:p>
        </w:tc>
      </w:tr>
      <w:tr w:rsidR="00B57F10" w:rsidTr="00BD7FD5">
        <w:tc>
          <w:tcPr>
            <w:tcW w:w="0" w:type="auto"/>
            <w:hideMark/>
          </w:tcPr>
          <w:p w:rsidR="00B57F10" w:rsidRDefault="00B57F10" w:rsidP="00BD7FD5">
            <w:pPr>
              <w:jc w:val="center"/>
              <w:rPr>
                <w:sz w:val="24"/>
                <w:szCs w:val="24"/>
              </w:rPr>
            </w:pPr>
            <w:r>
              <w:t>Performance</w:t>
            </w:r>
          </w:p>
        </w:tc>
        <w:tc>
          <w:tcPr>
            <w:tcW w:w="0" w:type="auto"/>
            <w:hideMark/>
          </w:tcPr>
          <w:p w:rsidR="00B57F10" w:rsidRDefault="00B57F10" w:rsidP="00BD7FD5">
            <w:pPr>
              <w:jc w:val="center"/>
              <w:rPr>
                <w:sz w:val="24"/>
                <w:szCs w:val="24"/>
              </w:rPr>
            </w:pPr>
            <w:r>
              <w:t>Accuracy, sensitivity, specificity, precision, recall, F1, AUC</w:t>
            </w:r>
          </w:p>
        </w:tc>
        <w:tc>
          <w:tcPr>
            <w:tcW w:w="0" w:type="auto"/>
            <w:hideMark/>
          </w:tcPr>
          <w:p w:rsidR="00B57F10" w:rsidRDefault="00B57F10" w:rsidP="00BD7FD5">
            <w:pPr>
              <w:jc w:val="center"/>
              <w:rPr>
                <w:sz w:val="24"/>
                <w:szCs w:val="24"/>
              </w:rPr>
            </w:pPr>
            <w:r>
              <w:t>Preserve metric definitions and evaluation setting</w:t>
            </w:r>
          </w:p>
        </w:tc>
      </w:tr>
      <w:tr w:rsidR="00B57F10" w:rsidTr="00BD7FD5">
        <w:tc>
          <w:tcPr>
            <w:tcW w:w="0" w:type="auto"/>
            <w:hideMark/>
          </w:tcPr>
          <w:p w:rsidR="00B57F10" w:rsidRDefault="00B57F10" w:rsidP="00BD7FD5">
            <w:pPr>
              <w:jc w:val="center"/>
              <w:rPr>
                <w:sz w:val="24"/>
                <w:szCs w:val="24"/>
              </w:rPr>
            </w:pPr>
            <w:r>
              <w:t>Generalization</w:t>
            </w:r>
          </w:p>
        </w:tc>
        <w:tc>
          <w:tcPr>
            <w:tcW w:w="0" w:type="auto"/>
            <w:hideMark/>
          </w:tcPr>
          <w:p w:rsidR="00B57F10" w:rsidRDefault="00B57F10" w:rsidP="00BD7FD5">
            <w:pPr>
              <w:jc w:val="center"/>
              <w:rPr>
                <w:sz w:val="24"/>
                <w:szCs w:val="24"/>
              </w:rPr>
            </w:pPr>
            <w:r>
              <w:t>External datasets, cross-dataset testing, population diversity</w:t>
            </w:r>
          </w:p>
        </w:tc>
        <w:tc>
          <w:tcPr>
            <w:tcW w:w="0" w:type="auto"/>
            <w:hideMark/>
          </w:tcPr>
          <w:p w:rsidR="00B57F10" w:rsidRDefault="00B57F10" w:rsidP="00BD7FD5">
            <w:pPr>
              <w:jc w:val="center"/>
              <w:rPr>
                <w:sz w:val="24"/>
                <w:szCs w:val="24"/>
              </w:rPr>
            </w:pPr>
            <w:r>
              <w:t>Distinguish external validation from random held-out testing</w:t>
            </w:r>
          </w:p>
        </w:tc>
      </w:tr>
      <w:tr w:rsidR="00B57F10" w:rsidTr="00BD7FD5">
        <w:tc>
          <w:tcPr>
            <w:tcW w:w="0" w:type="auto"/>
            <w:hideMark/>
          </w:tcPr>
          <w:p w:rsidR="00B57F10" w:rsidRDefault="00B57F10" w:rsidP="00BD7FD5">
            <w:pPr>
              <w:jc w:val="center"/>
              <w:rPr>
                <w:sz w:val="24"/>
                <w:szCs w:val="24"/>
              </w:rPr>
            </w:pPr>
            <w:proofErr w:type="spellStart"/>
            <w:r>
              <w:t>Explainability</w:t>
            </w:r>
            <w:proofErr w:type="spellEnd"/>
          </w:p>
        </w:tc>
        <w:tc>
          <w:tcPr>
            <w:tcW w:w="0" w:type="auto"/>
            <w:hideMark/>
          </w:tcPr>
          <w:p w:rsidR="00B57F10" w:rsidRDefault="00B57F10" w:rsidP="00BD7FD5">
            <w:pPr>
              <w:jc w:val="center"/>
              <w:rPr>
                <w:sz w:val="24"/>
                <w:szCs w:val="24"/>
              </w:rPr>
            </w:pPr>
            <w:r>
              <w:t>XAI method, visualization, quantitative assessment</w:t>
            </w:r>
          </w:p>
        </w:tc>
        <w:tc>
          <w:tcPr>
            <w:tcW w:w="0" w:type="auto"/>
            <w:hideMark/>
          </w:tcPr>
          <w:p w:rsidR="00B57F10" w:rsidRDefault="00B57F10" w:rsidP="00BD7FD5">
            <w:pPr>
              <w:jc w:val="center"/>
              <w:rPr>
                <w:sz w:val="24"/>
                <w:szCs w:val="24"/>
              </w:rPr>
            </w:pPr>
            <w:r>
              <w:t>Separate visual examples from formal evaluation</w:t>
            </w:r>
          </w:p>
        </w:tc>
      </w:tr>
      <w:tr w:rsidR="00B57F10" w:rsidTr="00BD7FD5">
        <w:tc>
          <w:tcPr>
            <w:tcW w:w="0" w:type="auto"/>
            <w:hideMark/>
          </w:tcPr>
          <w:p w:rsidR="00B57F10" w:rsidRDefault="00B57F10" w:rsidP="00BD7FD5">
            <w:pPr>
              <w:jc w:val="center"/>
              <w:rPr>
                <w:sz w:val="24"/>
                <w:szCs w:val="24"/>
              </w:rPr>
            </w:pPr>
            <w:r>
              <w:t>Reproducibility</w:t>
            </w:r>
          </w:p>
        </w:tc>
        <w:tc>
          <w:tcPr>
            <w:tcW w:w="0" w:type="auto"/>
            <w:hideMark/>
          </w:tcPr>
          <w:p w:rsidR="00B57F10" w:rsidRDefault="00B57F10" w:rsidP="00BD7FD5">
            <w:pPr>
              <w:jc w:val="center"/>
              <w:rPr>
                <w:sz w:val="24"/>
                <w:szCs w:val="24"/>
              </w:rPr>
            </w:pPr>
            <w:r>
              <w:t>Code, weights, dataset access, implementation details</w:t>
            </w:r>
          </w:p>
        </w:tc>
        <w:tc>
          <w:tcPr>
            <w:tcW w:w="0" w:type="auto"/>
            <w:hideMark/>
          </w:tcPr>
          <w:p w:rsidR="00B57F10" w:rsidRDefault="00B57F10" w:rsidP="00BD7FD5">
            <w:pPr>
              <w:jc w:val="center"/>
              <w:rPr>
                <w:sz w:val="24"/>
                <w:szCs w:val="24"/>
              </w:rPr>
            </w:pPr>
            <w:r>
              <w:t>Provide verified availability information</w:t>
            </w:r>
          </w:p>
        </w:tc>
      </w:tr>
      <w:tr w:rsidR="00B57F10" w:rsidTr="00BD7FD5">
        <w:tc>
          <w:tcPr>
            <w:tcW w:w="0" w:type="auto"/>
            <w:hideMark/>
          </w:tcPr>
          <w:p w:rsidR="00B57F10" w:rsidRDefault="00B57F10" w:rsidP="00BD7FD5">
            <w:pPr>
              <w:jc w:val="center"/>
              <w:rPr>
                <w:sz w:val="24"/>
                <w:szCs w:val="24"/>
              </w:rPr>
            </w:pPr>
            <w:r>
              <w:t>Limitations</w:t>
            </w:r>
          </w:p>
        </w:tc>
        <w:tc>
          <w:tcPr>
            <w:tcW w:w="0" w:type="auto"/>
            <w:hideMark/>
          </w:tcPr>
          <w:p w:rsidR="00B57F10" w:rsidRDefault="00B57F10" w:rsidP="00BD7FD5">
            <w:pPr>
              <w:jc w:val="center"/>
              <w:rPr>
                <w:sz w:val="24"/>
                <w:szCs w:val="24"/>
              </w:rPr>
            </w:pPr>
            <w:r>
              <w:t>Authors' stated limitations and independently identified concerns</w:t>
            </w:r>
          </w:p>
        </w:tc>
        <w:tc>
          <w:tcPr>
            <w:tcW w:w="0" w:type="auto"/>
            <w:hideMark/>
          </w:tcPr>
          <w:p w:rsidR="00B57F10" w:rsidRDefault="00B57F10" w:rsidP="00BD7FD5">
            <w:pPr>
              <w:jc w:val="center"/>
              <w:rPr>
                <w:sz w:val="24"/>
                <w:szCs w:val="24"/>
              </w:rPr>
            </w:pPr>
            <w:r>
              <w:t>Clearly distinguish reported limitations from review-based critique</w:t>
            </w:r>
          </w:p>
        </w:tc>
      </w:tr>
    </w:tbl>
    <w:p w:rsidR="00B57F10" w:rsidRDefault="00B57F10" w:rsidP="00B57F10">
      <w:pPr>
        <w:pStyle w:val="NormalWeb"/>
      </w:pPr>
      <w:r>
        <w:rPr>
          <w:rStyle w:val="Emphasis"/>
        </w:rPr>
        <w:t>Note:</w:t>
      </w:r>
      <w:r>
        <w:t xml:space="preserve"> When a study does not provide a requested value, record “NR” (not reported). Use “Unclear” when the available evidence does not establish the </w:t>
      </w:r>
      <w:proofErr w:type="gramStart"/>
      <w:r>
        <w:t>answer,</w:t>
      </w:r>
      <w:proofErr w:type="gramEnd"/>
      <w:r>
        <w:t xml:space="preserve"> and “NA” only when a field is genuinely not applicable. Missing values must not be replaced with estimates derived from unrelated papers or datasets.</w:t>
      </w:r>
    </w:p>
    <w:p w:rsidR="00B57F10" w:rsidRDefault="00B57F10" w:rsidP="00B57F10">
      <w:pPr>
        <w:pStyle w:val="Heading2"/>
      </w:pPr>
      <w:r>
        <w:t>3.6 Methodological Appraisal and Comparability of Results</w:t>
      </w:r>
    </w:p>
    <w:p w:rsidR="00B57F10" w:rsidRDefault="00B57F10" w:rsidP="00B57F10">
      <w:pPr>
        <w:pStyle w:val="NormalWeb"/>
      </w:pPr>
      <w:r>
        <w:t xml:space="preserve">The included studies should be assessed for factors that influence the credibility and comparability of their findings. Particular attention should be paid to dataset size and diversity, class imbalance, the independence of training and testing samples, possible overlap between </w:t>
      </w:r>
      <w:r>
        <w:lastRenderedPageBreak/>
        <w:t>datasets, the choice of reference standard, and whether the evaluation procedure reflects the intended screening or diagnostic setting.</w:t>
      </w:r>
    </w:p>
    <w:p w:rsidR="00B57F10" w:rsidRDefault="00B57F10" w:rsidP="00B57F10">
      <w:pPr>
        <w:pStyle w:val="NormalWeb"/>
      </w:pPr>
      <w:r>
        <w:t>A reported accuracy value should not be interpreted in isolation. For example, a model evaluated on a balanced test set may produce results that are not directly comparable with those from an imbalanced clinical dataset. Similarly, a random image-level split may provide an overly optimistic estimate if images from the same patient can appear in both training and testing sets. Such concerns should be raised only where the reported methods provide a basis for doing so; unreported information should be identified as a limitation in reporting rather than assumed to indicate misconduct or a confirmed methodological error.</w:t>
      </w:r>
    </w:p>
    <w:p w:rsidR="00B57F10" w:rsidRDefault="00B57F10" w:rsidP="00B57F10">
      <w:pPr>
        <w:pStyle w:val="NormalWeb"/>
      </w:pPr>
      <w:r>
        <w:t>Performance metrics should be extracted with their corresponding test dataset and evaluation protocol. Sensitivity and specificity are especially relevant when examining screening applications because false-negative and false-positive predictions have different clinical implications. F1-score may provide useful information when class imbalance is present, while ROC-AUC summarizes discrimination across decision thresholds. Nevertheless, no single metric is sufficient to establish clinical readiness.</w:t>
      </w:r>
    </w:p>
    <w:p w:rsidR="00B57F10" w:rsidRDefault="00B57F10" w:rsidP="00B57F10">
      <w:pPr>
        <w:pStyle w:val="NormalWeb"/>
      </w:pPr>
      <w:r>
        <w:t xml:space="preserve">The review should also distinguish between internal validation, external validation, and prospective evaluation. </w:t>
      </w:r>
      <w:proofErr w:type="gramStart"/>
      <w:r>
        <w:t>Internal testing measures performance under the study's own experimental conditions, whereas external validation provides stronger evidence of transfer to a different dataset or setting.</w:t>
      </w:r>
      <w:proofErr w:type="gramEnd"/>
      <w:r>
        <w:t xml:space="preserve"> Prospective clinical evaluation addresses additional considerations related to workflow, population characteristics, and real-world use. Studies should therefore be compared within the limits of their evaluation designs rather than ranked solely by their highest reported metric.</w:t>
      </w:r>
    </w:p>
    <w:p w:rsidR="00B57F10" w:rsidRDefault="00B57F10" w:rsidP="00B57F10">
      <w:pPr>
        <w:pStyle w:val="Heading2"/>
      </w:pPr>
      <w:r>
        <w:t>3.7 Evidence Synthesis</w:t>
      </w:r>
    </w:p>
    <w:p w:rsidR="00B57F10" w:rsidRDefault="00B57F10" w:rsidP="00B57F10">
      <w:pPr>
        <w:pStyle w:val="NormalWeb"/>
      </w:pPr>
      <w:r>
        <w:t>Because the selected studies may differ substantially in datasets, diagnostic definitions, preprocessing procedures, model architectures, and validation protocols, the primary synthesis should be structured and narrative. Quantitative results should be grouped by relevant characteristics, such as model family, dataset, evaluation design, and task type. Direct comparisons should be made only when the underlying conditions are sufficiently similar.</w:t>
      </w:r>
    </w:p>
    <w:p w:rsidR="00B57F10" w:rsidRDefault="00B57F10" w:rsidP="00B57F10">
      <w:pPr>
        <w:pStyle w:val="NormalWeb"/>
      </w:pPr>
      <w:r>
        <w:t xml:space="preserve">The synthesis should examine patterns across conventional machine learning, CNN-based systems, transfer learning, transformer-based models, hybrid architectures, and ensemble approaches. Separate attention should be given to segmentation-assisted methods, multimodal systems that incorporate clinical information, and </w:t>
      </w:r>
      <w:proofErr w:type="spellStart"/>
      <w:r>
        <w:t>explainability</w:t>
      </w:r>
      <w:proofErr w:type="spellEnd"/>
      <w:r>
        <w:t xml:space="preserve"> techniques. </w:t>
      </w:r>
      <w:proofErr w:type="gramStart"/>
      <w:r>
        <w:t>Where multiple studies report results on the same dataset, their findings should be interpreted in the context of differences in data splits, preprocessing, reference standards, and experimental design.</w:t>
      </w:r>
      <w:proofErr w:type="gramEnd"/>
    </w:p>
    <w:p w:rsidR="00B57F10" w:rsidRDefault="00B57F10" w:rsidP="00B57F10">
      <w:pPr>
        <w:pStyle w:val="NormalWeb"/>
      </w:pPr>
      <w:r>
        <w:t>A pooled meta-analysis should not be undertaken merely because multiple studies report accuracy or AUC. Such an analysis would require sufficiently comparable outcomes and adequate statistical information. If those conditions are not met, a transparent narrative synthesis and descriptive summary tables are more appropriate.</w:t>
      </w:r>
    </w:p>
    <w:p w:rsidR="00B57F10" w:rsidRDefault="00B57F10" w:rsidP="00B57F10">
      <w:pPr>
        <w:pStyle w:val="NormalWeb"/>
      </w:pPr>
      <w:r>
        <w:lastRenderedPageBreak/>
        <w:t xml:space="preserve">The evidence synthesis should ultimately identify recurring methodological strengths, sources of uncertainty, gaps in external validation, limitations in dataset diversity, and opportunities for more reproducible and clinically meaningful evaluation. These findings will provide the basis for the subsequent analysis of model architectures, datasets, evaluation practices, and </w:t>
      </w:r>
      <w:proofErr w:type="spellStart"/>
      <w:r>
        <w:t>explainability</w:t>
      </w:r>
      <w:proofErr w:type="spellEnd"/>
      <w:r>
        <w:t xml:space="preserve"> in glaucoma detection.</w:t>
      </w:r>
    </w:p>
    <w:p w:rsidR="00B57F10" w:rsidRDefault="00B57F10" w:rsidP="00B57F10">
      <w:pPr>
        <w:pStyle w:val="Heading2"/>
      </w:pPr>
      <w:r>
        <w:t>3.8 Methodological Transparency</w:t>
      </w:r>
    </w:p>
    <w:p w:rsidR="00B57F10" w:rsidRDefault="00B57F10" w:rsidP="00B57F10">
      <w:pPr>
        <w:pStyle w:val="NormalWeb"/>
      </w:pPr>
      <w:r>
        <w:t>To support reproducibility, the final review should preserve the database-specific search strings, search dates, eligibility criteria, screening decisions, exclusion reasons, and data-extraction records. The final report should also state the number of reviewers involved in screening and extraction, how disagreements were handled, and whether any changes were made to the review protocol after screening began.</w:t>
      </w:r>
    </w:p>
    <w:p w:rsidR="00B57F10" w:rsidRDefault="00B57F10" w:rsidP="00B57F10">
      <w:pPr>
        <w:pStyle w:val="NormalWeb"/>
      </w:pPr>
      <w:r>
        <w:t>The literature spreadsheet used to collect paper-level information can serve as the starting point for data charting, provided that its entries are checked against the original publications and that duplicate records are reconciled. The spreadsheet should be treated as an extraction aid rather than as independent evidence for reported model performance or dataset characteristics.</w:t>
      </w:r>
    </w:p>
    <w:p w:rsidR="00B57F10" w:rsidRDefault="00B57F10" w:rsidP="00B57F10">
      <w:pPr>
        <w:pStyle w:val="NormalWeb"/>
      </w:pPr>
      <w:r>
        <w:t xml:space="preserve">In summary, this methodology establishes a transparent framework for identifying and comparing research on deep learning-based glaucoma detection from </w:t>
      </w:r>
      <w:proofErr w:type="spellStart"/>
      <w:r>
        <w:t>fundus</w:t>
      </w:r>
      <w:proofErr w:type="spellEnd"/>
      <w:r>
        <w:t xml:space="preserve"> images. Its emphasis on traceable data extraction, careful interpretation of performance metrics, validation quality, and explicit treatment of missing information is intended to make the resulting synthesis more reliable and useful for future research.</w:t>
      </w:r>
    </w:p>
    <w:p w:rsidR="00B57F10" w:rsidRDefault="00B57F10" w:rsidP="00B57F10">
      <w:pPr>
        <w:pStyle w:val="Heading2"/>
      </w:pPr>
      <w:r>
        <w:t>References to add for this section</w:t>
      </w:r>
    </w:p>
    <w:p w:rsidR="00B57F10" w:rsidRDefault="00B57F10" w:rsidP="00B57F10">
      <w:pPr>
        <w:pStyle w:val="NormalWeb"/>
      </w:pPr>
      <w:r>
        <w:t>These are the new references used in Section 3. They should be checked against the manuscript’s global reference list before final submission, because earlier sections have a numbering inconsistency that still needs to be reconciled.</w:t>
      </w:r>
    </w:p>
    <w:p w:rsidR="00B57F10" w:rsidRDefault="00B57F10" w:rsidP="00B57F10">
      <w:pPr>
        <w:pStyle w:val="NormalWeb"/>
      </w:pPr>
      <w:r>
        <w:t xml:space="preserve">[13] Page, M. J., McKenzie, J. E., </w:t>
      </w:r>
      <w:proofErr w:type="spellStart"/>
      <w:r>
        <w:t>Bossuyt</w:t>
      </w:r>
      <w:proofErr w:type="spellEnd"/>
      <w:r>
        <w:t xml:space="preserve">, P. M., et al. (2021). The PRISMA 2020 statement: An updated guideline for reporting systematic reviews. </w:t>
      </w:r>
      <w:proofErr w:type="gramStart"/>
      <w:r>
        <w:t>BMJ, 372, n71.</w:t>
      </w:r>
      <w:proofErr w:type="gramEnd"/>
      <w:r>
        <w:t xml:space="preserve"> </w:t>
      </w:r>
      <w:hyperlink r:id="rId17" w:history="1">
        <w:r>
          <w:rPr>
            <w:rStyle w:val="Hyperlink"/>
          </w:rPr>
          <w:t>https://doi.org/10.1136/bmj.n71</w:t>
        </w:r>
      </w:hyperlink>
      <w:r>
        <w:t xml:space="preserve">. </w:t>
      </w:r>
    </w:p>
    <w:p w:rsidR="00B57F10" w:rsidRDefault="00B57F10" w:rsidP="00B57F10">
      <w:r>
        <w:t>The BMJ+1</w:t>
      </w:r>
    </w:p>
    <w:p w:rsidR="00B57F10" w:rsidRDefault="00B57F10" w:rsidP="00B57F10">
      <w:pPr>
        <w:pStyle w:val="Heading2"/>
      </w:pPr>
      <w:r>
        <w:t>Placement and review audit</w:t>
      </w:r>
    </w:p>
    <w:p w:rsidR="00B57F10" w:rsidRDefault="00B57F10" w:rsidP="00B57F10">
      <w:pPr>
        <w:pStyle w:val="NormalWeb"/>
        <w:numPr>
          <w:ilvl w:val="0"/>
          <w:numId w:val="3"/>
        </w:numPr>
      </w:pPr>
      <w:r>
        <w:t>Table 3.1: Place in Section 3.3, immediately after the paragraph introducing eligibility criteria. It is already included in the manuscript draft above.</w:t>
      </w:r>
    </w:p>
    <w:p w:rsidR="00B57F10" w:rsidRDefault="00B57F10" w:rsidP="00B57F10">
      <w:pPr>
        <w:pStyle w:val="NormalWeb"/>
        <w:numPr>
          <w:ilvl w:val="0"/>
          <w:numId w:val="3"/>
        </w:numPr>
      </w:pPr>
      <w:r>
        <w:t>Figure 3.1: Place in Section 3.4, exactly at the marked location. The current diagram is a working schematic; replace it with the final PRISMA flow diagram after actual screening counts are available.</w:t>
      </w:r>
    </w:p>
    <w:p w:rsidR="00B57F10" w:rsidRDefault="00B57F10" w:rsidP="00B57F10">
      <w:pPr>
        <w:pStyle w:val="NormalWeb"/>
        <w:numPr>
          <w:ilvl w:val="0"/>
          <w:numId w:val="3"/>
        </w:numPr>
      </w:pPr>
      <w:r>
        <w:lastRenderedPageBreak/>
        <w:t>Table 3.2: Place in Section 3.5, immediately after the paragraph introducing the extraction form. It is already included above and defines the fields to extract from each paper.</w:t>
      </w:r>
    </w:p>
    <w:p w:rsidR="00B57F10" w:rsidRDefault="00B57F10" w:rsidP="00B57F10">
      <w:pPr>
        <w:pStyle w:val="NormalWeb"/>
        <w:numPr>
          <w:ilvl w:val="0"/>
          <w:numId w:val="3"/>
        </w:numPr>
      </w:pPr>
      <w:r>
        <w:t>Charts: No performance chart is necessary yet. It should be created after the study data have been verified; plotting incomplete or incomparable metrics now could mislead readers.</w:t>
      </w:r>
    </w:p>
    <w:p w:rsidR="00B57F10" w:rsidRDefault="00B57F10" w:rsidP="00B57F10">
      <w:pPr>
        <w:pStyle w:val="NormalWeb"/>
      </w:pPr>
      <w:r>
        <w:t xml:space="preserve">Citation audit: Section 3 introduces PRISMA 2020 as reference [13]. The citation and publication details are verified, but the global numbering needs reconciliation with Sections 1 and 2 before the manuscript is finalized. </w:t>
      </w:r>
    </w:p>
    <w:p w:rsidR="00B57F10" w:rsidRDefault="00B57F10" w:rsidP="00B57F10">
      <w:r>
        <w:t>The BMJ+1</w:t>
      </w:r>
    </w:p>
    <w:p w:rsidR="00B57F10" w:rsidRDefault="00B57F10" w:rsidP="00B57F10">
      <w:pPr>
        <w:pStyle w:val="NormalWeb"/>
      </w:pPr>
      <w:r>
        <w:t xml:space="preserve">Scope audit: The section covers the review’s search and screening process, data extraction, methodological appraisal, evaluation protocols, and synthesis. It remains aligned with the broad review title rather than limiting the paper to only </w:t>
      </w:r>
      <w:proofErr w:type="spellStart"/>
      <w:r>
        <w:t>ResNet</w:t>
      </w:r>
      <w:proofErr w:type="spellEnd"/>
      <w:r>
        <w:t xml:space="preserve">, </w:t>
      </w:r>
      <w:proofErr w:type="spellStart"/>
      <w:r>
        <w:t>EfficientNet</w:t>
      </w:r>
      <w:proofErr w:type="spellEnd"/>
      <w:r>
        <w:t>, Vision Transformers, or the architecture planned for your own project.</w:t>
      </w:r>
    </w:p>
    <w:p w:rsidR="00B57F10" w:rsidRDefault="00B57F10" w:rsidP="00B57F10">
      <w:pPr>
        <w:pStyle w:val="NormalWeb"/>
      </w:pPr>
      <w:proofErr w:type="gramStart"/>
      <w:r>
        <w:t>Before finalizing this section: the actual databases searched, dates, search limits, reviewer count, and study-selection counts must be documented.</w:t>
      </w:r>
      <w:proofErr w:type="gramEnd"/>
      <w:r>
        <w:t xml:space="preserve"> The proposed criteria and search string </w:t>
      </w:r>
      <w:proofErr w:type="gramStart"/>
      <w:r>
        <w:t>are</w:t>
      </w:r>
      <w:proofErr w:type="gramEnd"/>
      <w:r>
        <w:t xml:space="preserve"> a starting framework, not a claim that the review process has already been completed.</w:t>
      </w:r>
    </w:p>
    <w:p w:rsidR="00B57F10" w:rsidRDefault="00B57F10"/>
    <w:sectPr w:rsidR="00B57F10" w:rsidSect="00D40F7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5511F9"/>
    <w:multiLevelType w:val="multilevel"/>
    <w:tmpl w:val="26FA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8F16750"/>
    <w:multiLevelType w:val="multilevel"/>
    <w:tmpl w:val="8D4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9415D"/>
    <w:multiLevelType w:val="multilevel"/>
    <w:tmpl w:val="7F1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21D9D"/>
    <w:rsid w:val="00121D9D"/>
    <w:rsid w:val="001C1622"/>
    <w:rsid w:val="00312217"/>
    <w:rsid w:val="00466182"/>
    <w:rsid w:val="006275A2"/>
    <w:rsid w:val="008939ED"/>
    <w:rsid w:val="009E1561"/>
    <w:rsid w:val="00B57F10"/>
    <w:rsid w:val="00BD7FD5"/>
    <w:rsid w:val="00D06178"/>
    <w:rsid w:val="00D40F79"/>
    <w:rsid w:val="00FD6C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F79"/>
  </w:style>
  <w:style w:type="paragraph" w:styleId="Heading1">
    <w:name w:val="heading 1"/>
    <w:basedOn w:val="Normal"/>
    <w:link w:val="Heading1Char"/>
    <w:uiPriority w:val="9"/>
    <w:qFormat/>
    <w:rsid w:val="00121D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1D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1D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939E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D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1D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1D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21D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1D9D"/>
    <w:rPr>
      <w:b/>
      <w:bCs/>
    </w:rPr>
  </w:style>
  <w:style w:type="character" w:styleId="Hyperlink">
    <w:name w:val="Hyperlink"/>
    <w:basedOn w:val="DefaultParagraphFont"/>
    <w:uiPriority w:val="99"/>
    <w:semiHidden/>
    <w:unhideWhenUsed/>
    <w:rsid w:val="00121D9D"/>
    <w:rPr>
      <w:color w:val="0000FF"/>
      <w:u w:val="single"/>
    </w:rPr>
  </w:style>
  <w:style w:type="character" w:customStyle="1" w:styleId="Heading4Char">
    <w:name w:val="Heading 4 Char"/>
    <w:basedOn w:val="DefaultParagraphFont"/>
    <w:link w:val="Heading4"/>
    <w:uiPriority w:val="9"/>
    <w:semiHidden/>
    <w:rsid w:val="008939ED"/>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B57F10"/>
    <w:rPr>
      <w:rFonts w:ascii="Courier New" w:eastAsia="Times New Roman" w:hAnsi="Courier New" w:cs="Courier New"/>
      <w:sz w:val="20"/>
      <w:szCs w:val="20"/>
    </w:rPr>
  </w:style>
  <w:style w:type="character" w:styleId="Emphasis">
    <w:name w:val="Emphasis"/>
    <w:basedOn w:val="DefaultParagraphFont"/>
    <w:uiPriority w:val="20"/>
    <w:qFormat/>
    <w:rsid w:val="00B57F10"/>
    <w:rPr>
      <w:i/>
      <w:iCs/>
    </w:rPr>
  </w:style>
  <w:style w:type="paragraph" w:styleId="HTMLPreformatted">
    <w:name w:val="HTML Preformatted"/>
    <w:basedOn w:val="Normal"/>
    <w:link w:val="HTMLPreformattedChar"/>
    <w:uiPriority w:val="99"/>
    <w:semiHidden/>
    <w:unhideWhenUsed/>
    <w:rsid w:val="00B57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7F10"/>
    <w:rPr>
      <w:rFonts w:ascii="Courier New" w:eastAsia="Times New Roman" w:hAnsi="Courier New" w:cs="Courier New"/>
      <w:sz w:val="20"/>
      <w:szCs w:val="20"/>
    </w:rPr>
  </w:style>
  <w:style w:type="table" w:styleId="TableGrid">
    <w:name w:val="Table Grid"/>
    <w:basedOn w:val="TableNormal"/>
    <w:uiPriority w:val="59"/>
    <w:rsid w:val="00BD7F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8962030">
      <w:bodyDiv w:val="1"/>
      <w:marLeft w:val="0"/>
      <w:marRight w:val="0"/>
      <w:marTop w:val="0"/>
      <w:marBottom w:val="0"/>
      <w:divBdr>
        <w:top w:val="none" w:sz="0" w:space="0" w:color="auto"/>
        <w:left w:val="none" w:sz="0" w:space="0" w:color="auto"/>
        <w:bottom w:val="none" w:sz="0" w:space="0" w:color="auto"/>
        <w:right w:val="none" w:sz="0" w:space="0" w:color="auto"/>
      </w:divBdr>
      <w:divsChild>
        <w:div w:id="1625185787">
          <w:marLeft w:val="0"/>
          <w:marRight w:val="0"/>
          <w:marTop w:val="0"/>
          <w:marBottom w:val="0"/>
          <w:divBdr>
            <w:top w:val="none" w:sz="0" w:space="0" w:color="auto"/>
            <w:left w:val="none" w:sz="0" w:space="0" w:color="auto"/>
            <w:bottom w:val="none" w:sz="0" w:space="0" w:color="auto"/>
            <w:right w:val="none" w:sz="0" w:space="0" w:color="auto"/>
          </w:divBdr>
          <w:divsChild>
            <w:div w:id="2094155530">
              <w:marLeft w:val="0"/>
              <w:marRight w:val="0"/>
              <w:marTop w:val="0"/>
              <w:marBottom w:val="0"/>
              <w:divBdr>
                <w:top w:val="none" w:sz="0" w:space="0" w:color="auto"/>
                <w:left w:val="none" w:sz="0" w:space="0" w:color="auto"/>
                <w:bottom w:val="none" w:sz="0" w:space="0" w:color="auto"/>
                <w:right w:val="none" w:sz="0" w:space="0" w:color="auto"/>
              </w:divBdr>
              <w:divsChild>
                <w:div w:id="657616436">
                  <w:marLeft w:val="0"/>
                  <w:marRight w:val="0"/>
                  <w:marTop w:val="0"/>
                  <w:marBottom w:val="0"/>
                  <w:divBdr>
                    <w:top w:val="none" w:sz="0" w:space="0" w:color="auto"/>
                    <w:left w:val="none" w:sz="0" w:space="0" w:color="auto"/>
                    <w:bottom w:val="none" w:sz="0" w:space="0" w:color="auto"/>
                    <w:right w:val="none" w:sz="0" w:space="0" w:color="auto"/>
                  </w:divBdr>
                  <w:divsChild>
                    <w:div w:id="1208297126">
                      <w:marLeft w:val="0"/>
                      <w:marRight w:val="0"/>
                      <w:marTop w:val="0"/>
                      <w:marBottom w:val="0"/>
                      <w:divBdr>
                        <w:top w:val="none" w:sz="0" w:space="0" w:color="auto"/>
                        <w:left w:val="none" w:sz="0" w:space="0" w:color="auto"/>
                        <w:bottom w:val="none" w:sz="0" w:space="0" w:color="auto"/>
                        <w:right w:val="none" w:sz="0" w:space="0" w:color="auto"/>
                      </w:divBdr>
                      <w:divsChild>
                        <w:div w:id="1263032491">
                          <w:marLeft w:val="0"/>
                          <w:marRight w:val="0"/>
                          <w:marTop w:val="0"/>
                          <w:marBottom w:val="0"/>
                          <w:divBdr>
                            <w:top w:val="none" w:sz="0" w:space="0" w:color="auto"/>
                            <w:left w:val="none" w:sz="0" w:space="0" w:color="auto"/>
                            <w:bottom w:val="none" w:sz="0" w:space="0" w:color="auto"/>
                            <w:right w:val="none" w:sz="0" w:space="0" w:color="auto"/>
                          </w:divBdr>
                          <w:divsChild>
                            <w:div w:id="862984896">
                              <w:marLeft w:val="0"/>
                              <w:marRight w:val="0"/>
                              <w:marTop w:val="0"/>
                              <w:marBottom w:val="0"/>
                              <w:divBdr>
                                <w:top w:val="none" w:sz="0" w:space="0" w:color="auto"/>
                                <w:left w:val="none" w:sz="0" w:space="0" w:color="auto"/>
                                <w:bottom w:val="none" w:sz="0" w:space="0" w:color="auto"/>
                                <w:right w:val="none" w:sz="0" w:space="0" w:color="auto"/>
                              </w:divBdr>
                              <w:divsChild>
                                <w:div w:id="16268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6871">
                      <w:marLeft w:val="0"/>
                      <w:marRight w:val="0"/>
                      <w:marTop w:val="0"/>
                      <w:marBottom w:val="0"/>
                      <w:divBdr>
                        <w:top w:val="none" w:sz="0" w:space="0" w:color="auto"/>
                        <w:left w:val="none" w:sz="0" w:space="0" w:color="auto"/>
                        <w:bottom w:val="none" w:sz="0" w:space="0" w:color="auto"/>
                        <w:right w:val="none" w:sz="0" w:space="0" w:color="auto"/>
                      </w:divBdr>
                    </w:div>
                    <w:div w:id="1905405245">
                      <w:marLeft w:val="0"/>
                      <w:marRight w:val="0"/>
                      <w:marTop w:val="0"/>
                      <w:marBottom w:val="0"/>
                      <w:divBdr>
                        <w:top w:val="none" w:sz="0" w:space="0" w:color="auto"/>
                        <w:left w:val="none" w:sz="0" w:space="0" w:color="auto"/>
                        <w:bottom w:val="none" w:sz="0" w:space="0" w:color="auto"/>
                        <w:right w:val="none" w:sz="0" w:space="0" w:color="auto"/>
                      </w:divBdr>
                      <w:divsChild>
                        <w:div w:id="439419350">
                          <w:marLeft w:val="0"/>
                          <w:marRight w:val="0"/>
                          <w:marTop w:val="0"/>
                          <w:marBottom w:val="0"/>
                          <w:divBdr>
                            <w:top w:val="none" w:sz="0" w:space="0" w:color="auto"/>
                            <w:left w:val="none" w:sz="0" w:space="0" w:color="auto"/>
                            <w:bottom w:val="none" w:sz="0" w:space="0" w:color="auto"/>
                            <w:right w:val="none" w:sz="0" w:space="0" w:color="auto"/>
                          </w:divBdr>
                        </w:div>
                      </w:divsChild>
                    </w:div>
                    <w:div w:id="78016855">
                      <w:marLeft w:val="0"/>
                      <w:marRight w:val="0"/>
                      <w:marTop w:val="0"/>
                      <w:marBottom w:val="0"/>
                      <w:divBdr>
                        <w:top w:val="none" w:sz="0" w:space="0" w:color="auto"/>
                        <w:left w:val="none" w:sz="0" w:space="0" w:color="auto"/>
                        <w:bottom w:val="none" w:sz="0" w:space="0" w:color="auto"/>
                        <w:right w:val="none" w:sz="0" w:space="0" w:color="auto"/>
                      </w:divBdr>
                      <w:divsChild>
                        <w:div w:id="492068974">
                          <w:marLeft w:val="0"/>
                          <w:marRight w:val="0"/>
                          <w:marTop w:val="0"/>
                          <w:marBottom w:val="0"/>
                          <w:divBdr>
                            <w:top w:val="none" w:sz="0" w:space="0" w:color="auto"/>
                            <w:left w:val="none" w:sz="0" w:space="0" w:color="auto"/>
                            <w:bottom w:val="none" w:sz="0" w:space="0" w:color="auto"/>
                            <w:right w:val="none" w:sz="0" w:space="0" w:color="auto"/>
                          </w:divBdr>
                        </w:div>
                      </w:divsChild>
                    </w:div>
                    <w:div w:id="1882209150">
                      <w:marLeft w:val="0"/>
                      <w:marRight w:val="0"/>
                      <w:marTop w:val="0"/>
                      <w:marBottom w:val="0"/>
                      <w:divBdr>
                        <w:top w:val="none" w:sz="0" w:space="0" w:color="auto"/>
                        <w:left w:val="none" w:sz="0" w:space="0" w:color="auto"/>
                        <w:bottom w:val="none" w:sz="0" w:space="0" w:color="auto"/>
                        <w:right w:val="none" w:sz="0" w:space="0" w:color="auto"/>
                      </w:divBdr>
                      <w:divsChild>
                        <w:div w:id="1041517416">
                          <w:marLeft w:val="0"/>
                          <w:marRight w:val="0"/>
                          <w:marTop w:val="0"/>
                          <w:marBottom w:val="0"/>
                          <w:divBdr>
                            <w:top w:val="none" w:sz="0" w:space="0" w:color="auto"/>
                            <w:left w:val="none" w:sz="0" w:space="0" w:color="auto"/>
                            <w:bottom w:val="none" w:sz="0" w:space="0" w:color="auto"/>
                            <w:right w:val="none" w:sz="0" w:space="0" w:color="auto"/>
                          </w:divBdr>
                        </w:div>
                      </w:divsChild>
                    </w:div>
                    <w:div w:id="1235093637">
                      <w:marLeft w:val="0"/>
                      <w:marRight w:val="0"/>
                      <w:marTop w:val="0"/>
                      <w:marBottom w:val="0"/>
                      <w:divBdr>
                        <w:top w:val="none" w:sz="0" w:space="0" w:color="auto"/>
                        <w:left w:val="none" w:sz="0" w:space="0" w:color="auto"/>
                        <w:bottom w:val="none" w:sz="0" w:space="0" w:color="auto"/>
                        <w:right w:val="none" w:sz="0" w:space="0" w:color="auto"/>
                      </w:divBdr>
                      <w:divsChild>
                        <w:div w:id="1704480589">
                          <w:marLeft w:val="0"/>
                          <w:marRight w:val="0"/>
                          <w:marTop w:val="0"/>
                          <w:marBottom w:val="0"/>
                          <w:divBdr>
                            <w:top w:val="none" w:sz="0" w:space="0" w:color="auto"/>
                            <w:left w:val="none" w:sz="0" w:space="0" w:color="auto"/>
                            <w:bottom w:val="none" w:sz="0" w:space="0" w:color="auto"/>
                            <w:right w:val="none" w:sz="0" w:space="0" w:color="auto"/>
                          </w:divBdr>
                        </w:div>
                      </w:divsChild>
                    </w:div>
                    <w:div w:id="18542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039856">
      <w:bodyDiv w:val="1"/>
      <w:marLeft w:val="0"/>
      <w:marRight w:val="0"/>
      <w:marTop w:val="0"/>
      <w:marBottom w:val="0"/>
      <w:divBdr>
        <w:top w:val="none" w:sz="0" w:space="0" w:color="auto"/>
        <w:left w:val="none" w:sz="0" w:space="0" w:color="auto"/>
        <w:bottom w:val="none" w:sz="0" w:space="0" w:color="auto"/>
        <w:right w:val="none" w:sz="0" w:space="0" w:color="auto"/>
      </w:divBdr>
      <w:divsChild>
        <w:div w:id="447437438">
          <w:marLeft w:val="0"/>
          <w:marRight w:val="0"/>
          <w:marTop w:val="0"/>
          <w:marBottom w:val="0"/>
          <w:divBdr>
            <w:top w:val="none" w:sz="0" w:space="0" w:color="auto"/>
            <w:left w:val="none" w:sz="0" w:space="0" w:color="auto"/>
            <w:bottom w:val="none" w:sz="0" w:space="0" w:color="auto"/>
            <w:right w:val="none" w:sz="0" w:space="0" w:color="auto"/>
          </w:divBdr>
          <w:divsChild>
            <w:div w:id="210848460">
              <w:marLeft w:val="0"/>
              <w:marRight w:val="0"/>
              <w:marTop w:val="0"/>
              <w:marBottom w:val="0"/>
              <w:divBdr>
                <w:top w:val="none" w:sz="0" w:space="0" w:color="auto"/>
                <w:left w:val="none" w:sz="0" w:space="0" w:color="auto"/>
                <w:bottom w:val="none" w:sz="0" w:space="0" w:color="auto"/>
                <w:right w:val="none" w:sz="0" w:space="0" w:color="auto"/>
              </w:divBdr>
              <w:divsChild>
                <w:div w:id="757293724">
                  <w:marLeft w:val="0"/>
                  <w:marRight w:val="0"/>
                  <w:marTop w:val="0"/>
                  <w:marBottom w:val="0"/>
                  <w:divBdr>
                    <w:top w:val="none" w:sz="0" w:space="0" w:color="auto"/>
                    <w:left w:val="none" w:sz="0" w:space="0" w:color="auto"/>
                    <w:bottom w:val="none" w:sz="0" w:space="0" w:color="auto"/>
                    <w:right w:val="none" w:sz="0" w:space="0" w:color="auto"/>
                  </w:divBdr>
                  <w:divsChild>
                    <w:div w:id="107042783">
                      <w:marLeft w:val="0"/>
                      <w:marRight w:val="0"/>
                      <w:marTop w:val="0"/>
                      <w:marBottom w:val="0"/>
                      <w:divBdr>
                        <w:top w:val="none" w:sz="0" w:space="0" w:color="auto"/>
                        <w:left w:val="none" w:sz="0" w:space="0" w:color="auto"/>
                        <w:bottom w:val="none" w:sz="0" w:space="0" w:color="auto"/>
                        <w:right w:val="none" w:sz="0" w:space="0" w:color="auto"/>
                      </w:divBdr>
                    </w:div>
                  </w:divsChild>
                </w:div>
                <w:div w:id="466628955">
                  <w:marLeft w:val="0"/>
                  <w:marRight w:val="0"/>
                  <w:marTop w:val="0"/>
                  <w:marBottom w:val="0"/>
                  <w:divBdr>
                    <w:top w:val="none" w:sz="0" w:space="0" w:color="auto"/>
                    <w:left w:val="none" w:sz="0" w:space="0" w:color="auto"/>
                    <w:bottom w:val="none" w:sz="0" w:space="0" w:color="auto"/>
                    <w:right w:val="none" w:sz="0" w:space="0" w:color="auto"/>
                  </w:divBdr>
                </w:div>
              </w:divsChild>
            </w:div>
            <w:div w:id="67844801">
              <w:marLeft w:val="0"/>
              <w:marRight w:val="0"/>
              <w:marTop w:val="0"/>
              <w:marBottom w:val="0"/>
              <w:divBdr>
                <w:top w:val="none" w:sz="0" w:space="0" w:color="auto"/>
                <w:left w:val="none" w:sz="0" w:space="0" w:color="auto"/>
                <w:bottom w:val="none" w:sz="0" w:space="0" w:color="auto"/>
                <w:right w:val="none" w:sz="0" w:space="0" w:color="auto"/>
              </w:divBdr>
              <w:divsChild>
                <w:div w:id="1859584812">
                  <w:marLeft w:val="0"/>
                  <w:marRight w:val="0"/>
                  <w:marTop w:val="0"/>
                  <w:marBottom w:val="0"/>
                  <w:divBdr>
                    <w:top w:val="none" w:sz="0" w:space="0" w:color="auto"/>
                    <w:left w:val="none" w:sz="0" w:space="0" w:color="auto"/>
                    <w:bottom w:val="none" w:sz="0" w:space="0" w:color="auto"/>
                    <w:right w:val="none" w:sz="0" w:space="0" w:color="auto"/>
                  </w:divBdr>
                  <w:divsChild>
                    <w:div w:id="214893114">
                      <w:marLeft w:val="0"/>
                      <w:marRight w:val="0"/>
                      <w:marTop w:val="0"/>
                      <w:marBottom w:val="0"/>
                      <w:divBdr>
                        <w:top w:val="none" w:sz="0" w:space="0" w:color="auto"/>
                        <w:left w:val="none" w:sz="0" w:space="0" w:color="auto"/>
                        <w:bottom w:val="none" w:sz="0" w:space="0" w:color="auto"/>
                        <w:right w:val="none" w:sz="0" w:space="0" w:color="auto"/>
                      </w:divBdr>
                    </w:div>
                  </w:divsChild>
                </w:div>
                <w:div w:id="1039207762">
                  <w:marLeft w:val="0"/>
                  <w:marRight w:val="0"/>
                  <w:marTop w:val="0"/>
                  <w:marBottom w:val="0"/>
                  <w:divBdr>
                    <w:top w:val="none" w:sz="0" w:space="0" w:color="auto"/>
                    <w:left w:val="none" w:sz="0" w:space="0" w:color="auto"/>
                    <w:bottom w:val="none" w:sz="0" w:space="0" w:color="auto"/>
                    <w:right w:val="none" w:sz="0" w:space="0" w:color="auto"/>
                  </w:divBdr>
                </w:div>
              </w:divsChild>
            </w:div>
            <w:div w:id="1730877252">
              <w:marLeft w:val="0"/>
              <w:marRight w:val="0"/>
              <w:marTop w:val="0"/>
              <w:marBottom w:val="0"/>
              <w:divBdr>
                <w:top w:val="none" w:sz="0" w:space="0" w:color="auto"/>
                <w:left w:val="none" w:sz="0" w:space="0" w:color="auto"/>
                <w:bottom w:val="none" w:sz="0" w:space="0" w:color="auto"/>
                <w:right w:val="none" w:sz="0" w:space="0" w:color="auto"/>
              </w:divBdr>
              <w:divsChild>
                <w:div w:id="1130126185">
                  <w:marLeft w:val="0"/>
                  <w:marRight w:val="0"/>
                  <w:marTop w:val="0"/>
                  <w:marBottom w:val="0"/>
                  <w:divBdr>
                    <w:top w:val="none" w:sz="0" w:space="0" w:color="auto"/>
                    <w:left w:val="none" w:sz="0" w:space="0" w:color="auto"/>
                    <w:bottom w:val="none" w:sz="0" w:space="0" w:color="auto"/>
                    <w:right w:val="none" w:sz="0" w:space="0" w:color="auto"/>
                  </w:divBdr>
                  <w:divsChild>
                    <w:div w:id="553546959">
                      <w:marLeft w:val="0"/>
                      <w:marRight w:val="0"/>
                      <w:marTop w:val="0"/>
                      <w:marBottom w:val="0"/>
                      <w:divBdr>
                        <w:top w:val="none" w:sz="0" w:space="0" w:color="auto"/>
                        <w:left w:val="none" w:sz="0" w:space="0" w:color="auto"/>
                        <w:bottom w:val="none" w:sz="0" w:space="0" w:color="auto"/>
                        <w:right w:val="none" w:sz="0" w:space="0" w:color="auto"/>
                      </w:divBdr>
                    </w:div>
                  </w:divsChild>
                </w:div>
                <w:div w:id="20863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42020">
      <w:bodyDiv w:val="1"/>
      <w:marLeft w:val="0"/>
      <w:marRight w:val="0"/>
      <w:marTop w:val="0"/>
      <w:marBottom w:val="0"/>
      <w:divBdr>
        <w:top w:val="none" w:sz="0" w:space="0" w:color="auto"/>
        <w:left w:val="none" w:sz="0" w:space="0" w:color="auto"/>
        <w:bottom w:val="none" w:sz="0" w:space="0" w:color="auto"/>
        <w:right w:val="none" w:sz="0" w:space="0" w:color="auto"/>
      </w:divBdr>
    </w:div>
    <w:div w:id="1512984319">
      <w:bodyDiv w:val="1"/>
      <w:marLeft w:val="0"/>
      <w:marRight w:val="0"/>
      <w:marTop w:val="0"/>
      <w:marBottom w:val="0"/>
      <w:divBdr>
        <w:top w:val="none" w:sz="0" w:space="0" w:color="auto"/>
        <w:left w:val="none" w:sz="0" w:space="0" w:color="auto"/>
        <w:bottom w:val="none" w:sz="0" w:space="0" w:color="auto"/>
        <w:right w:val="none" w:sz="0" w:space="0" w:color="auto"/>
      </w:divBdr>
    </w:div>
    <w:div w:id="2000159719">
      <w:bodyDiv w:val="1"/>
      <w:marLeft w:val="0"/>
      <w:marRight w:val="0"/>
      <w:marTop w:val="0"/>
      <w:marBottom w:val="0"/>
      <w:divBdr>
        <w:top w:val="none" w:sz="0" w:space="0" w:color="auto"/>
        <w:left w:val="none" w:sz="0" w:space="0" w:color="auto"/>
        <w:bottom w:val="none" w:sz="0" w:space="0" w:color="auto"/>
        <w:right w:val="none" w:sz="0" w:space="0" w:color="auto"/>
      </w:divBdr>
      <w:divsChild>
        <w:div w:id="1480344384">
          <w:marLeft w:val="0"/>
          <w:marRight w:val="0"/>
          <w:marTop w:val="0"/>
          <w:marBottom w:val="0"/>
          <w:divBdr>
            <w:top w:val="none" w:sz="0" w:space="0" w:color="auto"/>
            <w:left w:val="none" w:sz="0" w:space="0" w:color="auto"/>
            <w:bottom w:val="none" w:sz="0" w:space="0" w:color="auto"/>
            <w:right w:val="none" w:sz="0" w:space="0" w:color="auto"/>
          </w:divBdr>
        </w:div>
        <w:div w:id="2141527934">
          <w:marLeft w:val="0"/>
          <w:marRight w:val="0"/>
          <w:marTop w:val="0"/>
          <w:marBottom w:val="0"/>
          <w:divBdr>
            <w:top w:val="none" w:sz="0" w:space="0" w:color="auto"/>
            <w:left w:val="none" w:sz="0" w:space="0" w:color="auto"/>
            <w:bottom w:val="none" w:sz="0" w:space="0" w:color="auto"/>
            <w:right w:val="none" w:sz="0" w:space="0" w:color="auto"/>
          </w:divBdr>
        </w:div>
        <w:div w:id="826945274">
          <w:marLeft w:val="0"/>
          <w:marRight w:val="0"/>
          <w:marTop w:val="0"/>
          <w:marBottom w:val="0"/>
          <w:divBdr>
            <w:top w:val="none" w:sz="0" w:space="0" w:color="auto"/>
            <w:left w:val="none" w:sz="0" w:space="0" w:color="auto"/>
            <w:bottom w:val="none" w:sz="0" w:space="0" w:color="auto"/>
            <w:right w:val="none" w:sz="0" w:space="0" w:color="auto"/>
          </w:divBdr>
        </w:div>
        <w:div w:id="967660621">
          <w:marLeft w:val="0"/>
          <w:marRight w:val="0"/>
          <w:marTop w:val="0"/>
          <w:marBottom w:val="0"/>
          <w:divBdr>
            <w:top w:val="none" w:sz="0" w:space="0" w:color="auto"/>
            <w:left w:val="none" w:sz="0" w:space="0" w:color="auto"/>
            <w:bottom w:val="none" w:sz="0" w:space="0" w:color="auto"/>
            <w:right w:val="none" w:sz="0" w:space="0" w:color="auto"/>
          </w:divBdr>
        </w:div>
        <w:div w:id="898632855">
          <w:marLeft w:val="0"/>
          <w:marRight w:val="0"/>
          <w:marTop w:val="0"/>
          <w:marBottom w:val="0"/>
          <w:divBdr>
            <w:top w:val="none" w:sz="0" w:space="0" w:color="auto"/>
            <w:left w:val="none" w:sz="0" w:space="0" w:color="auto"/>
            <w:bottom w:val="none" w:sz="0" w:space="0" w:color="auto"/>
            <w:right w:val="none" w:sz="0" w:space="0" w:color="auto"/>
          </w:divBdr>
        </w:div>
      </w:divsChild>
    </w:div>
    <w:div w:id="214481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364/BOE.10.000892?utm_source=chatgpt.com" TargetMode="External"/><Relationship Id="rId13" Type="http://schemas.openxmlformats.org/officeDocument/2006/relationships/hyperlink" Target="https://doi.org/10.2147/OPTH.S348479?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ins.2018.01.051?utm_source=chatgpt.com" TargetMode="External"/><Relationship Id="rId12" Type="http://schemas.openxmlformats.org/officeDocument/2006/relationships/hyperlink" Target="https://doi.org/10.1109/ICCV.2017.74?utm_source=chatgpt.com" TargetMode="External"/><Relationship Id="rId17" Type="http://schemas.openxmlformats.org/officeDocument/2006/relationships/hyperlink" Target="https://doi.org/10.1136/bmj.n71?utm_source=chatgpt.com" TargetMode="External"/><Relationship Id="rId2" Type="http://schemas.openxmlformats.org/officeDocument/2006/relationships/styles" Target="styles.xml"/><Relationship Id="rId16" Type="http://schemas.openxmlformats.org/officeDocument/2006/relationships/hyperlink" Target="https://images.openai.com/static-rsc-4/quNQfk8Tau2q7gYQPeb3qqy8t0zLrIgQTMM4SSbgtqBwUQcQ4ijWvDp-FOxaZPaZFbDSHJQyEsJk4WX_kyQk5atPAPHBuLCWZb7SDt5xWECiDOyCKqlU4tHCLEtb_hsrkIFMorXeSzd0PbgJ3DazaCxKbJMkpFY8sjBMj_nlwZc?purpose=inline" TargetMode="External"/><Relationship Id="rId1" Type="http://schemas.openxmlformats.org/officeDocument/2006/relationships/numbering" Target="numbering.xml"/><Relationship Id="rId6" Type="http://schemas.openxmlformats.org/officeDocument/2006/relationships/hyperlink" Target="https://doi.org/10.1364/BOE.10.000892?utm_source=chatgpt.com" TargetMode="External"/><Relationship Id="rId11" Type="http://schemas.openxmlformats.org/officeDocument/2006/relationships/hyperlink" Target="https://arxiv.org/abs/2010.11929?utm_source=chatgpt.com" TargetMode="External"/><Relationship Id="rId5" Type="http://schemas.openxmlformats.org/officeDocument/2006/relationships/hyperlink" Target="https://doi.org/10.1136/bjo.2005.081224?utm_source=chatgpt.com" TargetMode="External"/><Relationship Id="rId15" Type="http://schemas.openxmlformats.org/officeDocument/2006/relationships/hyperlink" Target="https://images.openai.com/static-rsc-4/x4msJlhPXHYStLEhlGxjqussf8pxfXLRCeu190iQtDtQOoM1W8d1IuMCy0F3Z8rOK1wym1thevsAxNOK7t2KzLApcWg-mTz8VSm822kLEDT7rMo0O2R87X20mPZSx-Cg4nhvLmOqcgWCUn-hyqnVeY2X7jMmmTUbp0Vog2j5zJY?purpose=inline" TargetMode="External"/><Relationship Id="rId10" Type="http://schemas.openxmlformats.org/officeDocument/2006/relationships/hyperlink" Target="https://doi.org/10.1109/CVPR.2016.90?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86/s12938-019-0649-y?utm_source=chatgpt.com" TargetMode="External"/><Relationship Id="rId14" Type="http://schemas.openxmlformats.org/officeDocument/2006/relationships/hyperlink" Target="https://images.openai.com/static-rsc-4/UkRJHYBq_OPAmZrwkDMK7drZyeoDL4G9nG9-igr8U60K26LbevUpiNyIfz8R2cxOyKNpzK7uNL_5069uDTkBIU8rzdkJoZNPLoc7bGE1ewv6XiAoNPzy8gIhwnKgno-kIA7Rvp_huSJd2iENTL2Baa6qLneGb_X0R8FkIBlJoto?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24</Pages>
  <Words>9880</Words>
  <Characters>56320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7</cp:revision>
  <dcterms:created xsi:type="dcterms:W3CDTF">2026-10-28T18:27:00Z</dcterms:created>
  <dcterms:modified xsi:type="dcterms:W3CDTF">2026-10-29T17:18:00Z</dcterms:modified>
</cp:coreProperties>
</file>