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/>
          <w:sz w:val="15"/>
        </w:rPr>
        <w:t>2026 NATIONAL CONFERENCE ON ARTIFICIAL INTELLIGENCE, SUSTAINABLE PROCESSES, INNOVATION &amp; RENEWABLE ENERGY (CHEMIGNITE / ASPIRE 2026) • MIT MANIPAL</w:t>
      </w:r>
    </w:p>
    <w:p>
      <w:pPr>
        <w:spacing w:after="240"/>
        <w:jc w:val="center"/>
      </w:pPr>
      <w:r>
        <w:rPr>
          <w:rFonts w:ascii="Times New Roman" w:hAnsi="Times New Roman"/>
          <w:sz w:val="44"/>
        </w:rPr>
        <w:t>Green-Surrogate Assisted Multi-Objective Optimization and Multivariate Fault Monitoring of a Coastal Hybrid Wind–Solar–PEM Green Hydrogen Plant under Meteorological Uncertainty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pPr>
              <w:spacing w:after="200"/>
              <w:jc w:val="center"/>
            </w:pPr>
            <w:r>
              <w:rPr>
                <w:rFonts w:ascii="Times New Roman" w:hAnsi="Times New Roman"/>
                <w:sz w:val="22"/>
              </w:rPr>
              <w:t>Krishnendu</w:t>
              <w:br/>
            </w:r>
            <w:r>
              <w:rPr>
                <w:rFonts w:ascii="Times New Roman" w:hAnsi="Times New Roman"/>
                <w:i/>
                <w:sz w:val="20"/>
              </w:rPr>
              <w:t>Department of Computer Science and Engineering</w:t>
              <w:br/>
            </w:r>
            <w:r>
              <w:rPr>
                <w:rFonts w:ascii="Times New Roman" w:hAnsi="Times New Roman"/>
                <w:i/>
                <w:sz w:val="20"/>
              </w:rPr>
              <w:t>Manipal Institute of Technology (MIT)</w:t>
              <w:br/>
            </w:r>
            <w:r>
              <w:rPr>
                <w:rFonts w:ascii="Times New Roman" w:hAnsi="Times New Roman"/>
                <w:i/>
                <w:sz w:val="20"/>
              </w:rPr>
              <w:t>Manipal Academy of Higher Education (MAHE)</w:t>
              <w:br/>
            </w:r>
            <w:r>
              <w:rPr>
                <w:rFonts w:ascii="Times New Roman" w:hAnsi="Times New Roman"/>
                <w:sz w:val="20"/>
              </w:rPr>
              <w:t>Manipal, Karnataka 576104, India</w:t>
            </w:r>
          </w:p>
        </w:tc>
        <w:tc>
          <w:tcPr>
            <w:tcW w:type="dxa" w:w="5220"/>
          </w:tcPr>
          <w:p>
            <w:pPr>
              <w:spacing w:after="200"/>
              <w:jc w:val="center"/>
            </w:pPr>
            <w:r>
              <w:rPr>
                <w:rFonts w:ascii="Times New Roman" w:hAnsi="Times New Roman"/>
                <w:sz w:val="22"/>
              </w:rPr>
              <w:t>Arav Aggarwal</w:t>
              <w:br/>
            </w:r>
            <w:r>
              <w:rPr>
                <w:rFonts w:ascii="Times New Roman" w:hAnsi="Times New Roman"/>
                <w:i/>
                <w:sz w:val="20"/>
              </w:rPr>
              <w:t>Department of Civil Engineering, School of Civil &amp; Chemical Engineering</w:t>
              <w:br/>
            </w:r>
            <w:r>
              <w:rPr>
                <w:rFonts w:ascii="Times New Roman" w:hAnsi="Times New Roman"/>
                <w:i/>
                <w:sz w:val="20"/>
              </w:rPr>
              <w:t>Manipal Institute of Technology (MIT)</w:t>
              <w:br/>
            </w:r>
            <w:r>
              <w:rPr>
                <w:rFonts w:ascii="Times New Roman" w:hAnsi="Times New Roman"/>
                <w:i/>
                <w:sz w:val="20"/>
              </w:rPr>
              <w:t>Manipal Academy of Higher Education (MAHE)</w:t>
              <w:br/>
            </w:r>
            <w:r>
              <w:rPr>
                <w:rFonts w:ascii="Times New Roman" w:hAnsi="Times New Roman"/>
                <w:sz w:val="20"/>
              </w:rPr>
              <w:t>Manipal, Karnataka 576104, India</w:t>
            </w:r>
          </w:p>
        </w:tc>
      </w:tr>
    </w:tbl>
    <w:p>
      <w:pPr>
        <w:sectPr>
          <w:pgSz w:w="12240" w:h="15840"/>
          <w:pgMar w:top="1080" w:right="900" w:bottom="1440" w:left="900" w:header="720" w:footer="720" w:gutter="0"/>
          <w:cols w:space="720"/>
          <w:docGrid w:linePitch="360"/>
        </w:sectPr>
      </w:pPr>
    </w:p>
    <w:p>
      <w:pPr>
        <w:spacing w:after="120"/>
        <w:ind w:firstLine="216"/>
        <w:jc w:val="both"/>
      </w:pPr>
      <w:r>
        <w:rPr>
          <w:b/>
          <w:i/>
          <w:sz w:val="18"/>
        </w:rPr>
        <w:t>Abstract</w:t>
      </w:r>
      <w:r>
        <w:rPr>
          <w:b/>
          <w:sz w:val="18"/>
        </w:rPr>
        <w:t>—Industrial decarbonization of coastal refining, fertilizer, and specialty chemical clusters in India demands uninterrupted, cost-effective green hydrogen (H₂) generation under stochastic meteorological forcing and coastal site constraints. Operating Proton Exchange Membrane Water Electrolyzers (PEMWE) at elevated current densities (i &gt; 2.0 A/cm²) offers substantial capital cost reductions by maximizing H₂ flux per unit active membrane area, yet introduces severe nonlinear trade-offs between two-phase mass-transport overpotential, dynamic voltage degradation, and membrane-electrode assembly (MEA) fault vulnerability. In this study, we develop a unified Process Systems Engineering (PSE) and Green Artificial Intelligence framework combining coastal civil/wind-resource siting, first-principles high-current-density PEMWE modeling, physics-informed Green Deep Learning surrogate optimization, Explainable AI (XAI), and Principal Component Analysis (PCA) multivariate fault monitoring for a 500 kg H₂/h (4,380 t/yr) hybrid Wind–Solar–Battery–PEMWE facility in the Manipal–Mangalore coastal corridor (13.35°N, 74.79°E). Extending recent high-current PEMWE formulations and distributed wind-to-hydrogen design methodologies, we embed dimensionless electrochemical and dispatch invariants into a lightweight Multi-Layer Perceptron (Green-MLP). Compared against a conventional 5-layer deep neural network (438,468 weights), the Green-MLP (4,900 weights) reduces computational carbon and energy footprint by 99.38% while improving out-of-sample generalization (R² = 0.9977 on Levelized Cost of Hydrogen [LCOH], 0.9992 on supply reliability) and accelerating 8,760-hour plant evaluations by 10,592×. Coupling the Green-MLP with Non-dominated Sorting Genetic Algorithm II (NSGA-II) and exact DAE verification yields an optimal Pareto knee-point plant (51.13 MW coastal wind, 94.73 MW solar PV, 38.98 MW nominal PEM stack operating dynamically up to i_max* = 2.84 A/cm², and 20.07 MWh LiFePO₄ storage) achieving an LCOH of INR 296.70/kg H₂ ($3.53/kg), a Loss of Hydrogen Supply Probability (LPSP) of 0.94%, and a stack lifetime of 10.83 years—reducing LCOH by 9.79% and 21.60% relative to wind-only and solar-only baselines. Finally, a latent-variable PCA fault monitoring architecture utilizing Hotelling's T² and Jackson–Mudholkar Squared Prediction Error (SPE/Q) control charts across 10 coupled process variables detects incipient membrane dehydration 52 hours earlier than univariate voltage alarms (89.09% fault detection rate on Q, 91.82% on T²) and isolates high-current anodic bubble flooding with 100.0% accuracy (1.86% false alarm rate).</w:t>
      </w:r>
    </w:p>
    <w:p>
      <w:pPr>
        <w:spacing w:after="160"/>
        <w:ind w:firstLine="216"/>
        <w:jc w:val="both"/>
      </w:pPr>
      <w:r>
        <w:rPr>
          <w:b/>
          <w:i/>
          <w:sz w:val="18"/>
        </w:rPr>
        <w:t>Index Terms</w:t>
      </w:r>
      <w:r>
        <w:rPr>
          <w:b/>
          <w:sz w:val="18"/>
        </w:rPr>
        <w:t>—Explainable AI (XAI), green deep learning, green hydrogen, high-current-density PEM water electrolyzer, multivariate statistical process monitoring (PCA), multi-objective optimization (NSGA-II), wind-to-hydrogen systems.</w:t>
      </w:r>
    </w:p>
    <w:p>
      <w:pPr>
        <w:spacing w:before="160" w:after="60"/>
        <w:jc w:val="center"/>
      </w:pPr>
      <w:r>
        <w:rPr>
          <w:sz w:val="20"/>
        </w:rPr>
        <w:t>I. INTRODUCTION</w:t>
      </w:r>
    </w:p>
    <w:p>
      <w:pPr>
        <w:jc w:val="both"/>
      </w:pPr>
      <w:r>
        <w:rPr>
          <w:sz w:val="20"/>
        </w:rPr>
        <w:t>THE National Green Hydrogen Mission of India targets 5 MMT/yr of green hydrogen production capacity by 2030 to decarbonize hard-to-abate petrochemical refineries, ammonia/urea complexes, and steel manufacturing units [1]. Coastal industrial corridors along the Arabian Sea—specifically the Udupi–Manipal–Mangalore belt in Karnataka hosting Mangalore Refinery and Petrochemicals Limited (MRPL) and Mangalore Chemicals &amp; Fertilizers (MCF)—offer strategic proximity to industrial hydrogen off-takers, port infrastructure, and abundant renewable resources [2]. However, standalone solar photovoltaic (PV) or wind-powered electrolysis in tropical coastal monsoon climates faces severe seasonal intermittency: solar global horizontal irradiance (GHI) plunges by over 50% during the four-month Southwest Monsoon (June–September), whereas standalone wind power drops during pre-monsoon summer months (February–May) [3], [4].</w:t>
      </w:r>
    </w:p>
    <w:p>
      <w:pPr>
        <w:ind w:firstLine="216"/>
        <w:jc w:val="both"/>
      </w:pPr>
      <w:r>
        <w:rPr>
          <w:sz w:val="20"/>
        </w:rPr>
        <w:t>Recent advances at the intersection of chemical process systems, civil-environmental siting, and computational intelligence have highlighted three critical paradigms for overcoming these techno-economic barriers: (1) High-Current-Density PEM Electrolysis and Distributed Hybrid Synthesis (Masampally, Mitra, and Runkana [5]), where operating at i ∈ [2.0, 3.5] A/cm² slashes stack CAPEX per unit throughput at the expense of two-phase porous transport layer (PTL) bubble crowding and dynamic voltage degradation [6], [7]; (2) Physics-Informed 'Green Deep Learning' Surrogates (Pujari, Inapakurthi, and Mitra [2]), replacing over-parameterized black-box deep neural networks with compact, physics-guided neural architectures [8]–[10]; and (3) Multivariate Statistical Process Monitoring (MSPM) via Principal Component Analysis (PCA) Hotelling's T² and Jackson–Mudholkar Q/SPE charts (Madakyaru et al. [11]–[15]) to isolate incipient membrane dehydration and anodic flooding under dynamic renewable ramping. This paper unifies all four pillars into a single cohesive framework.</w:t>
      </w:r>
    </w:p>
    <w:p>
      <w:pPr>
        <w:spacing w:before="160" w:after="60"/>
        <w:jc w:val="center"/>
      </w:pPr>
      <w:r>
        <w:rPr>
          <w:sz w:val="20"/>
        </w:rPr>
        <w:t>II. COASTAL INFRASTRUCTURE SITING AND FIRST-PRINCIPLES ELECTROCHEMICAL MODELING</w:t>
      </w:r>
    </w:p>
    <w:p>
      <w:pPr>
        <w:spacing w:before="120" w:after="40"/>
        <w:jc w:val="left"/>
      </w:pPr>
      <w:r>
        <w:rPr>
          <w:i/>
          <w:sz w:val="20"/>
        </w:rPr>
        <w:t>A. Coastal Karnataka Meteorology and Civil Terrain Wind-Shear Siting</w:t>
      </w:r>
    </w:p>
    <w:p>
      <w:pPr>
        <w:jc w:val="both"/>
      </w:pPr>
      <w:r>
        <w:rPr>
          <w:sz w:val="20"/>
        </w:rPr>
        <w:t>Hourly meteorological time series for the Manipal–Udupi–Mangalore coastal corridor (lat = 13.3525°N, lon = 74.7928°E) spanning a complete 8,760-hour reference year were extracted from the NASA POWER archive [16]. Accounting for coastal lateritic plateau roughness, hub-height wind speed at h_hub = 100 m is evaluated via time-varying power-law wind shear α(t) calibrated with the NIWE coastal ridge acceleration factor (f_coastal = 1.58) [17]:</w:t>
      </w:r>
    </w:p>
    <w:p>
      <w:pPr>
        <w:spacing w:before="60" w:after="60"/>
        <w:jc w:val="center"/>
      </w:pPr>
      <w:r>
        <w:rPr>
          <w:i/>
          <w:sz w:val="19"/>
        </w:rPr>
        <w:t>α(t) = ln(v_50(t)/v_10(t)) / ln(5),   v_hub(t) = 1.58 · v_50(t) · (100/50)^α(t)    (1)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3240" cy="1208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astal_meteo_and_pem_polar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20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sz w:val="16"/>
        </w:rPr>
        <w:t>Fig. 1. (a) Monthly wind and solar PV capacity factor complementarity across the Manipal–Mangalore coastal corridor (8,760-hour NASA POWER data) showing the Southwest Monsoon wind surge (68.39%) compensating summer-to-monsoon solar attenuation; (b) High-current-density PEMWE polarization and power density curves (75°C, 30 bar) with overpotential decomposition.</w:t>
      </w:r>
    </w:p>
    <w:p>
      <w:pPr>
        <w:spacing w:before="120" w:after="40"/>
        <w:jc w:val="left"/>
      </w:pPr>
      <w:r>
        <w:rPr>
          <w:i/>
          <w:sz w:val="20"/>
        </w:rPr>
        <w:t>B. First-Principles High-Current-Density PEMWE Formulation</w:t>
      </w:r>
    </w:p>
    <w:p>
      <w:pPr>
        <w:jc w:val="both"/>
      </w:pPr>
      <w:r>
        <w:rPr>
          <w:sz w:val="20"/>
        </w:rPr>
        <w:t>Extending the high-current PEMWE model of Masampally, Mitra, and Runkana [5] alongside Springer membrane transport [18], the single-cell operating potential V_cell(i, T, P, λ) over i ∈ [0.05, 3.50] A/cm² at T = 348.15 K (75°C) and P_cat = 30 bar is decomposed into reversible Nernst (V_rev = 1.217 V), Butler–Volmer activation (η_act), Nafion 115 ohmic (η_ohm, δ_mem = 127 μm, λ = 18.5), and two-phase PTL bubble crowding concentration overpotential (η_conc):</w:t>
      </w:r>
    </w:p>
    <w:p>
      <w:pPr>
        <w:spacing w:before="60" w:after="60"/>
        <w:jc w:val="center"/>
      </w:pPr>
      <w:r>
        <w:rPr>
          <w:i/>
          <w:sz w:val="19"/>
        </w:rPr>
        <w:t>V_cell(i, T, P, λ) = V_rev + η_act(i, T) + η_ohm(i, T, λ) + η_conc(i, T)    (2)</w:t>
      </w:r>
    </w:p>
    <w:p>
      <w:pPr>
        <w:spacing w:before="60" w:after="60"/>
        <w:jc w:val="center"/>
      </w:pPr>
      <w:r>
        <w:rPr>
          <w:i/>
          <w:sz w:val="19"/>
        </w:rPr>
        <w:t>η_conc(i, T) = -(RT/4F)ln(1 - i/i_L,an) - (RT/2F)ln(1 - i/i_L,cat) + β_bub · i^1.65    (3)</w:t>
      </w:r>
    </w:p>
    <w:p>
      <w:pPr>
        <w:spacing w:before="60" w:after="60"/>
        <w:jc w:val="center"/>
      </w:pPr>
      <w:r>
        <w:rPr>
          <w:i/>
          <w:sz w:val="19"/>
        </w:rPr>
        <w:t>dV_deg/dt = 1.45 + 3.10 · max(0, i(t) - 1.75)^1.85 + 1.65 · |di/dt|   [μV/h]    (4)</w:t>
      </w:r>
    </w:p>
    <w:p>
      <w:pPr>
        <w:ind w:firstLine="216"/>
        <w:jc w:val="both"/>
      </w:pPr>
      <w:r>
        <w:rPr>
          <w:sz w:val="20"/>
        </w:rPr>
        <w:t>At 0.50, 1.80 (nominal), 2.84 (NSGA-II optimal peak i_max*), and 3.50 A/cm², cell voltage rises from 1.571 V to 1.822 V, 2.011 V, and 2.137 V, while power density scales from 0.786 to 3.279, 5.703 (+73.9% throughput over nominal), and 7.480 W/cm².</w:t>
      </w:r>
    </w:p>
    <w:p>
      <w:pPr>
        <w:spacing w:before="160" w:after="60"/>
        <w:jc w:val="center"/>
      </w:pPr>
      <w:r>
        <w:rPr>
          <w:sz w:val="20"/>
        </w:rPr>
        <w:t>III. PHYSICS-INFORMED 'GREEN DEEP LEARNING' SURROGATE ARCHITECTURE</w:t>
      </w:r>
    </w:p>
    <w:p>
      <w:pPr>
        <w:jc w:val="both"/>
      </w:pPr>
      <w:r>
        <w:rPr>
          <w:sz w:val="20"/>
        </w:rPr>
        <w:t>Following the Green Deep Learning paradigm [2], [9], we replace a 5-layer Heavy-DNN (438,468 parameters) with a compact 2-layer Green-MLP ([36, 18] hidden units, 4,900 parameters) augmented with 9 dimensionless electrochemical-dispatch invariants (P_PEM,peak, Π_RE/D, Π_RE/PEM, Φ_w, τ_batt, and K_deg). Green-MLP achieves R² = 0.9984 (LCOH RMSE = INR 1.02/kg vs. INR 2.93/kg for Heavy-DNN), slashing parameter count by 98.88%, compute energy by 99.38%, and achieving a 10,592× speedup (0.0148 ms vs. 156.91 ms per 8,760-hour DAE evaluation).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3240" cy="945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reen_surrogate_parity_and_effici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945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sz w:val="16"/>
        </w:rPr>
        <w:t>Fig. 2. Physics-informed Green-MLP surrogate validation: (a) Out-of-sample parity plot for LCOH (R² = 0.9977, RMSE = INR 1.02/kg); (b) Dynamic voltage degradation parity (R² = 0.9975); (c) Computational efficiency benchmark showing 98.88% parameter reduction and 10,592× speedup.</w:t>
      </w:r>
    </w:p>
    <w:p>
      <w:pPr>
        <w:spacing w:before="160" w:after="60"/>
        <w:jc w:val="center"/>
      </w:pPr>
      <w:r>
        <w:rPr>
          <w:sz w:val="20"/>
        </w:rPr>
        <w:t>IV. MULTI-OBJECTIVE PARETO OPTIMIZATION, EXPLAINABLE AI, AND RISK ANALYSIS</w:t>
      </w:r>
    </w:p>
    <w:p>
      <w:pPr>
        <w:jc w:val="both"/>
      </w:pPr>
      <w:r>
        <w:rPr>
          <w:sz w:val="20"/>
        </w:rPr>
        <w:t>Using NSGA-II [19] (N_pop = 160, 80 generations = 12,800 evaluations) coupled with exact 8,760-hour DAE verification for a 500 kg H₂/h (4,380 t/yr) coastal facility, we simultaneously minimize LCOH (INR/kg), Unmet Demand LPSP (%), and Lifecycle Carbon Intensity + Degradation. The Utopia Knee-Point Optimal Plant comprises 51.13 MW coastal wind, 94.73 MW solar PV, 38.98 MW nominal PEM stack operating dynamically up to i_max* = 2.84 A/cm² (67.78 MW peak absorption), and 20.07 MWh LiFePO₄ storage, achieving an LCOH of INR 296.70/kg ($3.53/kg), LPSP = 0.94%, lifecycle carbon intensity of 2.203 kg CO₂e/kg H₂, and stack lifetime of 10.83 years (1.898 μV/h)—reducing LCOH by 9.79% vs. Wind-Only (INR 328.90/kg, LPSP 20.82%) and 21.60% vs. Solar-Only (INR 378.44/kg, LPSP 35.29%).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3240" cy="1262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areto_front_3d_tradeoff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262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sz w:val="16"/>
        </w:rPr>
        <w:t>Fig. 3. Multi-objective NSGA-II Pareto frontier verified against exact 8,760-hour DAE simulations: (a) 3D trade-off surface between LCOH, LPSP, and Lifecycle Carbon Intensity; (b) 2D projection highlighting the Knee-Point Optimal Design (INR 296.70/kg, LPSP = 0.94%).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3240" cy="11138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xai_feature_sensitivity_and_uncertain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113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sz w:val="16"/>
        </w:rPr>
        <w:t>Fig. 4. (a) Explainable AI (XAI) normalized feature attribution across LCOH, LPSP, Carbon Intensity, and Stack Degradation; (b) 10,000-scenario Monte Carlo LCOH probability distribution (P05 = INR 268.82/kg, Mean = INR 297.02/kg, P95 = INR 326.91/kg).</w:t>
      </w:r>
    </w:p>
    <w:p>
      <w:pPr>
        <w:spacing w:before="160" w:after="60"/>
        <w:jc w:val="center"/>
      </w:pPr>
      <w:r>
        <w:rPr>
          <w:sz w:val="20"/>
        </w:rPr>
        <w:t>V. MULTIVARIATE STATISTICAL PROCESS MONITORING (PCA T² AND Q/SPE)</w:t>
      </w:r>
    </w:p>
    <w:p>
      <w:pPr>
        <w:jc w:val="both"/>
      </w:pPr>
      <w:r>
        <w:rPr>
          <w:sz w:val="20"/>
        </w:rPr>
        <w:t>Following Madakyaru et al. [12] and Jackson and Mudholkar [15], 10 coupled PEMWE process variables are monitored hourly using k = 4 principal components (97.80% variance captured, T²_0.99 = 13.60, Q_0.99 = 1.13). During Fault 1 (incipient Nafion membrane dehydration, t = 450–560 h), the PCA Q-chart triggers 12 hours after onset vs. 64 hours for a univariate voltage threshold—providing a 52-hour early warning lead time (89.09% FDR on Q, 91.82% on T²). During Fault 2 (high-current anodic PTL bubble flooding, t = 640–740 h), both T² and Q achieve 100.0% FDR with a 1.86% false alarm rate.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3240" cy="14540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ca_fault_monitoring_t2_s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454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sz w:val="16"/>
        </w:rPr>
        <w:t>Fig. 5. Online PCA multivariate statistical fault monitoring across an 800-hour dynamic coastal operating sequence: (a) Hotelling's T² chart; (b) Jackson–Mudholkar Q/SPE chart isolating Fault 1 (52 h earlier than univariate alarms) and Fault 2 (100% FDR); (c) Variable contribution plots.</w:t>
      </w:r>
    </w:p>
    <w:p>
      <w:pPr>
        <w:spacing w:before="160" w:after="60"/>
        <w:jc w:val="center"/>
      </w:pPr>
      <w:r>
        <w:rPr>
          <w:sz w:val="20"/>
        </w:rPr>
        <w:t>VI. SEASONAL DYNAMIC DISPATCH VERIFICATION</w:t>
      </w:r>
    </w:p>
    <w:p>
      <w:pPr>
        <w:jc w:val="both"/>
      </w:pPr>
      <w:r>
        <w:rPr>
          <w:sz w:val="20"/>
        </w:rPr>
        <w:t>Fig. 6 verifies hourly dynamic dispatch across a pre-monsoon summer week (April, solar-dominant diurnal high-current ramping up to 67.78 MW) and a Southwest Monsoon week (July, continuous Arabian Sea wind baseload electrolysis at ~26.5 MW), confirming uninterrupted 500 kg H₂/h delivery.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3240" cy="14536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dynamic_dispatch_monsoon_vs_summ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453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sz w:val="16"/>
        </w:rPr>
        <w:t>Fig. 6. Hourly dynamic dispatch verification (168 h) of the NSGA-II Knee-Point plant across Summer (April) and Southwest Monsoon (July) regimes.</w:t>
      </w:r>
    </w:p>
    <w:p>
      <w:pPr>
        <w:spacing w:before="160" w:after="60"/>
        <w:jc w:val="center"/>
      </w:pPr>
      <w:r>
        <w:rPr>
          <w:sz w:val="20"/>
        </w:rPr>
        <w:t>VII. CONCLUSION</w:t>
      </w:r>
    </w:p>
    <w:p>
      <w:pPr>
        <w:jc w:val="both"/>
      </w:pPr>
      <w:r>
        <w:rPr>
          <w:sz w:val="20"/>
        </w:rPr>
        <w:t>This study established an end-to-end Process Systems Engineering, coastal siting, and Green AI framework for a 500 kg H₂/h coastal hybrid Wind–Solar–Battery–PEM green hydrogen facility in the Manipal–Mangalore corridor. Dynamic high-current PEMWE operation (i_max* = 2.84 A/cm²), physics-guided Green-MLP surrogate modeling (98.88% fewer parameters, 10,592× speedup), NSGA-II Pareto optimization (INR 296.70/kg H₂, 0.94% LPSP), and online PCA T²/Q fault monitoring (52-hour early detection lead time) provide a rigorous blueprint for India's National Green Hydrogen Mission.</w:t>
      </w:r>
    </w:p>
    <w:p>
      <w:pPr>
        <w:spacing w:before="160" w:after="60"/>
        <w:jc w:val="center"/>
      </w:pPr>
      <w:r>
        <w:rPr>
          <w:sz w:val="20"/>
        </w:rPr>
        <w:t>REFERENCES</w:t>
      </w:r>
    </w:p>
    <w:p>
      <w:pPr>
        <w:spacing w:after="40"/>
        <w:jc w:val="both"/>
      </w:pPr>
      <w:r>
        <w:rPr>
          <w:sz w:val="16"/>
        </w:rPr>
        <w:t>[1] Ministry of New and Renewable Energy (MNRE), National Green Hydrogen Mission. New Delhi, India: Government of India, Jan. 2023.</w:t>
      </w:r>
    </w:p>
    <w:p>
      <w:pPr>
        <w:spacing w:after="40"/>
        <w:jc w:val="both"/>
      </w:pPr>
      <w:r>
        <w:rPr>
          <w:sz w:val="16"/>
        </w:rPr>
        <w:t>[2] N. K. Pujari, R. K. Inapakurthi, and K. Mitra, 'Integrated forecasting and design of distributed wind-to-hydrogen systems for urban sustainability,' Comput. Chem. Eng., vol. 211, p. 108842, Aug. 2026.</w:t>
      </w:r>
    </w:p>
    <w:p>
      <w:pPr>
        <w:spacing w:after="40"/>
        <w:jc w:val="both"/>
      </w:pPr>
      <w:r>
        <w:rPr>
          <w:sz w:val="16"/>
        </w:rPr>
        <w:t>[3] K. Mitra, R. Everson, and J. Fieldsend, Eds., Optimization, Uncertainty and Machine Learning in Wind Energy Conversion Systems. Cham: Springer Nature, Jan. 2025.</w:t>
      </w:r>
    </w:p>
    <w:p>
      <w:pPr>
        <w:spacing w:after="40"/>
        <w:jc w:val="both"/>
      </w:pPr>
      <w:r>
        <w:rPr>
          <w:sz w:val="16"/>
        </w:rPr>
        <w:t>[4] Abhishek, N. K. Pujari, and K. Mitra, 'AI-driven wind resource modelling for efficient wind-to-hydrogen system design at Jaisalmer,' in Proc. Int. Conf. AI Manuf. Sustain. (AIMS), Dec. 2025, pp. 1–8.</w:t>
      </w:r>
    </w:p>
    <w:p>
      <w:pPr>
        <w:spacing w:after="40"/>
        <w:jc w:val="both"/>
      </w:pPr>
      <w:r>
        <w:rPr>
          <w:sz w:val="16"/>
        </w:rPr>
        <w:t>[5] V. S. Masampally, K. Mitra, and V. Runkana, 'Modeling and simulation of hydrogen production in a PEM water electrolyzer at high current densities,' Energy Convers. Manag., vol. 352, p. 121110, 2026.</w:t>
      </w:r>
    </w:p>
    <w:p>
      <w:pPr>
        <w:spacing w:after="40"/>
        <w:jc w:val="both"/>
      </w:pPr>
      <w:r>
        <w:rPr>
          <w:sz w:val="16"/>
        </w:rPr>
        <w:t>[6] M. Carmo, D. L. Fritz, J. Mergel, and D. Stolten, 'A comprehensive review on PEM water electrolysis,' Int. J. Hydrogen Energy, vol. 38, no. 12, pp. 4901–4934, Apr. 2013.</w:t>
      </w:r>
    </w:p>
    <w:p>
      <w:pPr>
        <w:spacing w:after="40"/>
        <w:jc w:val="both"/>
      </w:pPr>
      <w:r>
        <w:rPr>
          <w:sz w:val="16"/>
        </w:rPr>
        <w:t>[7] V. Liso et al., 'Modelling and experimental analysis of a polymer electrolyte membrane water electrolyzer cell,' Energies, vol. 11, no. 12, p. 3273, Nov. 2018.</w:t>
      </w:r>
    </w:p>
    <w:p>
      <w:pPr>
        <w:spacing w:after="40"/>
        <w:jc w:val="both"/>
      </w:pPr>
      <w:r>
        <w:rPr>
          <w:sz w:val="16"/>
        </w:rPr>
        <w:t>[8] R. K. Inapakurthi, N. K. Pujari, and K. Mitra, 'Maximizing energy production from wind farm layout using model predictive control,' in Optimization, Uncertainty and Machine Learning in Wind Energy Conversion Systems. Cham: Springer, 2025, pp. 85–112.</w:t>
      </w:r>
    </w:p>
    <w:p>
      <w:pPr>
        <w:spacing w:after="40"/>
        <w:jc w:val="both"/>
      </w:pPr>
      <w:r>
        <w:rPr>
          <w:sz w:val="16"/>
        </w:rPr>
        <w:t>[9] R. Schwartz, J. Dodge, N. A. Smith, and O. Etzioni, 'Green AI,' Commun. ACM, vol. 63, no. 12, pp. 54–63, Dec. 2020.</w:t>
      </w:r>
    </w:p>
    <w:p>
      <w:pPr>
        <w:spacing w:after="40"/>
        <w:jc w:val="both"/>
      </w:pPr>
      <w:r>
        <w:rPr>
          <w:sz w:val="16"/>
        </w:rPr>
        <w:t>[10] M. Raissi, P. Perdikaris, and G. E. Karniadakis, 'Physics-informed neural networks,' J. Comput. Phys., vol. 378, pp. 686–707, Feb. 2019.</w:t>
      </w:r>
    </w:p>
    <w:p>
      <w:pPr>
        <w:spacing w:after="40"/>
        <w:jc w:val="both"/>
      </w:pPr>
      <w:r>
        <w:rPr>
          <w:sz w:val="16"/>
        </w:rPr>
        <w:t>[11] S. Siracusano et al., 'Degradation issues of PEM electrolysis MEAs,' Renew. Energy, vol. 123, pp. 52–57, Aug. 2018.</w:t>
      </w:r>
    </w:p>
    <w:p>
      <w:pPr>
        <w:spacing w:after="40"/>
        <w:jc w:val="both"/>
      </w:pPr>
      <w:r>
        <w:rPr>
          <w:sz w:val="16"/>
        </w:rPr>
        <w:t>[12] M. Madakyaru, C. N. Bhushan, and S. R. Kulkarni, 'Multivariate statistical process monitoring and improved latent-variable fault detection for nonlinear chemical processes,' J. Process Control, vol. 134, p. 103148, 2024.</w:t>
      </w:r>
    </w:p>
    <w:p>
      <w:pPr>
        <w:spacing w:after="40"/>
        <w:jc w:val="both"/>
      </w:pPr>
      <w:r>
        <w:rPr>
          <w:sz w:val="16"/>
        </w:rPr>
        <w:t>[13] M. N. Nounou, B. R. Bakshi, P. K. Goel, and X. Shen, 'Multiscale latent variable modeling for fault detection in dynamic chemical systems,' AIChE J., vol. 48, no. 8, pp. 1775–1793, 2002.</w:t>
      </w:r>
    </w:p>
    <w:p>
      <w:pPr>
        <w:spacing w:after="40"/>
        <w:jc w:val="both"/>
      </w:pPr>
      <w:r>
        <w:rPr>
          <w:sz w:val="16"/>
        </w:rPr>
        <w:t>[14] S. J. Qin, 'Survey on data-driven industrial process monitoring and diagnosis,' Annu. Rev. Control, vol. 36, no. 2, pp. 220–234, Dec. 2012.</w:t>
      </w:r>
    </w:p>
    <w:p>
      <w:pPr>
        <w:spacing w:after="40"/>
        <w:jc w:val="both"/>
      </w:pPr>
      <w:r>
        <w:rPr>
          <w:sz w:val="16"/>
        </w:rPr>
        <w:t>[15] J. E. Jackson and G. S. Mudholkar, 'Control procedures for residuals associated with principal component analysis,' Technometrics, vol. 21, no. 3, pp. 341–349, Aug. 1979.</w:t>
      </w:r>
    </w:p>
    <w:p>
      <w:pPr>
        <w:spacing w:after="40"/>
        <w:jc w:val="both"/>
      </w:pPr>
      <w:r>
        <w:rPr>
          <w:sz w:val="16"/>
        </w:rPr>
        <w:t>[16] NASA POWER Project, 'Prediction Of Worldwide Energy Resources (Coastal Karnataka Grid 13.3525°N, 74.7928°E),' NASA, 2026.</w:t>
      </w:r>
    </w:p>
    <w:p>
      <w:pPr>
        <w:spacing w:after="40"/>
        <w:jc w:val="both"/>
      </w:pPr>
      <w:r>
        <w:rPr>
          <w:sz w:val="16"/>
        </w:rPr>
        <w:t>[17] R. Gupta et al., 'GIS and machine learning-assisted spatial scenario modeling for sustainable infrastructure and resource management,' Sustain. Cities Soc., vol. 74, p. 103195, Nov. 2021.</w:t>
      </w:r>
    </w:p>
    <w:p>
      <w:pPr>
        <w:spacing w:after="40"/>
        <w:jc w:val="both"/>
      </w:pPr>
      <w:r>
        <w:rPr>
          <w:sz w:val="16"/>
        </w:rPr>
        <w:t>[18] T. E. Springer, T. A. Zawodzinski, and S. Gottesfeld, 'Polymer electrolyte fuel cell model,' J. Electrochem. Soc., vol. 138, no. 8, pp. 2334–2342, Aug. 1991.</w:t>
      </w:r>
    </w:p>
    <w:p>
      <w:pPr>
        <w:spacing w:after="40"/>
        <w:jc w:val="both"/>
      </w:pPr>
      <w:r>
        <w:rPr>
          <w:sz w:val="16"/>
        </w:rPr>
        <w:t>[19] K. Deb, A. Pratap, S. Agarwal, and T. Meyarivan, 'A fast and elitist multiobjective genetic algorithm: NSGA-II,' IEEE Trans. Evol. Comput., vol. 6, no. 2, pp. 182–197, Apr. 2002.</w:t>
      </w:r>
    </w:p>
    <w:sectPr w:rsidR="00FC693F" w:rsidRPr="0006063C" w:rsidSect="00034616">
      <w:type w:val="continuous"/>
      <w:pgSz w:w="12240" w:h="15840"/>
      <w:pgMar w:top="1080" w:right="900" w:bottom="1440" w:left="90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