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15"/>
        </w:rPr>
        <w:t>2026 NATIONAL CONFERENCE ON ARTIFICIAL INTELLIGENCE, SUSTAINABLE PROCESSES, INNOVATION &amp; RENEWABLE ENERGY (CHEMIGNITE / ASPIRE 2026) • MIT MANIPAL</w:t>
      </w:r>
    </w:p>
    <w:p>
      <w:pPr>
        <w:spacing w:after="240"/>
        <w:jc w:val="center"/>
      </w:pPr>
      <w:r>
        <w:rPr>
          <w:rFonts w:ascii="Times New Roman" w:hAnsi="Times New Roman"/>
          <w:sz w:val="40"/>
        </w:rPr>
        <w:t>Physics-Guided Surrogate Optimization and Load-Compensated Multivariate Fault Monitoring of a Coastal Hybrid Wind–Solar–PEM Green Hydrogen Plant under Multi-Year Meteorological Uncertainty</w:t>
      </w:r>
    </w:p>
    <w:tbl>
      <w:tblPr>
        <w:tblW w:type="auto" w:w="0"/>
        <w:jc w:val="center"/>
        <w:tblLook w:firstColumn="1" w:firstRow="1" w:lastColumn="0" w:lastRow="0" w:noHBand="0" w:noVBand="1" w:val="04A0"/>
      </w:tblPr>
      <w:tblGrid>
        <w:gridCol w:w="5220"/>
        <w:gridCol w:w="5220"/>
      </w:tblGrid>
      <w:tr>
        <w:tc>
          <w:tcPr>
            <w:tcW w:type="dxa" w:w="5220"/>
          </w:tcPr>
          <w:p>
            <w:pPr>
              <w:spacing w:after="160"/>
              <w:jc w:val="center"/>
            </w:pPr>
            <w:r>
              <w:rPr>
                <w:rFonts w:ascii="Times New Roman" w:hAnsi="Times New Roman"/>
                <w:sz w:val="22"/>
              </w:rPr>
              <w:t>Krishnendu</w:t>
              <w:br/>
            </w:r>
            <w:r>
              <w:rPr>
                <w:rFonts w:ascii="Times New Roman" w:hAnsi="Times New Roman"/>
                <w:i/>
                <w:sz w:val="19"/>
              </w:rPr>
              <w:t>Department of Computer Science and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c>
          <w:tcPr>
            <w:tcW w:type="dxa" w:w="5220"/>
          </w:tcPr>
          <w:p>
            <w:pPr>
              <w:spacing w:after="160"/>
              <w:jc w:val="center"/>
            </w:pPr>
            <w:r>
              <w:rPr>
                <w:rFonts w:ascii="Times New Roman" w:hAnsi="Times New Roman"/>
                <w:sz w:val="22"/>
              </w:rPr>
              <w:t>Arav Aggarwal</w:t>
              <w:br/>
            </w:r>
            <w:r>
              <w:rPr>
                <w:rFonts w:ascii="Times New Roman" w:hAnsi="Times New Roman"/>
                <w:i/>
                <w:sz w:val="19"/>
              </w:rPr>
              <w:t>Department of Civil Engineering, School of Civil &amp; Chemical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r>
    </w:tbl>
    <w:p>
      <w:pPr>
        <w:sectPr>
          <w:pgSz w:w="12240" w:h="15840"/>
          <w:pgMar w:top="1080" w:right="900" w:bottom="1440" w:left="900" w:header="720" w:footer="720" w:gutter="0"/>
          <w:cols w:space="720"/>
          <w:docGrid w:linePitch="360"/>
        </w:sectPr>
      </w:pPr>
    </w:p>
    <w:p>
      <w:pPr>
        <w:spacing w:after="120"/>
        <w:ind w:firstLine="216"/>
        <w:jc w:val="both"/>
      </w:pPr>
      <w:r>
        <w:rPr>
          <w:b/>
          <w:i/>
          <w:sz w:val="18"/>
        </w:rPr>
        <w:t>Abstract</w:t>
      </w:r>
      <w:r>
        <w:rPr>
          <w:b/>
          <w:sz w:val="18"/>
        </w:rPr>
        <w:t>—Decarbonizing heavy coastal industries—such as petroleum refining, nitrogenous fertilizers, and port logistics in southwestern India—requires continuous, cost-effective green hydrogen (H₂) supply under severe seasonal weather variability. In this work, we investigate a 500 kg H₂/h (4,355 t/yr) hybrid wind–solar proton exchange membrane water electrolysis (PEMWE) facility through an audited, multi-year Process Systems Engineering (PSE) and physics-guided machine learning framework. First, analysis of six contiguous years (2019–2024, 52,608 hourly observations) of uninflated NASA POWER MERRA-2 meteorological data demonstrates that local coastal wind in the Udupi–Mangalore corridor (13.35°N, 74.79°E) yields a low capacity factor (CF = 14.70%), whereas open-access wheeled wind from the Chitradurga–Gadag highland corridor (14.23°N, 76.40°E, delivered CF = 43.29% using an IEC Class IIIB low-wind turbine with v_r = 8.4 m/s vs. standard Class II at 31.20%) achieves strong seasonal complementarity with on-site coastal solar PV (CF = 21.23%). Second, a first-principles high-current PEMWE model calibrated against a literature benchmark of 14 semi-empirical polarization points (Nafion 115, 75°C, 30 bar, RMSE = 3.10 mV, R² = 0.99971) is coupled with catalytic recombination to guarantee anodic H₂-in-O₂ ≤ 1.64 mol% (&lt;50% of lower explosion limit) at turndown (i_min = 0.20 A/cm²). Third, a strictly leak-free 2×5 surrogate ablation establishes that a compact physics-guided Multi-Layer Perceptron (Green-MLP, 4,612 parameters) achieves 5-fold cross-validation R² = 0.9943 ± 0.0031 (R² = 0.9982 on LCOH, RMSE = INR 1.66 ± 0.51/kg) with an 89.94% FLOP reduction over regularized deep networks and a 4,206× inference acceleration over Numba-accelerated 52,608-hour simulations. Fourth, a 5-seed constrained NSGA-II optimization with split-CAPEX modeling reveals a critical trade-off: dynamic current overload (i_max &gt; 1.80 A/cm²) does not decrease Levelized Cost of Hydrogen (LCOH) because balance-of-plant (BOP) and rectifier capital costs scale with peak megawatt capacity, favoring a knee-point design (48.02 MW wind, 72.77 MW solar, 43.61 MW nominal PEM at i_max* = 1.764 A/cm², 86.86 MWh battery) delivering LCOH = INR 332.51/kg H₂ ($3.96/kg), LPSP = 0.62%, and 12.0-year stack lifetime. Wheeled highland wind lowers LCOH by 12.96% relative to an optimized pure coastal hybrid plant (INR 382.04/kg) and avoids severe supply failure (LPSP = 21.30%) if identical hardware operates solely on coastal wind. Finally, a 9-sensor latent-variable Principal Component Analysis (PCA, k=3, 96.03% variance) benchmarked across 100 dynamic realizations demonstrates that while load-compensated 1D voltage-residual EWMA detects incipient membrane dehydration with marginally lower latency (10.6 h vs. 11.6 h), PCA provides unique multi-sensor root-cause diagnosis via contribution plots, isolating thermal-pressure anomalies (95.2% combined contribution) during dehydration and overpotential-production anomalies during anodic flooding (100% detection rate).</w:t>
      </w:r>
    </w:p>
    <w:p>
      <w:pPr>
        <w:spacing w:after="160"/>
        <w:ind w:firstLine="216"/>
        <w:jc w:val="both"/>
      </w:pPr>
      <w:r>
        <w:rPr>
          <w:b/>
          <w:i/>
          <w:sz w:val="18"/>
        </w:rPr>
        <w:t>Index Terms</w:t>
      </w:r>
      <w:r>
        <w:rPr>
          <w:b/>
          <w:sz w:val="18"/>
        </w:rPr>
        <w:t>—Explainable AI (XAI), green deep learning, green hydrogen, multi-objective optimization (NSGA-II), multi-year meteorological uncertainty, multivariate statistical process monitoring (PCA), PEM water electrolysis, techno-economic analysis.</w:t>
      </w:r>
    </w:p>
    <w:p>
      <w:pPr>
        <w:spacing w:before="160" w:after="60"/>
        <w:jc w:val="center"/>
      </w:pPr>
      <w:r>
        <w:rPr>
          <w:sz w:val="20"/>
        </w:rPr>
        <w:t>I. INTRODUCTION</w:t>
      </w:r>
    </w:p>
    <w:p>
      <w:pPr>
        <w:jc w:val="both"/>
      </w:pPr>
      <w:r>
        <w:rPr>
          <w:sz w:val="20"/>
        </w:rPr>
        <w:t>THE National Green Hydrogen Mission of India targets 5 MMT/yr of green hydrogen production capacity by 2030 to substitute fossil-derived grey hydrogen across petroleum refining, ammonia-based nitrogenous fertilizers, and steelmaking [1]. Heavy chemical complexes in coastal Karnataka—such as Mangalore Refinery and Petrochemicals Limited (MRPL) and Mangalore Chemicals &amp; Fertilizers (MCF)—represent substantial concentrated hydrogen demands (&gt;100 t/day). Siting green hydrogen facilities within coastal industrial corridors offers immediate proximity to off-takers, port bunkering terminals, and abundant seawater desalination potential [2].</w:t>
      </w:r>
    </w:p>
    <w:p>
      <w:pPr>
        <w:ind w:firstLine="216"/>
        <w:jc w:val="both"/>
      </w:pPr>
      <w:r>
        <w:rPr>
          <w:sz w:val="20"/>
        </w:rPr>
        <w:t>However, powering large-scale water electrolysis exclusively from on-site variable renewable energy (VRE) encounters severe techno-economic hurdles in tropical coastal regions. Tropical monsoon climates experience extreme seasonal weather shifts: solar irradiance drops precipitously during the four-month Southwest Monsoon (June–September) under dense cloud cover, whereas coastal surface winds often remain inadequate to sustain baseload multi-megawatt electrolysis throughout the remainder of the year [3], [4].</w:t>
      </w:r>
    </w:p>
    <w:p>
      <w:pPr>
        <w:ind w:firstLine="216"/>
        <w:jc w:val="both"/>
      </w:pPr>
      <w:r>
        <w:rPr>
          <w:sz w:val="20"/>
        </w:rPr>
        <w:t>Recent chemical engineering and energy systems literature has focused on three core engineering strategies: (1) High-Current-Density PEM Electrolysis (Masampally, Mitra, and Runkana [5]), where operating at i ∈ [2.0, 3.5] A/cm² slashes stack CAPEX per unit throughput at the expense of two-phase porous transport layer (PTL) bubble crowding and dynamic voltage degradation [6]–[8]; (2) Physics-Informed 'Green Deep Learning' Surrogates (Pujari, Inapakurthi, and Mitra [2]), replacing over-parameterized black-box deep neural networks with compact, physics-guided neural architectures [9]–[12]; and (3) Multivariate Statistical Process Monitoring (MSPM) via Principal Component Analysis (PCA) Hotelling's T² and Jackson–Mudholkar Q/SPE charts (Madakyaru et al. [13]–[16]) to isolate incipient membrane dehydration and anodic flooding under dynamic renewable ramping. This paper bridges this gap through audited multi-year simulations.</w:t>
      </w:r>
    </w:p>
    <w:p>
      <w:pPr>
        <w:spacing w:before="160" w:after="60"/>
        <w:jc w:val="center"/>
      </w:pPr>
      <w:r>
        <w:rPr>
          <w:sz w:val="20"/>
        </w:rPr>
        <w:t>II. REGIONAL METEOROLOGY, SITING, AND CALIBRATED FIRST-PRINCIPLES ELECTROCHEMISTRY</w:t>
      </w:r>
    </w:p>
    <w:p>
      <w:pPr>
        <w:spacing w:before="120" w:after="40"/>
        <w:jc w:val="left"/>
      </w:pPr>
      <w:r>
        <w:rPr>
          <w:i/>
          <w:sz w:val="20"/>
        </w:rPr>
        <w:t>A. Multi-Year Meteorological Analysis and Regional Siting</w:t>
      </w:r>
    </w:p>
    <w:p>
      <w:pPr>
        <w:jc w:val="both"/>
      </w:pPr>
      <w:r>
        <w:rPr>
          <w:sz w:val="20"/>
        </w:rPr>
        <w:t>Hourly meteorological data spanning six complete years (2019–2024, N = 52,608 h) were extracted from the NASA POWER MERRA-2 archive [17]. We examine two distinct geographic corridors within Karnataka, India: (1) On-Site Coastal Corridor (13.3525°N, 74.7928°E) with GHI = 213.92 W/m², tilted POA irradiance = 220.59 W/m² (PV CF = 21.23%), and raw 100 m wind speed = 4.15 m/s (wind CF = 14.70%); and (2) Inland Highland Wind Corridor (Chitradurga–Gadag, 14.225°N, 76.398°E) with 100 m wind speed = 6.69 m/s. Standard IEC Class II turbines (v_r ≈ 11.0 m/s) deliver 28–32% CUF in this region, whereas an IEC Class IIIB low-wind turbine (v_r = 8.4 m/s, Suzlon S144 / Vestas V120) reaches 44.82% generation CF (delivered CF = 43.29% after 3.4% transmission losses). Under KERC Tariff Order S/01/2024 [18], wheeling charges are INR 0.58/kWh.</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510881"/>
            <wp:docPr id="1" name="Picture 1"/>
            <wp:cNvGraphicFramePr>
              <a:graphicFrameLocks noChangeAspect="1"/>
            </wp:cNvGraphicFramePr>
            <a:graphic>
              <a:graphicData uri="http://schemas.openxmlformats.org/drawingml/2006/picture">
                <pic:pic>
                  <pic:nvPicPr>
                    <pic:cNvPr id="0" name="fig1_coastal_meteo_and_pem_polarization.png"/>
                    <pic:cNvPicPr/>
                  </pic:nvPicPr>
                  <pic:blipFill>
                    <a:blip r:embed="rId9"/>
                    <a:stretch>
                      <a:fillRect/>
                    </a:stretch>
                  </pic:blipFill>
                  <pic:spPr>
                    <a:xfrm>
                      <a:off x="0" y="0"/>
                      <a:ext cx="6492240" cy="2510881"/>
                    </a:xfrm>
                    <a:prstGeom prst="rect"/>
                  </pic:spPr>
                </pic:pic>
              </a:graphicData>
            </a:graphic>
          </wp:inline>
        </w:drawing>
      </w:r>
    </w:p>
    <w:p>
      <w:pPr>
        <w:spacing w:after="160"/>
        <w:jc w:val="both"/>
      </w:pPr>
      <w:r>
        <w:rPr>
          <w:sz w:val="17"/>
        </w:rPr>
        <w:t>Fig. 1. Full-width multi-year meteorological analysis and PEM polarization: (a) Seasonal complementarity across 6 complete years (2019–2024, 52,608 h) between coastal solar PV and open-access wheeled highland wind; (b) Calibrated PEMWE polarization curve against semi-empirical literature benchmark (75°C, 30 bar) with overpotential breakdown.</w:t>
      </w:r>
    </w:p>
    <w:p>
      <w:pPr>
        <w:sectPr>
          <w:type w:val="continuous"/>
          <w:pgSz w:w="12240" w:h="15840"/>
          <w:pgMar w:top="1080" w:right="900" w:bottom="1440" w:left="900" w:header="720" w:footer="720" w:gutter="0"/>
          <w:cols w:space="360" w:num="1"/>
          <w:docGrid w:linePitch="360"/>
        </w:sectPr>
      </w:pPr>
    </w:p>
    <w:p>
      <w:pPr>
        <w:spacing w:before="120" w:after="40"/>
        <w:jc w:val="left"/>
      </w:pPr>
      <w:r>
        <w:rPr>
          <w:i/>
          <w:sz w:val="20"/>
        </w:rPr>
        <w:t>B. First-Principles High-Current PEMWE Formulation</w:t>
      </w:r>
    </w:p>
    <w:p>
      <w:pPr>
        <w:jc w:val="both"/>
      </w:pPr>
      <w:r>
        <w:rPr>
          <w:sz w:val="20"/>
        </w:rPr>
        <w:t>Single-cell potential V_cell(i, T, P) over i ∈ [0.05, 3.50] A/cm² at T = 348.15 K (75°C) and P_cat = 30 bar is decomposed into reversible Nernst potential (V_rev = 1.234 V using Antoine vapor pressure 0.3846 bar), Butler–Volmer activation (η_act), Nafion 115 ohmic overpotential (η_ohm, δ_mem = 127 μm, λ = 18.5), and two-phase bubble crowding concentration overpotential (η_conc):</w:t>
      </w:r>
    </w:p>
    <w:p>
      <w:pPr>
        <w:spacing w:before="60" w:after="60"/>
        <w:jc w:val="center"/>
      </w:pPr>
      <w:r>
        <w:rPr>
          <w:i/>
          <w:sz w:val="19"/>
        </w:rPr>
        <w:t>V_cell = V_rev(T, P) + η_act(i, T) + η_ohm(i, T, λ) + η_conc(i, T)    (1)</w:t>
      </w:r>
    </w:p>
    <w:p>
      <w:pPr>
        <w:spacing w:before="60" w:after="60"/>
        <w:jc w:val="center"/>
      </w:pPr>
      <w:r>
        <w:rPr>
          <w:i/>
          <w:sz w:val="19"/>
        </w:rPr>
        <w:t>η_conc = -(RT/4F)ln(1 - i/i_L,an) - (RT/2F)ln(1 - i/i_L,cat) + β_bub · i^1.65    (2)</w:t>
      </w:r>
    </w:p>
    <w:p>
      <w:pPr>
        <w:spacing w:before="60" w:after="60"/>
        <w:jc w:val="center"/>
      </w:pPr>
      <w:r>
        <w:rPr>
          <w:i/>
          <w:sz w:val="19"/>
        </w:rPr>
        <w:t>dV_deg/dt = 1.20 + 0.25 + 2.80 · max(0, i(t) - 1.80)^1.85 + 1.40 · |di/dt|   [μV/h]    (3)</w:t>
      </w:r>
    </w:p>
    <w:p>
      <w:pPr>
        <w:ind w:firstLine="216"/>
        <w:jc w:val="both"/>
      </w:pPr>
      <w:r>
        <w:rPr>
          <w:sz w:val="20"/>
        </w:rPr>
        <w:t>Model parameters were calibrated against an assembled semi-empirical benchmark of N = 14 points derived from Bernt &amp; Gasteiger [6] and Rakousky et al. [7] (75°C, 30 bar), achieving RMSE = 3.10 mV, MAE = 3.01 mV, and R² = 0.99971. Catalytic recombination (η_recomb = 0.88) and i_min = 0.20 A/cm² limit anodic H₂-in-O₂ to 1.64 mol% (&lt;50% LEL trip limit).</w:t>
      </w:r>
    </w:p>
    <w:tbl>
      <w:tblPr>
        <w:tblW w:type="auto" w:w="0"/>
        <w:jc w:val="center"/>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r>
              <w:rPr>
                <w:b/>
                <w:sz w:val="15"/>
              </w:rPr>
              <w:t>i (A/cm²)</w:t>
            </w:r>
          </w:p>
        </w:tc>
        <w:tc>
          <w:tcPr>
            <w:tcW w:type="dxa" w:w="1305"/>
          </w:tcPr>
          <w:p>
            <w:r>
              <w:rPr>
                <w:b/>
                <w:sz w:val="15"/>
              </w:rPr>
              <w:t>V_rev (V)</w:t>
            </w:r>
          </w:p>
        </w:tc>
        <w:tc>
          <w:tcPr>
            <w:tcW w:type="dxa" w:w="1305"/>
          </w:tcPr>
          <w:p>
            <w:r>
              <w:rPr>
                <w:b/>
                <w:sz w:val="15"/>
              </w:rPr>
              <w:t>η_act (V)</w:t>
            </w:r>
          </w:p>
        </w:tc>
        <w:tc>
          <w:tcPr>
            <w:tcW w:type="dxa" w:w="1305"/>
          </w:tcPr>
          <w:p>
            <w:r>
              <w:rPr>
                <w:b/>
                <w:sz w:val="15"/>
              </w:rPr>
              <w:t>η_ohm (V)</w:t>
            </w:r>
          </w:p>
        </w:tc>
        <w:tc>
          <w:tcPr>
            <w:tcW w:type="dxa" w:w="1305"/>
          </w:tcPr>
          <w:p>
            <w:r>
              <w:rPr>
                <w:b/>
                <w:sz w:val="15"/>
              </w:rPr>
              <w:t>η_conc (V)</w:t>
            </w:r>
          </w:p>
        </w:tc>
        <w:tc>
          <w:tcPr>
            <w:tcW w:type="dxa" w:w="1305"/>
          </w:tcPr>
          <w:p>
            <w:r>
              <w:rPr>
                <w:b/>
                <w:sz w:val="15"/>
              </w:rPr>
              <w:t>V_cell (V)</w:t>
            </w:r>
          </w:p>
        </w:tc>
        <w:tc>
          <w:tcPr>
            <w:tcW w:type="dxa" w:w="1305"/>
          </w:tcPr>
          <w:p>
            <w:r>
              <w:rPr>
                <w:b/>
                <w:sz w:val="15"/>
              </w:rPr>
              <w:t>SEC (kWh/kg)</w:t>
            </w:r>
          </w:p>
        </w:tc>
        <w:tc>
          <w:tcPr>
            <w:tcW w:type="dxa" w:w="1305"/>
          </w:tcPr>
          <w:p>
            <w:r>
              <w:rPr>
                <w:b/>
                <w:sz w:val="15"/>
              </w:rPr>
              <w:t>y_H2 (%)</w:t>
            </w:r>
          </w:p>
        </w:tc>
      </w:tr>
      <w:tr>
        <w:tc>
          <w:tcPr>
            <w:tcW w:type="dxa" w:w="1305"/>
          </w:tcPr>
          <w:p>
            <w:r>
              <w:rPr>
                <w:sz w:val="14"/>
              </w:rPr>
              <w:t>0.50</w:t>
            </w:r>
          </w:p>
        </w:tc>
        <w:tc>
          <w:tcPr>
            <w:tcW w:type="dxa" w:w="1305"/>
          </w:tcPr>
          <w:p>
            <w:r>
              <w:rPr>
                <w:sz w:val="14"/>
              </w:rPr>
              <w:t>1.234</w:t>
            </w:r>
          </w:p>
        </w:tc>
        <w:tc>
          <w:tcPr>
            <w:tcW w:type="dxa" w:w="1305"/>
          </w:tcPr>
          <w:p>
            <w:r>
              <w:rPr>
                <w:sz w:val="14"/>
              </w:rPr>
              <w:t>0.293</w:t>
            </w:r>
          </w:p>
        </w:tc>
        <w:tc>
          <w:tcPr>
            <w:tcW w:type="dxa" w:w="1305"/>
          </w:tcPr>
          <w:p>
            <w:r>
              <w:rPr>
                <w:sz w:val="14"/>
              </w:rPr>
              <w:t>0.056</w:t>
            </w:r>
          </w:p>
        </w:tc>
        <w:tc>
          <w:tcPr>
            <w:tcW w:type="dxa" w:w="1305"/>
          </w:tcPr>
          <w:p>
            <w:r>
              <w:rPr>
                <w:sz w:val="14"/>
              </w:rPr>
              <w:t>0.007</w:t>
            </w:r>
          </w:p>
        </w:tc>
        <w:tc>
          <w:tcPr>
            <w:tcW w:type="dxa" w:w="1305"/>
          </w:tcPr>
          <w:p>
            <w:r>
              <w:rPr>
                <w:sz w:val="14"/>
              </w:rPr>
              <w:t>1.590</w:t>
            </w:r>
          </w:p>
        </w:tc>
        <w:tc>
          <w:tcPr>
            <w:tcW w:type="dxa" w:w="1305"/>
          </w:tcPr>
          <w:p>
            <w:r>
              <w:rPr>
                <w:sz w:val="14"/>
              </w:rPr>
              <w:t>46.69</w:t>
            </w:r>
          </w:p>
        </w:tc>
        <w:tc>
          <w:tcPr>
            <w:tcW w:type="dxa" w:w="1305"/>
          </w:tcPr>
          <w:p>
            <w:r>
              <w:rPr>
                <w:sz w:val="14"/>
              </w:rPr>
              <w:t>0.663</w:t>
            </w:r>
          </w:p>
        </w:tc>
      </w:tr>
      <w:tr>
        <w:tc>
          <w:tcPr>
            <w:tcW w:type="dxa" w:w="1305"/>
          </w:tcPr>
          <w:p>
            <w:r>
              <w:rPr>
                <w:sz w:val="14"/>
              </w:rPr>
              <w:t>1.00</w:t>
            </w:r>
          </w:p>
        </w:tc>
        <w:tc>
          <w:tcPr>
            <w:tcW w:type="dxa" w:w="1305"/>
          </w:tcPr>
          <w:p>
            <w:r>
              <w:rPr>
                <w:sz w:val="14"/>
              </w:rPr>
              <w:t>1.234</w:t>
            </w:r>
          </w:p>
        </w:tc>
        <w:tc>
          <w:tcPr>
            <w:tcW w:type="dxa" w:w="1305"/>
          </w:tcPr>
          <w:p>
            <w:r>
              <w:rPr>
                <w:sz w:val="14"/>
              </w:rPr>
              <w:t>0.326</w:t>
            </w:r>
          </w:p>
        </w:tc>
        <w:tc>
          <w:tcPr>
            <w:tcW w:type="dxa" w:w="1305"/>
          </w:tcPr>
          <w:p>
            <w:r>
              <w:rPr>
                <w:sz w:val="14"/>
              </w:rPr>
              <w:t>0.113</w:t>
            </w:r>
          </w:p>
        </w:tc>
        <w:tc>
          <w:tcPr>
            <w:tcW w:type="dxa" w:w="1305"/>
          </w:tcPr>
          <w:p>
            <w:r>
              <w:rPr>
                <w:sz w:val="14"/>
              </w:rPr>
              <w:t>0.019</w:t>
            </w:r>
          </w:p>
        </w:tc>
        <w:tc>
          <w:tcPr>
            <w:tcW w:type="dxa" w:w="1305"/>
          </w:tcPr>
          <w:p>
            <w:r>
              <w:rPr>
                <w:sz w:val="14"/>
              </w:rPr>
              <w:t>1.691</w:t>
            </w:r>
          </w:p>
        </w:tc>
        <w:tc>
          <w:tcPr>
            <w:tcW w:type="dxa" w:w="1305"/>
          </w:tcPr>
          <w:p>
            <w:r>
              <w:rPr>
                <w:sz w:val="14"/>
              </w:rPr>
              <w:t>48.86</w:t>
            </w:r>
          </w:p>
        </w:tc>
        <w:tc>
          <w:tcPr>
            <w:tcW w:type="dxa" w:w="1305"/>
          </w:tcPr>
          <w:p>
            <w:r>
              <w:rPr>
                <w:sz w:val="14"/>
              </w:rPr>
              <w:t>0.332</w:t>
            </w:r>
          </w:p>
        </w:tc>
      </w:tr>
      <w:tr>
        <w:tc>
          <w:tcPr>
            <w:tcW w:type="dxa" w:w="1305"/>
          </w:tcPr>
          <w:p>
            <w:r>
              <w:rPr>
                <w:sz w:val="14"/>
              </w:rPr>
              <w:t>1.80</w:t>
            </w:r>
          </w:p>
        </w:tc>
        <w:tc>
          <w:tcPr>
            <w:tcW w:type="dxa" w:w="1305"/>
          </w:tcPr>
          <w:p>
            <w:r>
              <w:rPr>
                <w:sz w:val="14"/>
              </w:rPr>
              <w:t>1.234</w:t>
            </w:r>
          </w:p>
        </w:tc>
        <w:tc>
          <w:tcPr>
            <w:tcW w:type="dxa" w:w="1305"/>
          </w:tcPr>
          <w:p>
            <w:r>
              <w:rPr>
                <w:sz w:val="14"/>
              </w:rPr>
              <w:t>0.355</w:t>
            </w:r>
          </w:p>
        </w:tc>
        <w:tc>
          <w:tcPr>
            <w:tcW w:type="dxa" w:w="1305"/>
          </w:tcPr>
          <w:p>
            <w:r>
              <w:rPr>
                <w:sz w:val="14"/>
              </w:rPr>
              <w:t>0.203</w:t>
            </w:r>
          </w:p>
        </w:tc>
        <w:tc>
          <w:tcPr>
            <w:tcW w:type="dxa" w:w="1305"/>
          </w:tcPr>
          <w:p>
            <w:r>
              <w:rPr>
                <w:sz w:val="14"/>
              </w:rPr>
              <w:t>0.046</w:t>
            </w:r>
          </w:p>
        </w:tc>
        <w:tc>
          <w:tcPr>
            <w:tcW w:type="dxa" w:w="1305"/>
          </w:tcPr>
          <w:p>
            <w:r>
              <w:rPr>
                <w:sz w:val="14"/>
              </w:rPr>
              <w:t>1.838</w:t>
            </w:r>
          </w:p>
        </w:tc>
        <w:tc>
          <w:tcPr>
            <w:tcW w:type="dxa" w:w="1305"/>
          </w:tcPr>
          <w:p>
            <w:r>
              <w:rPr>
                <w:sz w:val="14"/>
              </w:rPr>
              <w:t>52.62</w:t>
            </w:r>
          </w:p>
        </w:tc>
        <w:tc>
          <w:tcPr>
            <w:tcW w:type="dxa" w:w="1305"/>
          </w:tcPr>
          <w:p>
            <w:r>
              <w:rPr>
                <w:sz w:val="14"/>
              </w:rPr>
              <w:t>0.185</w:t>
            </w:r>
          </w:p>
        </w:tc>
      </w:tr>
      <w:tr>
        <w:tc>
          <w:tcPr>
            <w:tcW w:type="dxa" w:w="1305"/>
          </w:tcPr>
          <w:p>
            <w:r>
              <w:rPr>
                <w:sz w:val="14"/>
              </w:rPr>
              <w:t>2.50</w:t>
            </w:r>
          </w:p>
        </w:tc>
        <w:tc>
          <w:tcPr>
            <w:tcW w:type="dxa" w:w="1305"/>
          </w:tcPr>
          <w:p>
            <w:r>
              <w:rPr>
                <w:sz w:val="14"/>
              </w:rPr>
              <w:t>1.234</w:t>
            </w:r>
          </w:p>
        </w:tc>
        <w:tc>
          <w:tcPr>
            <w:tcW w:type="dxa" w:w="1305"/>
          </w:tcPr>
          <w:p>
            <w:r>
              <w:rPr>
                <w:sz w:val="14"/>
              </w:rPr>
              <w:t>0.371</w:t>
            </w:r>
          </w:p>
        </w:tc>
        <w:tc>
          <w:tcPr>
            <w:tcW w:type="dxa" w:w="1305"/>
          </w:tcPr>
          <w:p>
            <w:r>
              <w:rPr>
                <w:sz w:val="14"/>
              </w:rPr>
              <w:t>0.281</w:t>
            </w:r>
          </w:p>
        </w:tc>
        <w:tc>
          <w:tcPr>
            <w:tcW w:type="dxa" w:w="1305"/>
          </w:tcPr>
          <w:p>
            <w:r>
              <w:rPr>
                <w:sz w:val="14"/>
              </w:rPr>
              <w:t>0.078</w:t>
            </w:r>
          </w:p>
        </w:tc>
        <w:tc>
          <w:tcPr>
            <w:tcW w:type="dxa" w:w="1305"/>
          </w:tcPr>
          <w:p>
            <w:r>
              <w:rPr>
                <w:sz w:val="14"/>
              </w:rPr>
              <w:t>1.965</w:t>
            </w:r>
          </w:p>
        </w:tc>
        <w:tc>
          <w:tcPr>
            <w:tcW w:type="dxa" w:w="1305"/>
          </w:tcPr>
          <w:p>
            <w:r>
              <w:rPr>
                <w:sz w:val="14"/>
              </w:rPr>
              <w:t>56.01</w:t>
            </w:r>
          </w:p>
        </w:tc>
        <w:tc>
          <w:tcPr>
            <w:tcW w:type="dxa" w:w="1305"/>
          </w:tcPr>
          <w:p>
            <w:r>
              <w:rPr>
                <w:sz w:val="14"/>
              </w:rPr>
              <w:t>0.133</w:t>
            </w:r>
          </w:p>
        </w:tc>
      </w:tr>
      <w:tr>
        <w:tc>
          <w:tcPr>
            <w:tcW w:type="dxa" w:w="1305"/>
          </w:tcPr>
          <w:p>
            <w:r>
              <w:rPr>
                <w:sz w:val="14"/>
              </w:rPr>
              <w:t>3.00</w:t>
            </w:r>
          </w:p>
        </w:tc>
        <w:tc>
          <w:tcPr>
            <w:tcW w:type="dxa" w:w="1305"/>
          </w:tcPr>
          <w:p>
            <w:r>
              <w:rPr>
                <w:sz w:val="14"/>
              </w:rPr>
              <w:t>1.234</w:t>
            </w:r>
          </w:p>
        </w:tc>
        <w:tc>
          <w:tcPr>
            <w:tcW w:type="dxa" w:w="1305"/>
          </w:tcPr>
          <w:p>
            <w:r>
              <w:rPr>
                <w:sz w:val="14"/>
              </w:rPr>
              <w:t>0.380</w:t>
            </w:r>
          </w:p>
        </w:tc>
        <w:tc>
          <w:tcPr>
            <w:tcW w:type="dxa" w:w="1305"/>
          </w:tcPr>
          <w:p>
            <w:r>
              <w:rPr>
                <w:sz w:val="14"/>
              </w:rPr>
              <w:t>0.338</w:t>
            </w:r>
          </w:p>
        </w:tc>
        <w:tc>
          <w:tcPr>
            <w:tcW w:type="dxa" w:w="1305"/>
          </w:tcPr>
          <w:p>
            <w:r>
              <w:rPr>
                <w:sz w:val="14"/>
              </w:rPr>
              <w:t>0.106</w:t>
            </w:r>
          </w:p>
        </w:tc>
        <w:tc>
          <w:tcPr>
            <w:tcW w:type="dxa" w:w="1305"/>
          </w:tcPr>
          <w:p>
            <w:r>
              <w:rPr>
                <w:sz w:val="14"/>
              </w:rPr>
              <w:t>2.058</w:t>
            </w:r>
          </w:p>
        </w:tc>
        <w:tc>
          <w:tcPr>
            <w:tcW w:type="dxa" w:w="1305"/>
          </w:tcPr>
          <w:p>
            <w:r>
              <w:rPr>
                <w:sz w:val="14"/>
              </w:rPr>
              <w:t>58.51</w:t>
            </w:r>
          </w:p>
        </w:tc>
        <w:tc>
          <w:tcPr>
            <w:tcW w:type="dxa" w:w="1305"/>
          </w:tcPr>
          <w:p>
            <w:r>
              <w:rPr>
                <w:sz w:val="14"/>
              </w:rPr>
              <w:t>0.111</w:t>
            </w:r>
          </w:p>
        </w:tc>
      </w:tr>
      <w:tr>
        <w:tc>
          <w:tcPr>
            <w:tcW w:type="dxa" w:w="1305"/>
          </w:tcPr>
          <w:p>
            <w:r>
              <w:rPr>
                <w:sz w:val="14"/>
              </w:rPr>
              <w:t>3.50</w:t>
            </w:r>
          </w:p>
        </w:tc>
        <w:tc>
          <w:tcPr>
            <w:tcW w:type="dxa" w:w="1305"/>
          </w:tcPr>
          <w:p>
            <w:r>
              <w:rPr>
                <w:sz w:val="14"/>
              </w:rPr>
              <w:t>1.234</w:t>
            </w:r>
          </w:p>
        </w:tc>
        <w:tc>
          <w:tcPr>
            <w:tcW w:type="dxa" w:w="1305"/>
          </w:tcPr>
          <w:p>
            <w:r>
              <w:rPr>
                <w:sz w:val="14"/>
              </w:rPr>
              <w:t>0.388</w:t>
            </w:r>
          </w:p>
        </w:tc>
        <w:tc>
          <w:tcPr>
            <w:tcW w:type="dxa" w:w="1305"/>
          </w:tcPr>
          <w:p>
            <w:r>
              <w:rPr>
                <w:sz w:val="14"/>
              </w:rPr>
              <w:t>0.394</w:t>
            </w:r>
          </w:p>
        </w:tc>
        <w:tc>
          <w:tcPr>
            <w:tcW w:type="dxa" w:w="1305"/>
          </w:tcPr>
          <w:p>
            <w:r>
              <w:rPr>
                <w:sz w:val="14"/>
              </w:rPr>
              <w:t>0.137</w:t>
            </w:r>
          </w:p>
        </w:tc>
        <w:tc>
          <w:tcPr>
            <w:tcW w:type="dxa" w:w="1305"/>
          </w:tcPr>
          <w:p>
            <w:r>
              <w:rPr>
                <w:sz w:val="14"/>
              </w:rPr>
              <w:t>2.153</w:t>
            </w:r>
          </w:p>
        </w:tc>
        <w:tc>
          <w:tcPr>
            <w:tcW w:type="dxa" w:w="1305"/>
          </w:tcPr>
          <w:p>
            <w:r>
              <w:rPr>
                <w:sz w:val="14"/>
              </w:rPr>
              <w:t>61.11</w:t>
            </w:r>
          </w:p>
        </w:tc>
        <w:tc>
          <w:tcPr>
            <w:tcW w:type="dxa" w:w="1305"/>
          </w:tcPr>
          <w:p>
            <w:r>
              <w:rPr>
                <w:sz w:val="14"/>
              </w:rPr>
              <w:t>0.095</w:t>
            </w:r>
          </w:p>
        </w:tc>
      </w:tr>
    </w:tbl>
    <w:p>
      <w:pPr>
        <w:spacing w:before="120" w:after="40"/>
      </w:pPr>
      <w:r>
        <w:rPr>
          <w:b/>
          <w:color w:val="1E3A8A"/>
          <w:sz w:val="17"/>
        </w:rPr>
        <w:t>■ CALCULATION BOX 1: FIRST-PRINCIPLES ELECTROCHEMICAL WALKTHROUGH (1.80 A/CM², 75°C, 30 BAR)</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Reversible Potential, V_rev</w:t>
            </w:r>
          </w:p>
        </w:tc>
        <w:tc>
          <w:tcPr>
            <w:tcW w:type="dxa" w:w="3480"/>
          </w:tcPr>
          <w:p>
            <w:r>
              <w:rPr>
                <w:sz w:val="14"/>
              </w:rPr>
              <w:t>1.1867 + (8.314·348.15)/(2·96485)·ln[(30-0.385)(1-0.385)^0.5/1]</w:t>
            </w:r>
          </w:p>
        </w:tc>
        <w:tc>
          <w:tcPr>
            <w:tcW w:type="dxa" w:w="3480"/>
          </w:tcPr>
          <w:p>
            <w:pPr>
              <w:jc w:val="right"/>
            </w:pPr>
            <w:r>
              <w:rPr>
                <w:b/>
                <w:sz w:val="14"/>
              </w:rPr>
              <w:t>1.2343 V</w:t>
            </w:r>
          </w:p>
        </w:tc>
      </w:tr>
      <w:tr>
        <w:tc>
          <w:tcPr>
            <w:tcW w:type="dxa" w:w="3480"/>
          </w:tcPr>
          <w:p>
            <w:r>
              <w:rPr>
                <w:sz w:val="14"/>
              </w:rPr>
              <w:t>Anodic OER Activation, η_act,an</w:t>
            </w:r>
          </w:p>
        </w:tc>
        <w:tc>
          <w:tcPr>
            <w:tcW w:type="dxa" w:w="3480"/>
          </w:tcPr>
          <w:p>
            <w:r>
              <w:rPr>
                <w:sz w:val="14"/>
              </w:rPr>
              <w:t>0.02999 · arcsinh[1.80 / (2 · 4.14e-5)] = 0.02999 · arcsinh(21739)</w:t>
            </w:r>
          </w:p>
        </w:tc>
        <w:tc>
          <w:tcPr>
            <w:tcW w:type="dxa" w:w="3480"/>
          </w:tcPr>
          <w:p>
            <w:pPr>
              <w:jc w:val="right"/>
            </w:pPr>
            <w:r>
              <w:rPr>
                <w:b/>
                <w:sz w:val="14"/>
              </w:rPr>
              <w:t>0.3253 V</w:t>
            </w:r>
          </w:p>
        </w:tc>
      </w:tr>
      <w:tr>
        <w:tc>
          <w:tcPr>
            <w:tcW w:type="dxa" w:w="3480"/>
          </w:tcPr>
          <w:p>
            <w:r>
              <w:rPr>
                <w:sz w:val="14"/>
              </w:rPr>
              <w:t>Cathodic HER Activation, η_act,cat</w:t>
            </w:r>
          </w:p>
        </w:tc>
        <w:tc>
          <w:tcPr>
            <w:tcW w:type="dxa" w:w="3480"/>
          </w:tcPr>
          <w:p>
            <w:r>
              <w:rPr>
                <w:sz w:val="14"/>
              </w:rPr>
              <w:t>0.02999 · arcsinh[1.80 / (2 · 0.0312)] = 0.02999 · arcsinh(28.85)</w:t>
            </w:r>
          </w:p>
        </w:tc>
        <w:tc>
          <w:tcPr>
            <w:tcW w:type="dxa" w:w="3480"/>
          </w:tcPr>
          <w:p>
            <w:pPr>
              <w:jc w:val="right"/>
            </w:pPr>
            <w:r>
              <w:rPr>
                <w:b/>
                <w:sz w:val="14"/>
              </w:rPr>
              <w:t>0.0300 V</w:t>
            </w:r>
          </w:p>
        </w:tc>
      </w:tr>
      <w:tr>
        <w:tc>
          <w:tcPr>
            <w:tcW w:type="dxa" w:w="3480"/>
          </w:tcPr>
          <w:p>
            <w:r>
              <w:rPr>
                <w:sz w:val="14"/>
              </w:rPr>
              <w:t>Membrane Ohmic, η_ohm,mem</w:t>
            </w:r>
          </w:p>
        </w:tc>
        <w:tc>
          <w:tcPr>
            <w:tcW w:type="dxa" w:w="3480"/>
          </w:tcPr>
          <w:p>
            <w:r>
              <w:rPr>
                <w:sz w:val="14"/>
              </w:rPr>
              <w:t>1.80 A/cm² · (0.0127 cm / 0.1573 S/cm) = 1.80 · 0.08074 Ω·cm²</w:t>
            </w:r>
          </w:p>
        </w:tc>
        <w:tc>
          <w:tcPr>
            <w:tcW w:type="dxa" w:w="3480"/>
          </w:tcPr>
          <w:p>
            <w:pPr>
              <w:jc w:val="right"/>
            </w:pPr>
            <w:r>
              <w:rPr>
                <w:b/>
                <w:sz w:val="14"/>
              </w:rPr>
              <w:t>0.1453 V</w:t>
            </w:r>
          </w:p>
        </w:tc>
      </w:tr>
      <w:tr>
        <w:tc>
          <w:tcPr>
            <w:tcW w:type="dxa" w:w="3480"/>
          </w:tcPr>
          <w:p>
            <w:r>
              <w:rPr>
                <w:sz w:val="14"/>
              </w:rPr>
              <w:t>Contact Ohmic, η_ohm,elec</w:t>
            </w:r>
          </w:p>
        </w:tc>
        <w:tc>
          <w:tcPr>
            <w:tcW w:type="dxa" w:w="3480"/>
          </w:tcPr>
          <w:p>
            <w:r>
              <w:rPr>
                <w:sz w:val="14"/>
              </w:rPr>
              <w:t>1.80 A/cm² · 0.0320 Ω·cm²</w:t>
            </w:r>
          </w:p>
        </w:tc>
        <w:tc>
          <w:tcPr>
            <w:tcW w:type="dxa" w:w="3480"/>
          </w:tcPr>
          <w:p>
            <w:pPr>
              <w:jc w:val="right"/>
            </w:pPr>
            <w:r>
              <w:rPr>
                <w:b/>
                <w:sz w:val="14"/>
              </w:rPr>
              <w:t>0.0576 V</w:t>
            </w:r>
          </w:p>
        </w:tc>
      </w:tr>
      <w:tr>
        <w:tc>
          <w:tcPr>
            <w:tcW w:type="dxa" w:w="3480"/>
          </w:tcPr>
          <w:p>
            <w:r>
              <w:rPr>
                <w:sz w:val="14"/>
              </w:rPr>
              <w:t>Mass Transport + Bubble, η_conc</w:t>
            </w:r>
          </w:p>
        </w:tc>
        <w:tc>
          <w:tcPr>
            <w:tcW w:type="dxa" w:w="3480"/>
          </w:tcPr>
          <w:p>
            <w:r>
              <w:rPr>
                <w:sz w:val="14"/>
              </w:rPr>
              <w:t>η_diff (0.0191 V) + 0.014 · (1.80)^1.65 (0.0271 V)</w:t>
            </w:r>
          </w:p>
        </w:tc>
        <w:tc>
          <w:tcPr>
            <w:tcW w:type="dxa" w:w="3480"/>
          </w:tcPr>
          <w:p>
            <w:pPr>
              <w:jc w:val="right"/>
            </w:pPr>
            <w:r>
              <w:rPr>
                <w:b/>
                <w:sz w:val="14"/>
              </w:rPr>
              <w:t>0.0462 V</w:t>
            </w:r>
          </w:p>
        </w:tc>
      </w:tr>
      <w:tr>
        <w:tc>
          <w:tcPr>
            <w:tcW w:type="dxa" w:w="3480"/>
          </w:tcPr>
          <w:p>
            <w:r>
              <w:rPr>
                <w:sz w:val="14"/>
              </w:rPr>
              <w:t>Total Cell Potential, V_cell</w:t>
            </w:r>
          </w:p>
        </w:tc>
        <w:tc>
          <w:tcPr>
            <w:tcW w:type="dxa" w:w="3480"/>
          </w:tcPr>
          <w:p>
            <w:r>
              <w:rPr>
                <w:sz w:val="14"/>
              </w:rPr>
              <w:t>V_rev + η_act + η_ohm + η_conc = 1.2343 + 0.3553 + 0.2029 + 0.0462</w:t>
            </w:r>
          </w:p>
        </w:tc>
        <w:tc>
          <w:tcPr>
            <w:tcW w:type="dxa" w:w="3480"/>
          </w:tcPr>
          <w:p>
            <w:pPr>
              <w:jc w:val="right"/>
            </w:pPr>
            <w:r>
              <w:rPr>
                <w:b/>
                <w:sz w:val="14"/>
              </w:rPr>
              <w:t>1.8387 V ≈ 1.838 V</w:t>
            </w:r>
          </w:p>
        </w:tc>
      </w:tr>
      <w:tr>
        <w:tc>
          <w:tcPr>
            <w:tcW w:type="dxa" w:w="3480"/>
          </w:tcPr>
          <w:p>
            <w:r>
              <w:rPr>
                <w:sz w:val="14"/>
              </w:rPr>
              <w:t>Stack Specific Energy, SEC_stk</w:t>
            </w:r>
          </w:p>
        </w:tc>
        <w:tc>
          <w:tcPr>
            <w:tcW w:type="dxa" w:w="3480"/>
          </w:tcPr>
          <w:p>
            <w:r>
              <w:rPr>
                <w:sz w:val="14"/>
              </w:rPr>
              <w:t>26.590 · V_cell / η_F = 26.590 · 1.8387 / 0.9920</w:t>
            </w:r>
          </w:p>
        </w:tc>
        <w:tc>
          <w:tcPr>
            <w:tcW w:type="dxa" w:w="3480"/>
          </w:tcPr>
          <w:p>
            <w:pPr>
              <w:jc w:val="right"/>
            </w:pPr>
            <w:r>
              <w:rPr>
                <w:b/>
                <w:sz w:val="14"/>
              </w:rPr>
              <w:t>49.28 kWh/kg H₂</w:t>
            </w:r>
          </w:p>
        </w:tc>
      </w:tr>
      <w:tr>
        <w:tc>
          <w:tcPr>
            <w:tcW w:type="dxa" w:w="3480"/>
          </w:tcPr>
          <w:p>
            <w:r>
              <w:rPr>
                <w:sz w:val="14"/>
              </w:rPr>
              <w:t>System Specific Energy, SEC_sys</w:t>
            </w:r>
          </w:p>
        </w:tc>
        <w:tc>
          <w:tcPr>
            <w:tcW w:type="dxa" w:w="3480"/>
          </w:tcPr>
          <w:p>
            <w:r>
              <w:rPr>
                <w:sz w:val="14"/>
              </w:rPr>
              <w:t>SEC_stk / 0.97 + 1.85 kWh/kg BOP = 49.28 / 0.97 + 1.85</w:t>
            </w:r>
          </w:p>
        </w:tc>
        <w:tc>
          <w:tcPr>
            <w:tcW w:type="dxa" w:w="3480"/>
          </w:tcPr>
          <w:p>
            <w:pPr>
              <w:jc w:val="right"/>
            </w:pPr>
            <w:r>
              <w:rPr>
                <w:b/>
                <w:sz w:val="14"/>
              </w:rPr>
              <w:t>52.62 kWh/kg H₂</w:t>
            </w:r>
          </w:p>
        </w:tc>
      </w:tr>
    </w:tbl>
    <w:p>
      <w:pPr>
        <w:spacing w:after="120"/>
      </w:pPr>
    </w:p>
    <w:p>
      <w:pPr>
        <w:spacing w:before="160" w:after="60"/>
        <w:jc w:val="center"/>
      </w:pPr>
      <w:r>
        <w:rPr>
          <w:sz w:val="20"/>
        </w:rPr>
        <w:t>III. PHYSICS-GUIDED SURROGATE ARCHITECTURE AND CONTROLLED ABLATION</w:t>
      </w:r>
    </w:p>
    <w:p>
      <w:pPr>
        <w:jc w:val="both"/>
      </w:pPr>
      <w:r>
        <w:rPr>
          <w:sz w:val="20"/>
        </w:rPr>
        <w:t>To enable rapid evolutionary search across 52,608 hours, we formulate a strictly leak-free 12D dimensionless feature map Φ(x) incorporating physical capacity ratios, voltage overpotentials, and Faradaic efficiency with zero target cost leakage. A 2×5 controlled ablation benchmark (Latin Hypercube N = 360) compares Raw 5D vs. Physics 12D representations across five model families under 5-fold cross-validation.</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1951638"/>
            <wp:docPr id="2" name="Picture 2"/>
            <wp:cNvGraphicFramePr>
              <a:graphicFrameLocks noChangeAspect="1"/>
            </wp:cNvGraphicFramePr>
            <a:graphic>
              <a:graphicData uri="http://schemas.openxmlformats.org/drawingml/2006/picture">
                <pic:pic>
                  <pic:nvPicPr>
                    <pic:cNvPr id="0" name="fig2_green_surrogate_parity_and_efficiency.png"/>
                    <pic:cNvPicPr/>
                  </pic:nvPicPr>
                  <pic:blipFill>
                    <a:blip r:embed="rId10"/>
                    <a:stretch>
                      <a:fillRect/>
                    </a:stretch>
                  </pic:blipFill>
                  <pic:spPr>
                    <a:xfrm>
                      <a:off x="0" y="0"/>
                      <a:ext cx="6492240" cy="1951638"/>
                    </a:xfrm>
                    <a:prstGeom prst="rect"/>
                  </pic:spPr>
                </pic:pic>
              </a:graphicData>
            </a:graphic>
          </wp:inline>
        </w:drawing>
      </w:r>
    </w:p>
    <w:p>
      <w:pPr>
        <w:spacing w:after="160"/>
        <w:jc w:val="both"/>
      </w:pPr>
      <w:r>
        <w:rPr>
          <w:sz w:val="17"/>
        </w:rPr>
        <w:t>Fig. 2. Full-width physics-guided surrogate validation: (a) Parity plot for LCOH (R² = 0.9982, RMSE = INR 1.66/kg); (b) Degradation parity (R² = 0.9946); (c) 2×5 controlled surrogate feature and model ablation showing an 89.94% FLOP reduction and 4,206× inference speedup.</w:t>
      </w:r>
    </w:p>
    <w:p>
      <w:pPr>
        <w:sectPr>
          <w:type w:val="continuous"/>
          <w:pgSz w:w="12240" w:h="15840"/>
          <w:pgMar w:top="1080" w:right="900" w:bottom="1440" w:left="900" w:header="720" w:footer="720" w:gutter="0"/>
          <w:cols w:space="360" w:num="1"/>
          <w:docGrid w:linePitch="360"/>
        </w:sectPr>
      </w:pPr>
    </w:p>
    <w:p>
      <w:pPr>
        <w:ind w:firstLine="216"/>
        <w:jc w:val="both"/>
      </w:pPr>
      <w:r>
        <w:rPr>
          <w:sz w:val="20"/>
        </w:rPr>
        <w:t>The proposed Green-MLP (4,612 parameters, 8,784 FLOPs) achieves 5-fold CV R² = 0.9943 ± 0.0031 (LCOH RMSE = INR 1.66 ± 0.51/kg), slashing forward FLOPs by 89.94% relative to regularized deep networks (94,464 FLOPs) while outperforming them in accuracy. Evaluating Green-MLP on the Pareto set confirms near-perfect rank preservation: Spearman ρ = 0.9994 on LCOH and ρ = 0.9960 on degradation.</w:t>
      </w:r>
    </w:p>
    <w:p>
      <w:pPr>
        <w:spacing w:before="160" w:after="60"/>
        <w:jc w:val="center"/>
      </w:pPr>
      <w:r>
        <w:rPr>
          <w:sz w:val="20"/>
        </w:rPr>
        <w:t>IV. MULTI-OBJECTIVE OPTIMIZATION, SITING REGIMES, AND UNCERTAINTY QUANTIFICATION</w:t>
      </w:r>
    </w:p>
    <w:p>
      <w:pPr>
        <w:jc w:val="both"/>
      </w:pPr>
      <w:r>
        <w:rPr>
          <w:sz w:val="20"/>
        </w:rPr>
        <w:t>Using 5-seed constrained NSGA-II [20] with Deb's feasibility-first tournament selection (LPSP ≤ 1.0%, StackLife ≥ 7.5 yr), we minimize LCOH, LPSP, and Lifecycle Carbon Intensity + Degradation under Split-CAPEX modeling. Stack CAPEX (INR 3.364 Cr/MW) scales with nominal capacity, while power electronics and BOP (INR 2.436 Cr/MW) scale with peak overload megawatt capacity P_PEM,peak.</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686613"/>
            <wp:docPr id="3" name="Picture 3"/>
            <wp:cNvGraphicFramePr>
              <a:graphicFrameLocks noChangeAspect="1"/>
            </wp:cNvGraphicFramePr>
            <a:graphic>
              <a:graphicData uri="http://schemas.openxmlformats.org/drawingml/2006/picture">
                <pic:pic>
                  <pic:nvPicPr>
                    <pic:cNvPr id="0" name="fig3_pareto_front_3d_tradeoffs.png"/>
                    <pic:cNvPicPr/>
                  </pic:nvPicPr>
                  <pic:blipFill>
                    <a:blip r:embed="rId11"/>
                    <a:stretch>
                      <a:fillRect/>
                    </a:stretch>
                  </pic:blipFill>
                  <pic:spPr>
                    <a:xfrm>
                      <a:off x="0" y="0"/>
                      <a:ext cx="6492240" cy="2686613"/>
                    </a:xfrm>
                    <a:prstGeom prst="rect"/>
                  </pic:spPr>
                </pic:pic>
              </a:graphicData>
            </a:graphic>
          </wp:inline>
        </w:drawing>
      </w:r>
    </w:p>
    <w:p>
      <w:pPr>
        <w:spacing w:after="160"/>
        <w:jc w:val="both"/>
      </w:pPr>
      <w:r>
        <w:rPr>
          <w:sz w:val="17"/>
        </w:rPr>
        <w:t>Fig. 3. Full-width multi-objective optimization Pareto frontier: (a) 3D Pareto frontier evaluated across 6 weather years; (b) 2D projection highlighting Knee-Point Optimal Design against single-resource and sizing baselines.</w:t>
      </w:r>
    </w:p>
    <w:p>
      <w:pPr>
        <w:sectPr>
          <w:type w:val="continuous"/>
          <w:pgSz w:w="12240" w:h="15840"/>
          <w:pgMar w:top="1080" w:right="900" w:bottom="1440" w:left="900" w:header="720" w:footer="720" w:gutter="0"/>
          <w:cols w:space="360" w:num="1"/>
          <w:docGrid w:linePitch="360"/>
        </w:sectPr>
      </w:pPr>
    </w:p>
    <w:p>
      <w:pPr>
        <w:ind w:firstLine="216"/>
        <w:jc w:val="both"/>
      </w:pPr>
      <w:r>
        <w:rPr>
          <w:sz w:val="20"/>
        </w:rPr>
        <w:t>Addressing Hypothesis H1: The optimal knee point operates at i_max* = 1.764 A/cm² (below nominal 1.80 A/cm²). Sizing at fixed nominal current (i_max = 1.80 A/cm²) achieves INR 329.12/kg (1.03% lower). Pushing current density above 2.0 A/cm² does not reduce LCOH because BOP CAPEX scaling outweighs membrane area savings. Siting in highland wind Regime B (INR 332.51/kg) lowers LCOH by 12.96% relative to coastal Regime A (INR 382.04/kg) and prevents catastrophic supply failure (LPSP = 21.30%) if operated solely on coastal wind.</w:t>
      </w:r>
    </w:p>
    <w:p>
      <w:pPr>
        <w:spacing w:before="120" w:after="40"/>
      </w:pPr>
      <w:r>
        <w:rPr>
          <w:b/>
          <w:color w:val="1E3A8A"/>
          <w:sz w:val="17"/>
        </w:rPr>
        <w:t>■ CALCULATION BOX 2: WORKED TECHNO-ECONOMIC &amp; LCOH DERIVATION (KNEE-POINT PLANT)</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Peak Electrolyzer Sizing, P_PEM,peak</w:t>
            </w:r>
          </w:p>
        </w:tc>
        <w:tc>
          <w:tcPr>
            <w:tcW w:type="dxa" w:w="3480"/>
          </w:tcPr>
          <w:p>
            <w:r>
              <w:rPr>
                <w:sz w:val="14"/>
              </w:rPr>
              <w:t>43.61 MW · [1.764 · 1.831 V / (1.800 · 1.838 V)]</w:t>
            </w:r>
          </w:p>
        </w:tc>
        <w:tc>
          <w:tcPr>
            <w:tcW w:type="dxa" w:w="3480"/>
          </w:tcPr>
          <w:p>
            <w:pPr>
              <w:jc w:val="right"/>
            </w:pPr>
            <w:r>
              <w:rPr>
                <w:b/>
                <w:sz w:val="14"/>
              </w:rPr>
              <w:t>42.59 MW</w:t>
            </w:r>
          </w:p>
        </w:tc>
      </w:tr>
      <w:tr>
        <w:tc>
          <w:tcPr>
            <w:tcW w:type="dxa" w:w="3480"/>
          </w:tcPr>
          <w:p>
            <w:r>
              <w:rPr>
                <w:sz w:val="14"/>
              </w:rPr>
              <w:t>Electrolyzer Split-CAPEX, C_PEM</w:t>
            </w:r>
          </w:p>
        </w:tc>
        <w:tc>
          <w:tcPr>
            <w:tcW w:type="dxa" w:w="3480"/>
          </w:tcPr>
          <w:p>
            <w:r>
              <w:rPr>
                <w:sz w:val="14"/>
              </w:rPr>
              <w:t>Stack (43.61 · INR 3.364 Cr) + BOP (42.59 · INR 2.436 Cr)</w:t>
            </w:r>
          </w:p>
        </w:tc>
        <w:tc>
          <w:tcPr>
            <w:tcW w:type="dxa" w:w="3480"/>
          </w:tcPr>
          <w:p>
            <w:pPr>
              <w:jc w:val="right"/>
            </w:pPr>
            <w:r>
              <w:rPr>
                <w:b/>
                <w:sz w:val="14"/>
              </w:rPr>
              <w:t>INR 146.70 + 103.74 = 250.44 Cr</w:t>
            </w:r>
          </w:p>
        </w:tc>
      </w:tr>
      <w:tr>
        <w:tc>
          <w:tcPr>
            <w:tcW w:type="dxa" w:w="3480"/>
          </w:tcPr>
          <w:p>
            <w:r>
              <w:rPr>
                <w:sz w:val="14"/>
              </w:rPr>
              <w:t>Wind, Solar, BESS, Tank CAPEX</w:t>
            </w:r>
          </w:p>
        </w:tc>
        <w:tc>
          <w:tcPr>
            <w:tcW w:type="dxa" w:w="3480"/>
          </w:tcPr>
          <w:p>
            <w:r>
              <w:rPr>
                <w:sz w:val="14"/>
              </w:rPr>
              <w:t>Wind (48.02·6.20) + Solar (72.77·3.60) + BESS (86.86·1.65) + Tanks (14 t · 4.20)</w:t>
            </w:r>
          </w:p>
        </w:tc>
        <w:tc>
          <w:tcPr>
            <w:tcW w:type="dxa" w:w="3480"/>
          </w:tcPr>
          <w:p>
            <w:pPr>
              <w:jc w:val="right"/>
            </w:pPr>
            <w:r>
              <w:rPr>
                <w:b/>
                <w:sz w:val="14"/>
              </w:rPr>
              <w:t>INR 761.82 Cr</w:t>
            </w:r>
          </w:p>
        </w:tc>
      </w:tr>
      <w:tr>
        <w:tc>
          <w:tcPr>
            <w:tcW w:type="dxa" w:w="3480"/>
          </w:tcPr>
          <w:p>
            <w:r>
              <w:rPr>
                <w:sz w:val="14"/>
              </w:rPr>
              <w:t>Total Installed CAPEX</w:t>
            </w:r>
          </w:p>
        </w:tc>
        <w:tc>
          <w:tcPr>
            <w:tcW w:type="dxa" w:w="3480"/>
          </w:tcPr>
          <w:p>
            <w:r>
              <w:rPr>
                <w:sz w:val="14"/>
              </w:rPr>
              <w:t>Sum of generation, stack, BOP, storage, civil</w:t>
            </w:r>
          </w:p>
        </w:tc>
        <w:tc>
          <w:tcPr>
            <w:tcW w:type="dxa" w:w="3480"/>
          </w:tcPr>
          <w:p>
            <w:pPr>
              <w:jc w:val="right"/>
            </w:pPr>
            <w:r>
              <w:rPr>
                <w:b/>
                <w:sz w:val="14"/>
              </w:rPr>
              <w:t>INR 1,012.26 Cr</w:t>
            </w:r>
          </w:p>
        </w:tc>
      </w:tr>
      <w:tr>
        <w:tc>
          <w:tcPr>
            <w:tcW w:type="dxa" w:w="3480"/>
          </w:tcPr>
          <w:p>
            <w:r>
              <w:rPr>
                <w:sz w:val="14"/>
              </w:rPr>
              <w:t>Capital Recovery Factor, CRF</w:t>
            </w:r>
          </w:p>
        </w:tc>
        <w:tc>
          <w:tcPr>
            <w:tcW w:type="dxa" w:w="3480"/>
          </w:tcPr>
          <w:p>
            <w:r>
              <w:rPr>
                <w:sz w:val="14"/>
              </w:rPr>
              <w:t>0.085·(1.085)^20 / [(1.085)^20 - 1] (r = 8.5%, N = 20 yr)</w:t>
            </w:r>
          </w:p>
        </w:tc>
        <w:tc>
          <w:tcPr>
            <w:tcW w:type="dxa" w:w="3480"/>
          </w:tcPr>
          <w:p>
            <w:pPr>
              <w:jc w:val="right"/>
            </w:pPr>
            <w:r>
              <w:rPr>
                <w:b/>
                <w:sz w:val="14"/>
              </w:rPr>
              <w:t>0.10567 yr⁻¹</w:t>
            </w:r>
          </w:p>
        </w:tc>
      </w:tr>
      <w:tr>
        <w:tc>
          <w:tcPr>
            <w:tcW w:type="dxa" w:w="3480"/>
          </w:tcPr>
          <w:p>
            <w:r>
              <w:rPr>
                <w:sz w:val="14"/>
              </w:rPr>
              <w:t>Annualized Capital Cost</w:t>
            </w:r>
          </w:p>
        </w:tc>
        <w:tc>
          <w:tcPr>
            <w:tcW w:type="dxa" w:w="3480"/>
          </w:tcPr>
          <w:p>
            <w:r>
              <w:rPr>
                <w:sz w:val="14"/>
              </w:rPr>
              <w:t>0.10567 · INR 1,012.26 Cr</w:t>
            </w:r>
          </w:p>
        </w:tc>
        <w:tc>
          <w:tcPr>
            <w:tcW w:type="dxa" w:w="3480"/>
          </w:tcPr>
          <w:p>
            <w:pPr>
              <w:jc w:val="right"/>
            </w:pPr>
            <w:r>
              <w:rPr>
                <w:b/>
                <w:sz w:val="14"/>
              </w:rPr>
              <w:t>INR 106.97 Cr/yr</w:t>
            </w:r>
          </w:p>
        </w:tc>
      </w:tr>
      <w:tr>
        <w:tc>
          <w:tcPr>
            <w:tcW w:type="dxa" w:w="3480"/>
          </w:tcPr>
          <w:p>
            <w:r>
              <w:rPr>
                <w:sz w:val="14"/>
              </w:rPr>
              <w:t>Annual Fixed O&amp;M Cost</w:t>
            </w:r>
          </w:p>
        </w:tc>
        <w:tc>
          <w:tcPr>
            <w:tcW w:type="dxa" w:w="3480"/>
          </w:tcPr>
          <w:p>
            <w:r>
              <w:rPr>
                <w:sz w:val="14"/>
              </w:rPr>
              <w:t>2.2% on wind/solar + 3.0% on PEM + 1.5% on BESS/tanks</w:t>
            </w:r>
          </w:p>
        </w:tc>
        <w:tc>
          <w:tcPr>
            <w:tcW w:type="dxa" w:w="3480"/>
          </w:tcPr>
          <w:p>
            <w:pPr>
              <w:jc w:val="right"/>
            </w:pPr>
            <w:r>
              <w:rPr>
                <w:b/>
                <w:sz w:val="14"/>
              </w:rPr>
              <w:t>INR 22.86 Cr/yr</w:t>
            </w:r>
          </w:p>
        </w:tc>
      </w:tr>
      <w:tr>
        <w:tc>
          <w:tcPr>
            <w:tcW w:type="dxa" w:w="3480"/>
          </w:tcPr>
          <w:p>
            <w:r>
              <w:rPr>
                <w:sz w:val="14"/>
              </w:rPr>
              <w:t>Mid-Life Stack Replacement</w:t>
            </w:r>
          </w:p>
        </w:tc>
        <w:tc>
          <w:tcPr>
            <w:tcW w:type="dxa" w:w="3480"/>
          </w:tcPr>
          <w:p>
            <w:r>
              <w:rPr>
                <w:sz w:val="14"/>
              </w:rPr>
              <w:t>PV discounted (60% module cost at t = 10.3 yr) annualized via CRF</w:t>
            </w:r>
          </w:p>
        </w:tc>
        <w:tc>
          <w:tcPr>
            <w:tcW w:type="dxa" w:w="3480"/>
          </w:tcPr>
          <w:p>
            <w:pPr>
              <w:jc w:val="right"/>
            </w:pPr>
            <w:r>
              <w:rPr>
                <w:b/>
                <w:sz w:val="14"/>
              </w:rPr>
              <w:t>INR 3.49 Cr/yr</w:t>
            </w:r>
          </w:p>
        </w:tc>
      </w:tr>
      <w:tr>
        <w:tc>
          <w:tcPr>
            <w:tcW w:type="dxa" w:w="3480"/>
          </w:tcPr>
          <w:p>
            <w:r>
              <w:rPr>
                <w:sz w:val="14"/>
              </w:rPr>
              <w:t>KERC Open-Access Wheeling Cost</w:t>
            </w:r>
          </w:p>
        </w:tc>
        <w:tc>
          <w:tcPr>
            <w:tcW w:type="dxa" w:w="3480"/>
          </w:tcPr>
          <w:p>
            <w:r>
              <w:rPr>
                <w:sz w:val="14"/>
              </w:rPr>
              <w:t>182,112 MWh/yr delivered wind · INR 0.72/kWh (KPTCL Base Tariff)</w:t>
            </w:r>
          </w:p>
        </w:tc>
        <w:tc>
          <w:tcPr>
            <w:tcW w:type="dxa" w:w="3480"/>
          </w:tcPr>
          <w:p>
            <w:pPr>
              <w:jc w:val="right"/>
            </w:pPr>
            <w:r>
              <w:rPr>
                <w:b/>
                <w:sz w:val="14"/>
              </w:rPr>
              <w:t>INR 13.11 Cr/yr</w:t>
            </w:r>
          </w:p>
        </w:tc>
      </w:tr>
      <w:tr>
        <w:tc>
          <w:tcPr>
            <w:tcW w:type="dxa" w:w="3480"/>
          </w:tcPr>
          <w:p>
            <w:r>
              <w:rPr>
                <w:sz w:val="14"/>
              </w:rPr>
              <w:t>Net Secondary Operating Costs</w:t>
            </w:r>
          </w:p>
        </w:tc>
        <w:tc>
          <w:tcPr>
            <w:tcW w:type="dxa" w:w="3480"/>
          </w:tcPr>
          <w:p>
            <w:r>
              <w:rPr>
                <w:sz w:val="14"/>
              </w:rPr>
              <w:t>Water (INR 1.84 Cr) + Grid (INR 1.18 Cr) - Curtailment (INR 3.75 Cr)</w:t>
            </w:r>
          </w:p>
        </w:tc>
        <w:tc>
          <w:tcPr>
            <w:tcW w:type="dxa" w:w="3480"/>
          </w:tcPr>
          <w:p>
            <w:pPr>
              <w:jc w:val="right"/>
            </w:pPr>
            <w:r>
              <w:rPr>
                <w:b/>
                <w:sz w:val="14"/>
              </w:rPr>
              <w:t>-INR 0.73 Cr/yr</w:t>
            </w:r>
          </w:p>
        </w:tc>
      </w:tr>
      <w:tr>
        <w:tc>
          <w:tcPr>
            <w:tcW w:type="dxa" w:w="3480"/>
          </w:tcPr>
          <w:p>
            <w:r>
              <w:rPr>
                <w:sz w:val="14"/>
              </w:rPr>
              <w:t>Total Net Annualized Cost</w:t>
            </w:r>
          </w:p>
        </w:tc>
        <w:tc>
          <w:tcPr>
            <w:tcW w:type="dxa" w:w="3480"/>
          </w:tcPr>
          <w:p>
            <w:r>
              <w:rPr>
                <w:sz w:val="14"/>
              </w:rPr>
              <w:t>AnnCAPEX + Fixed O&amp;M + Replacement + Wheeling + Secondary</w:t>
            </w:r>
          </w:p>
        </w:tc>
        <w:tc>
          <w:tcPr>
            <w:tcW w:type="dxa" w:w="3480"/>
          </w:tcPr>
          <w:p>
            <w:pPr>
              <w:jc w:val="right"/>
            </w:pPr>
            <w:r>
              <w:rPr>
                <w:b/>
                <w:sz w:val="14"/>
              </w:rPr>
              <w:t>INR 145.70 Cr/yr</w:t>
            </w:r>
          </w:p>
        </w:tc>
      </w:tr>
      <w:tr>
        <w:tc>
          <w:tcPr>
            <w:tcW w:type="dxa" w:w="3480"/>
          </w:tcPr>
          <w:p>
            <w:r>
              <w:rPr>
                <w:sz w:val="14"/>
              </w:rPr>
              <w:t>Delivered Hydrogen Ledger</w:t>
            </w:r>
          </w:p>
        </w:tc>
        <w:tc>
          <w:tcPr>
            <w:tcW w:type="dxa" w:w="3480"/>
          </w:tcPr>
          <w:p>
            <w:r>
              <w:rPr>
                <w:sz w:val="14"/>
              </w:rPr>
              <w:t>Simulated green (4,354,497 kg, 99.38%) + grid (27,244 kg, 0.62%)</w:t>
            </w:r>
          </w:p>
        </w:tc>
        <w:tc>
          <w:tcPr>
            <w:tcW w:type="dxa" w:w="3480"/>
          </w:tcPr>
          <w:p>
            <w:pPr>
              <w:jc w:val="right"/>
            </w:pPr>
            <w:r>
              <w:rPr>
                <w:b/>
                <w:sz w:val="14"/>
              </w:rPr>
              <w:t>4,381,741 kg/yr (4,381.7 t/yr)</w:t>
            </w:r>
          </w:p>
        </w:tc>
      </w:tr>
      <w:tr>
        <w:tc>
          <w:tcPr>
            <w:tcW w:type="dxa" w:w="3480"/>
          </w:tcPr>
          <w:p>
            <w:r>
              <w:rPr>
                <w:sz w:val="14"/>
              </w:rPr>
              <w:t>LCOH (Delivered Hydrogen)</w:t>
            </w:r>
          </w:p>
        </w:tc>
        <w:tc>
          <w:tcPr>
            <w:tcW w:type="dxa" w:w="3480"/>
          </w:tcPr>
          <w:p>
            <w:r>
              <w:rPr>
                <w:sz w:val="14"/>
              </w:rPr>
              <w:t>INR 145.703e7 / 4,381,741 kg delivered H₂</w:t>
            </w:r>
          </w:p>
        </w:tc>
        <w:tc>
          <w:tcPr>
            <w:tcW w:type="dxa" w:w="3480"/>
          </w:tcPr>
          <w:p>
            <w:pPr>
              <w:jc w:val="right"/>
            </w:pPr>
            <w:r>
              <w:rPr>
                <w:b/>
                <w:sz w:val="14"/>
              </w:rPr>
              <w:t>INR 332.51/kg H₂ ($3.96/kg)</w:t>
            </w:r>
          </w:p>
        </w:tc>
      </w:tr>
      <w:tr>
        <w:tc>
          <w:tcPr>
            <w:tcW w:type="dxa" w:w="3480"/>
          </w:tcPr>
          <w:p>
            <w:r>
              <w:rPr>
                <w:sz w:val="14"/>
              </w:rPr>
              <w:t>LCOH (Pure Green Hydrogen)</w:t>
            </w:r>
          </w:p>
        </w:tc>
        <w:tc>
          <w:tcPr>
            <w:tcW w:type="dxa" w:w="3480"/>
          </w:tcPr>
          <w:p>
            <w:r>
              <w:rPr>
                <w:sz w:val="14"/>
              </w:rPr>
              <w:t>INR 144.519e7 / 4,354,497 kg green H₂ (4,354.5 t/yr)</w:t>
            </w:r>
          </w:p>
        </w:tc>
        <w:tc>
          <w:tcPr>
            <w:tcW w:type="dxa" w:w="3480"/>
          </w:tcPr>
          <w:p>
            <w:pPr>
              <w:jc w:val="right"/>
            </w:pPr>
            <w:r>
              <w:rPr>
                <w:b/>
                <w:sz w:val="14"/>
              </w:rPr>
              <w:t>INR 331.88/kg H₂ ($3.95/kg)</w:t>
            </w:r>
          </w:p>
        </w:tc>
      </w:tr>
    </w:tbl>
    <w:p>
      <w:pPr>
        <w:spacing w:after="120"/>
      </w:pPr>
    </w:p>
    <w:p>
      <w:pPr>
        <w:ind w:firstLine="216"/>
        <w:jc w:val="both"/>
      </w:pPr>
      <w:r>
        <w:rPr>
          <w:sz w:val="20"/>
        </w:rPr>
        <w:t>Production Ledger &amp; Dual LCOH Reconciliation: Table III and Calculation Box 2 provide an audited production ledger: (1) LCOH_delivered = INR 332.51/kg H₂ ($3.96/kg) amortizes total net lifecycle expenditure (INR 145.70 Cr/yr) over all 4,381,741 kg/yr of delivered hydrogen (500 kg/h continuous demand across 6 years, including 0.62% grid backup of 27,244 kg/yr during droughts); and (2) LCOH_green = INR 331.88/kg H₂ ($3.95/kg) allocates net annualized costs excluding grid electricity (INR 144.52 Cr/yr) strictly to the 4,354,497 kg/yr (4,354.5 t/yr) of pure renewable green molecules. Both evaluate to ~$3.96/kg, confirming that the 0.62% grid reliability bridge introduces an economic variance of only INR 0.63/kg (0.19%) while guaranteeing commercial supply continuity.</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314830"/>
            <wp:docPr id="4" name="Picture 4"/>
            <wp:cNvGraphicFramePr>
              <a:graphicFrameLocks noChangeAspect="1"/>
            </wp:cNvGraphicFramePr>
            <a:graphic>
              <a:graphicData uri="http://schemas.openxmlformats.org/drawingml/2006/picture">
                <pic:pic>
                  <pic:nvPicPr>
                    <pic:cNvPr id="0" name="fig4_xai_feature_sensitivity_and_uncertainty.png"/>
                    <pic:cNvPicPr/>
                  </pic:nvPicPr>
                  <pic:blipFill>
                    <a:blip r:embed="rId12"/>
                    <a:stretch>
                      <a:fillRect/>
                    </a:stretch>
                  </pic:blipFill>
                  <pic:spPr>
                    <a:xfrm>
                      <a:off x="0" y="0"/>
                      <a:ext cx="6492240" cy="2314830"/>
                    </a:xfrm>
                    <a:prstGeom prst="rect"/>
                  </pic:spPr>
                </pic:pic>
              </a:graphicData>
            </a:graphic>
          </wp:inline>
        </w:drawing>
      </w:r>
    </w:p>
    <w:p>
      <w:pPr>
        <w:spacing w:after="160"/>
        <w:jc w:val="both"/>
      </w:pPr>
      <w:r>
        <w:rPr>
          <w:sz w:val="17"/>
        </w:rPr>
        <w:t>Fig. 4. Full-width Explainable AI sensitivity and Monte Carlo uncertainty analysis: (a) Permutation feature importance across objectives; (b) 5,000-sample Monte Carlo LCOH distribution (P05 = INR 296.58/kg, Mean = INR 335.33/kg, P95 = INR 376.66/kg).</w:t>
      </w:r>
    </w:p>
    <w:p>
      <w:pPr>
        <w:sectPr>
          <w:type w:val="continuous"/>
          <w:pgSz w:w="12240" w:h="15840"/>
          <w:pgMar w:top="1080" w:right="900" w:bottom="1440" w:left="900" w:header="720" w:footer="720" w:gutter="0"/>
          <w:cols w:space="360" w:num="1"/>
          <w:docGrid w:linePitch="360"/>
        </w:sectPr>
      </w:pPr>
    </w:p>
    <w:p>
      <w:pPr>
        <w:ind w:firstLine="216"/>
        <w:jc w:val="both"/>
      </w:pPr>
      <w:r>
        <w:rPr>
          <w:sz w:val="20"/>
        </w:rPr>
        <w:t>True physics-evaluated Monte Carlo simulation (N = 5,000) yields mean LCOH = INR 335.33 ± 24.33/kg with a 90% confidence interval of [INR 296.58, INR 376.66]/kg (73.3% probability &lt; INR 350/kg). Sobol sensitivity shows Renewable CAPEX (56.65%), WACC (21.58%), and PEM CAPEX (18.89%) dominate output uncertainty, while weather resource volatility contributes &lt;1.3%.</w:t>
      </w:r>
    </w:p>
    <w:p>
      <w:pPr>
        <w:spacing w:before="160" w:after="60"/>
        <w:jc w:val="center"/>
      </w:pPr>
      <w:r>
        <w:rPr>
          <w:sz w:val="20"/>
        </w:rPr>
        <w:t>V. LOAD-COMPENSATED MULTIVARIATE STATISTICAL PROCESS MONITORING (MSPM)</w:t>
      </w:r>
    </w:p>
    <w:p>
      <w:pPr>
        <w:jc w:val="both"/>
      </w:pPr>
      <w:r>
        <w:rPr>
          <w:sz w:val="20"/>
        </w:rPr>
        <w:t>Under dynamic renewable dispatch (i ∈ [0.20, 1.76] A/cm²), 9 physically measurable industrial sensors are monitored via PCA (k = 3 PCs, 96.03% variance). PCA was benchmarked against a Load-Compensated 1D Voltage-Residual EWMA filter across 100 independent Monte Carlo realizations.</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3024794"/>
            <wp:docPr id="5" name="Picture 5"/>
            <wp:cNvGraphicFramePr>
              <a:graphicFrameLocks noChangeAspect="1"/>
            </wp:cNvGraphicFramePr>
            <a:graphic>
              <a:graphicData uri="http://schemas.openxmlformats.org/drawingml/2006/picture">
                <pic:pic>
                  <pic:nvPicPr>
                    <pic:cNvPr id="0" name="fig5_pca_fault_monitoring_t2_spe.png"/>
                    <pic:cNvPicPr/>
                  </pic:nvPicPr>
                  <pic:blipFill>
                    <a:blip r:embed="rId13"/>
                    <a:stretch>
                      <a:fillRect/>
                    </a:stretch>
                  </pic:blipFill>
                  <pic:spPr>
                    <a:xfrm>
                      <a:off x="0" y="0"/>
                      <a:ext cx="6492240" cy="3024794"/>
                    </a:xfrm>
                    <a:prstGeom prst="rect"/>
                  </pic:spPr>
                </pic:pic>
              </a:graphicData>
            </a:graphic>
          </wp:inline>
        </w:drawing>
      </w:r>
    </w:p>
    <w:p>
      <w:pPr>
        <w:spacing w:after="160"/>
        <w:jc w:val="both"/>
      </w:pPr>
      <w:r>
        <w:rPr>
          <w:sz w:val="17"/>
        </w:rPr>
        <w:t>Fig. 5. Full-width multivariate statistical fault monitoring: (a) Hotelling's T² control chart; (b) Jackson–Mudholkar Q/SPE chart; (c) Sensor contribution diagnosis isolating thermal-pressure anomalies during Fault 1 and voltage-pressure anomalies during Fault 2.</w:t>
      </w:r>
    </w:p>
    <w:p>
      <w:pPr>
        <w:sectPr>
          <w:type w:val="continuous"/>
          <w:pgSz w:w="12240" w:h="15840"/>
          <w:pgMar w:top="1080" w:right="900" w:bottom="1440" w:left="900" w:header="720" w:footer="720" w:gutter="0"/>
          <w:cols w:space="360" w:num="1"/>
          <w:docGrid w:linePitch="360"/>
        </w:sectPr>
      </w:pPr>
    </w:p>
    <w:p>
      <w:pPr>
        <w:ind w:firstLine="216"/>
        <w:jc w:val="both"/>
      </w:pPr>
      <w:r>
        <w:rPr>
          <w:sz w:val="20"/>
        </w:rPr>
        <w:t>Addressing Hypothesis H3: PCA does not detect incipient faults faster than load-compensated EWMA under pointwise alarms (11.6 h latency for PCA vs. 10.6 h for EWMA; hourly pointwise FAR = 9.80% vs. 5.39%). However, under standard ANSI/ISA-18.2 persistent alarm confirmation (k = 3 consecutive samples), PCA event FAR drops to 4.20% (outperforming EWMA at 4.92%) and confirms faults in 12.0 h vs. 19.0 h for EWMA (a 7-hour confirmation lead time). Furthermore, PCA provides unique multi-sensor root-cause isolation via contribution plots, isolating Stack Temperature (60.17%) and Cathode Pressure (35.07%) during dehydration, and Cell Voltage (34.61%) during flooding.</w:t>
      </w:r>
    </w:p>
    <w:p>
      <w:pPr>
        <w:spacing w:before="120" w:after="40"/>
      </w:pPr>
      <w:r>
        <w:rPr>
          <w:b/>
          <w:color w:val="1E3A8A"/>
          <w:sz w:val="17"/>
        </w:rPr>
        <w:t>■ CALCULATION BOX 3: LATENT MSPM STATISTICS &amp; CONTROL THRESHOLDS (9 SENSORS, Α = 0.01)</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Latent Subspace Variance (k = 3)</w:t>
            </w:r>
          </w:p>
        </w:tc>
        <w:tc>
          <w:tcPr>
            <w:tcW w:type="dxa" w:w="3480"/>
          </w:tcPr>
          <w:p>
            <w:r>
              <w:rPr>
                <w:sz w:val="14"/>
              </w:rPr>
              <w:t>(λ₁ + λ₂ + λ₃) / 9.0 = (4.182 + 2.814 + 1.647) / 9.0</w:t>
            </w:r>
          </w:p>
        </w:tc>
        <w:tc>
          <w:tcPr>
            <w:tcW w:type="dxa" w:w="3480"/>
          </w:tcPr>
          <w:p>
            <w:pPr>
              <w:jc w:val="right"/>
            </w:pPr>
            <w:r>
              <w:rPr>
                <w:b/>
                <w:sz w:val="14"/>
              </w:rPr>
              <w:t>96.03% of total variance</w:t>
            </w:r>
          </w:p>
        </w:tc>
      </w:tr>
      <w:tr>
        <w:tc>
          <w:tcPr>
            <w:tcW w:type="dxa" w:w="3480"/>
          </w:tcPr>
          <w:p>
            <w:r>
              <w:rPr>
                <w:sz w:val="14"/>
              </w:rPr>
              <w:t>Hotelling's T² Limit (α = 0.01)</w:t>
            </w:r>
          </w:p>
        </w:tc>
        <w:tc>
          <w:tcPr>
            <w:tcW w:type="dxa" w:w="3480"/>
          </w:tcPr>
          <w:p>
            <w:r>
              <w:rPr>
                <w:sz w:val="14"/>
              </w:rPr>
              <w:t>k(N-1)/(N-k) · F_k,N-k(0.01) ≈ χ₃²(0.01) (Jackson &amp; Mudholkar)</w:t>
            </w:r>
          </w:p>
        </w:tc>
        <w:tc>
          <w:tcPr>
            <w:tcW w:type="dxa" w:w="3480"/>
          </w:tcPr>
          <w:p>
            <w:pPr>
              <w:jc w:val="right"/>
            </w:pPr>
            <w:r>
              <w:rPr>
                <w:b/>
                <w:sz w:val="14"/>
              </w:rPr>
              <w:t>T_crit² = 11.58</w:t>
            </w:r>
          </w:p>
        </w:tc>
      </w:tr>
      <w:tr>
        <w:tc>
          <w:tcPr>
            <w:tcW w:type="dxa" w:w="3480"/>
          </w:tcPr>
          <w:p>
            <w:r>
              <w:rPr>
                <w:sz w:val="14"/>
              </w:rPr>
              <w:t>Residual Moments θ₁, θ₂, θ₃, h₀</w:t>
            </w:r>
          </w:p>
        </w:tc>
        <w:tc>
          <w:tcPr>
            <w:tcW w:type="dxa" w:w="3480"/>
          </w:tcPr>
          <w:p>
            <w:r>
              <w:rPr>
                <w:sz w:val="14"/>
              </w:rPr>
              <w:t>θ₁ = 0.3570, θ₂ = 0.0241, θ₃ = 0.00178, h₀ = 1 - 2θ₁θ₃/(3θ₂²)</w:t>
            </w:r>
          </w:p>
        </w:tc>
        <w:tc>
          <w:tcPr>
            <w:tcW w:type="dxa" w:w="3480"/>
          </w:tcPr>
          <w:p>
            <w:pPr>
              <w:jc w:val="right"/>
            </w:pPr>
            <w:r>
              <w:rPr>
                <w:b/>
                <w:sz w:val="14"/>
              </w:rPr>
              <w:t>h₀ = 0.2695</w:t>
            </w:r>
          </w:p>
        </w:tc>
      </w:tr>
      <w:tr>
        <w:tc>
          <w:tcPr>
            <w:tcW w:type="dxa" w:w="3480"/>
          </w:tcPr>
          <w:p>
            <w:r>
              <w:rPr>
                <w:sz w:val="14"/>
              </w:rPr>
              <w:t>Jackson–Mudholkar Q Limit</w:t>
            </w:r>
          </w:p>
        </w:tc>
        <w:tc>
          <w:tcPr>
            <w:tcW w:type="dxa" w:w="3480"/>
          </w:tcPr>
          <w:p>
            <w:r>
              <w:rPr>
                <w:sz w:val="14"/>
              </w:rPr>
              <w:t>θ₁·[1 - θ₂h₀(1-h₀)/θ₁² + c_α·√(2θ₂h₀²)/θ₁]^(1/h₀) with c_0.01 = 2.3263</w:t>
            </w:r>
          </w:p>
        </w:tc>
        <w:tc>
          <w:tcPr>
            <w:tcW w:type="dxa" w:w="3480"/>
          </w:tcPr>
          <w:p>
            <w:pPr>
              <w:jc w:val="right"/>
            </w:pPr>
            <w:r>
              <w:rPr>
                <w:b/>
                <w:sz w:val="14"/>
              </w:rPr>
              <w:t>Q_crit = 1.854</w:t>
            </w:r>
          </w:p>
        </w:tc>
      </w:tr>
      <w:tr>
        <w:tc>
          <w:tcPr>
            <w:tcW w:type="dxa" w:w="3480"/>
          </w:tcPr>
          <w:p>
            <w:r>
              <w:rPr>
                <w:sz w:val="14"/>
              </w:rPr>
              <w:t>Sensor Contribution Contr_j^Q</w:t>
            </w:r>
          </w:p>
        </w:tc>
        <w:tc>
          <w:tcPr>
            <w:tcW w:type="dxa" w:w="3480"/>
          </w:tcPr>
          <w:p>
            <w:r>
              <w:rPr>
                <w:sz w:val="14"/>
              </w:rPr>
              <w:t>[z_std,j(t) - z_hat_std,j(t)]² / Q(t) · 100%</w:t>
            </w:r>
          </w:p>
        </w:tc>
        <w:tc>
          <w:tcPr>
            <w:tcW w:type="dxa" w:w="3480"/>
          </w:tcPr>
          <w:p>
            <w:pPr>
              <w:jc w:val="right"/>
            </w:pPr>
            <w:r>
              <w:rPr>
                <w:b/>
                <w:sz w:val="14"/>
              </w:rPr>
              <w:t>Attribution to sensor j</w:t>
            </w:r>
          </w:p>
        </w:tc>
      </w:tr>
      <w:tr>
        <w:tc>
          <w:tcPr>
            <w:tcW w:type="dxa" w:w="3480"/>
          </w:tcPr>
          <w:p>
            <w:r>
              <w:rPr>
                <w:sz w:val="14"/>
              </w:rPr>
              <w:t>Fault 1 Root-Cause Isolation</w:t>
            </w:r>
          </w:p>
        </w:tc>
        <w:tc>
          <w:tcPr>
            <w:tcW w:type="dxa" w:w="3480"/>
          </w:tcPr>
          <w:p>
            <w:r>
              <w:rPr>
                <w:sz w:val="14"/>
              </w:rPr>
              <w:t>Stack Temp (60.17%) + Cathode Pressure (35.07%)</w:t>
            </w:r>
          </w:p>
        </w:tc>
        <w:tc>
          <w:tcPr>
            <w:tcW w:type="dxa" w:w="3480"/>
          </w:tcPr>
          <w:p>
            <w:pPr>
              <w:jc w:val="right"/>
            </w:pPr>
            <w:r>
              <w:rPr>
                <w:b/>
                <w:sz w:val="14"/>
              </w:rPr>
              <w:t>95.24% Thermal-Pressure Isolation</w:t>
            </w:r>
          </w:p>
        </w:tc>
      </w:tr>
      <w:tr>
        <w:tc>
          <w:tcPr>
            <w:tcW w:type="dxa" w:w="3480"/>
          </w:tcPr>
          <w:p>
            <w:r>
              <w:rPr>
                <w:sz w:val="14"/>
              </w:rPr>
              <w:t>Fault 2 Root-Cause Isolation</w:t>
            </w:r>
          </w:p>
        </w:tc>
        <w:tc>
          <w:tcPr>
            <w:tcW w:type="dxa" w:w="3480"/>
          </w:tcPr>
          <w:p>
            <w:r>
              <w:rPr>
                <w:sz w:val="14"/>
              </w:rPr>
              <w:t>Cell Voltage (34.61%) + Cathode Pressure (26.04%) + Flow (20.50%)</w:t>
            </w:r>
          </w:p>
        </w:tc>
        <w:tc>
          <w:tcPr>
            <w:tcW w:type="dxa" w:w="3480"/>
          </w:tcPr>
          <w:p>
            <w:pPr>
              <w:jc w:val="right"/>
            </w:pPr>
            <w:r>
              <w:rPr>
                <w:b/>
                <w:sz w:val="14"/>
              </w:rPr>
              <w:t>81.15% Overpotential-Flow Isolation</w:t>
            </w:r>
          </w:p>
        </w:tc>
      </w:tr>
    </w:tbl>
    <w:p>
      <w:pPr>
        <w:spacing w:after="120"/>
      </w:pPr>
    </w:p>
    <w:p>
      <w:pPr>
        <w:spacing w:before="160" w:after="60"/>
        <w:jc w:val="center"/>
      </w:pPr>
      <w:r>
        <w:rPr>
          <w:sz w:val="20"/>
        </w:rPr>
        <w:t>VI. SEASONAL DYNAMIC DISPATCH VERIFICATION</w:t>
      </w:r>
    </w:p>
    <w:p>
      <w:pPr>
        <w:jc w:val="both"/>
      </w:pPr>
      <w:r>
        <w:rPr>
          <w:sz w:val="20"/>
        </w:rPr>
        <w:t>Fig. 6 verifies hourly dynamic operation across a summer week (solar-dominant diurnal high-current ramping up to 1,050 kg/h with buffer storage) and a monsoon week (steady highland wind baseload electrolysis at 480–540 kg/h with minimal battery cycling), confirming uninterrupted supply.</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3080098"/>
            <wp:docPr id="6" name="Picture 6"/>
            <wp:cNvGraphicFramePr>
              <a:graphicFrameLocks noChangeAspect="1"/>
            </wp:cNvGraphicFramePr>
            <a:graphic>
              <a:graphicData uri="http://schemas.openxmlformats.org/drawingml/2006/picture">
                <pic:pic>
                  <pic:nvPicPr>
                    <pic:cNvPr id="0" name="fig6_dynamic_dispatch_monsoon_vs_summer.png"/>
                    <pic:cNvPicPr/>
                  </pic:nvPicPr>
                  <pic:blipFill>
                    <a:blip r:embed="rId14"/>
                    <a:stretch>
                      <a:fillRect/>
                    </a:stretch>
                  </pic:blipFill>
                  <pic:spPr>
                    <a:xfrm>
                      <a:off x="0" y="0"/>
                      <a:ext cx="6492240" cy="3080098"/>
                    </a:xfrm>
                    <a:prstGeom prst="rect"/>
                  </pic:spPr>
                </pic:pic>
              </a:graphicData>
            </a:graphic>
          </wp:inline>
        </w:drawing>
      </w:r>
    </w:p>
    <w:p>
      <w:pPr>
        <w:spacing w:after="160"/>
        <w:jc w:val="both"/>
      </w:pPr>
      <w:r>
        <w:rPr>
          <w:sz w:val="17"/>
        </w:rPr>
        <w:t>Fig. 6. Full-width hourly dispatch profiles of the Knee-Point Plant (168 h): (a) Pre-monsoon summer week (solar diurnal ramping); (b) Southwest Monsoon week (steady baseload wind); (c) Compressed H₂ buffer storage and battery state of charge.</w:t>
      </w:r>
    </w:p>
    <w:p>
      <w:pPr>
        <w:sectPr>
          <w:type w:val="continuous"/>
          <w:pgSz w:w="12240" w:h="15840"/>
          <w:pgMar w:top="1080" w:right="900" w:bottom="1440" w:left="900" w:header="720" w:footer="720" w:gutter="0"/>
          <w:cols w:space="360" w:num="1"/>
          <w:docGrid w:linePitch="360"/>
        </w:sectPr>
      </w:pPr>
    </w:p>
    <w:p>
      <w:pPr>
        <w:spacing w:before="160" w:after="60"/>
        <w:jc w:val="center"/>
      </w:pPr>
      <w:r>
        <w:rPr>
          <w:sz w:val="20"/>
        </w:rPr>
        <w:t>VII. CONCLUSION</w:t>
      </w:r>
    </w:p>
    <w:p>
      <w:pPr>
        <w:jc w:val="both"/>
      </w:pPr>
      <w:r>
        <w:rPr>
          <w:sz w:val="20"/>
        </w:rPr>
        <w:t>This study established an audited Process Systems Engineering and Green AI blueprint for an industrial coastal green hydrogen plant in southwestern India. Key findings include: (1) Split-CAPEX dynamics favor nominal operating densities (i_max* = 1.764 A/cm², LCOH = INR 332.51/kg, LPSP = 0.62%); (2) Wheeled highland wind lowers LCOH by 12.96% and prevents severe coastal wind drought failure; (3) Leak-free Green-MLP achieves R² = 0.9943 with an 89.94% FLOP reduction and 4,206× speedup; and (4) PCA provides critical multi-sensor root-cause isolation even when load-compensated univariate filters detect marginally earlier.</w:t>
      </w:r>
    </w:p>
    <w:p>
      <w:pPr>
        <w:spacing w:before="160" w:after="60"/>
        <w:jc w:val="center"/>
      </w:pPr>
      <w:r>
        <w:rPr>
          <w:sz w:val="20"/>
        </w:rPr>
        <w:t>VIII. DATA, CODE AVAILABILITY, AND REPRODUCIBILITY STATEMENT</w:t>
      </w:r>
    </w:p>
    <w:p>
      <w:pPr>
        <w:jc w:val="both"/>
      </w:pPr>
      <w:r>
        <w:rPr>
          <w:sz w:val="20"/>
        </w:rPr>
        <w:t>To facilitate independent verification and research reuse, the complete simulation pipeline, optimization models, raw meteorological archives, and automated verification suites are open-sourced in the companion repository: https://github.com/CHEMIGNITE/coastal-hybrid-pemwe-opt. The reproducibility pack includes: (1) Complete Python dependency lockfile (requirements.txt, Python 3.10+, NumPy 1.24+, SciPy 1.10+, scikit-learn 1.2+, Numba 0.57+) with 5 fixed random seeds s = [101, 202, 303, 404, 505]; (2) Contiguous 6-year (2019–2024, 52,608 hourly entries) uninflated NASA POWER MERRA-2 meteorological records for coastal and highland corridors; (3) 14-point semi-empirical PEMWE polarization dataset (Nafion 115, 75°C, 30 bar) partitioned into calibration (N_cal = 10, i &lt;= 2.0 A/cm², RMSE = 3.29 mV) and validation (N_val = 4, i in [2.25, 3.00] A/cm², RMSE = 2.56 mV, R² = 0.9977) splits; (4) One-click reproduction workflow (python simulate_and_optimize.py --reproduce-all) regenerating all metrics, tables, and 6 figures in &lt;45 s; and (5) Automated 14-test verification suite (python -m unittest discover tests) passing in &lt;3 s.</w:t>
      </w:r>
    </w:p>
    <w:p>
      <w:pPr>
        <w:spacing w:before="160" w:after="60"/>
        <w:jc w:val="center"/>
      </w:pPr>
      <w:r>
        <w:rPr>
          <w:sz w:val="20"/>
        </w:rPr>
        <w:t>REFERENCES</w:t>
      </w:r>
    </w:p>
    <w:p>
      <w:pPr>
        <w:spacing w:after="40"/>
        <w:jc w:val="both"/>
      </w:pPr>
      <w:r>
        <w:rPr>
          <w:sz w:val="16"/>
        </w:rPr>
        <w:t>[1] Ministry of New and Renewable Energy (MNRE), National Green Hydrogen Mission. New Delhi, India: Government of India, Order No. 353/34/2022-NT, Jan. 2023.</w:t>
      </w:r>
    </w:p>
    <w:p>
      <w:pPr>
        <w:spacing w:after="40"/>
        <w:jc w:val="both"/>
      </w:pPr>
      <w:r>
        <w:rPr>
          <w:sz w:val="16"/>
        </w:rPr>
        <w:t>[2] N. K. Pujari, R. K. Inapakurthi, and K. Mitra, 'Integrated forecasting and design of distributed wind-to-hydrogen systems for urban sustainability,' Comput. Chem. Eng., vol. 211, p. 108842, Aug. 2026. DOI: 10.1016/j.compchemeng.2026.108842.</w:t>
      </w:r>
    </w:p>
    <w:p>
      <w:pPr>
        <w:spacing w:after="40"/>
        <w:jc w:val="both"/>
      </w:pPr>
      <w:r>
        <w:rPr>
          <w:sz w:val="16"/>
        </w:rPr>
        <w:t>[3] K. Mitra, R. Everson, and J. Fieldsend, Eds., Optimization, Uncertainty and Machine Learning in Wind Energy Conversion Systems. Cham: Springer Nature, Jan. 2025. DOI: 10.1007/978-3-031-72124-3.</w:t>
      </w:r>
    </w:p>
    <w:p>
      <w:pPr>
        <w:spacing w:after="40"/>
        <w:jc w:val="both"/>
      </w:pPr>
      <w:r>
        <w:rPr>
          <w:sz w:val="16"/>
        </w:rPr>
        <w:t>[4] Abhishek, N. K. Pujari, and K. Mitra, 'AI-driven wind resource modelling for efficient wind-to-hydrogen system design at Jaisalmer,' in Proc. Int. Conf. AI Manuf. Sustain. (AIMS), Dec. 2025, pp. 1–8.</w:t>
      </w:r>
    </w:p>
    <w:p>
      <w:pPr>
        <w:spacing w:after="40"/>
        <w:jc w:val="both"/>
      </w:pPr>
      <w:r>
        <w:rPr>
          <w:sz w:val="16"/>
        </w:rPr>
        <w:t>[5] V. S. Masampally, K. Mitra, and V. Runkana, 'Modeling and simulation of hydrogen production in a PEM water electrolyzer at high current densities,' Energy Convers. Manage., vol. 352, p. 121110, 2026. DOI: 10.1016/j.enconman.2026.121110.</w:t>
      </w:r>
    </w:p>
    <w:p>
      <w:pPr>
        <w:spacing w:after="40"/>
        <w:jc w:val="both"/>
      </w:pPr>
      <w:r>
        <w:rPr>
          <w:sz w:val="16"/>
        </w:rPr>
        <w:t>[6] M. Bernt and H. A. Gasteiger, 'Influence of the porous transport layer on PEM water electrolysis performance at high current densities,' J. Electrochem. Soc., vol. 163, no. 11, pp. F3179–F3189, Sep. 2016. DOI: 10.1149/2.0651611jes.</w:t>
      </w:r>
    </w:p>
    <w:p>
      <w:pPr>
        <w:spacing w:after="40"/>
        <w:jc w:val="both"/>
      </w:pPr>
      <w:r>
        <w:rPr>
          <w:sz w:val="16"/>
        </w:rPr>
        <w:t>[7] C. Rakousky et al., 'An analysis of degradation phenomena in polymer electrolyte membrane water electrolysis,' J. Power Sources, vol. 326, pp. 120–128, Sep. 2016. DOI: 10.1016/j.jpowsour.2016.06.082.</w:t>
      </w:r>
    </w:p>
    <w:p>
      <w:pPr>
        <w:spacing w:after="40"/>
        <w:jc w:val="both"/>
      </w:pPr>
      <w:r>
        <w:rPr>
          <w:sz w:val="16"/>
        </w:rPr>
        <w:t>[8] M. Chandesris et al., 'Membrane degradation in PEM water electrolyzer: Numerical modeling and experimental validation,' Int. J. Hydrogen Energy, vol. 40, no. 3, pp. 1353–1366, Jan. 2015. DOI: 10.1016/j.ijhydene.2014.11.111.</w:t>
      </w:r>
    </w:p>
    <w:p>
      <w:pPr>
        <w:spacing w:after="40"/>
        <w:jc w:val="both"/>
      </w:pPr>
      <w:r>
        <w:rPr>
          <w:sz w:val="16"/>
        </w:rPr>
        <w:t>[9] P. Trinke, P. Bensmann, and R. Hanke-Rauschenbach, 'Current density effect on hydrogen crossover in PEM water electrolysis,' J. Electrochem. Soc., vol. 165, no. 7, pp. F502–F513, May 2018. DOI: 10.1149/2.0461807jes.</w:t>
      </w:r>
    </w:p>
    <w:p>
      <w:pPr>
        <w:spacing w:after="40"/>
        <w:jc w:val="both"/>
      </w:pPr>
      <w:r>
        <w:rPr>
          <w:sz w:val="16"/>
        </w:rPr>
        <w:t>[10] R. K. Inapakurthi, N. K. Pujari, and K. Mitra, 'Maximizing energy production from wind farm layout using model predictive control,' in Optimization, Uncertainty and Machine Learning in Wind Energy Conversion Systems. Cham: Springer, 2025, pp. 85–112.</w:t>
      </w:r>
    </w:p>
    <w:p>
      <w:pPr>
        <w:spacing w:after="40"/>
        <w:jc w:val="both"/>
      </w:pPr>
      <w:r>
        <w:rPr>
          <w:sz w:val="16"/>
        </w:rPr>
        <w:t>[11] R. Schwartz, J. Dodge, N. A. Smith, and O. Etzioni, 'Green AI,' Commun. ACM, vol. 63, no. 12, pp. 54–63, Dec. 2020. DOI: 10.1145/3381831.</w:t>
      </w:r>
    </w:p>
    <w:p>
      <w:pPr>
        <w:spacing w:after="40"/>
        <w:jc w:val="both"/>
      </w:pPr>
      <w:r>
        <w:rPr>
          <w:sz w:val="16"/>
        </w:rPr>
        <w:t>[12] M. Raissi, P. Perdikaris, and G. E. Karniadakis, 'Physics-informed neural networks,' J. Comput. Phys., vol. 378, pp. 686–707, Feb. 2019. DOI: 10.1016/j.jcp.2018.10.045.</w:t>
      </w:r>
    </w:p>
    <w:p>
      <w:pPr>
        <w:spacing w:after="40"/>
        <w:jc w:val="both"/>
      </w:pPr>
      <w:r>
        <w:rPr>
          <w:sz w:val="16"/>
        </w:rPr>
        <w:t>[13] S. J. Qin, 'Survey on data-driven industrial process monitoring and diagnosis,' Annu. Rev. Control, vol. 36, no. 2, pp. 220–234, Dec. 2012. DOI: 10.1016/j.arcontrol.2012.09.004.</w:t>
      </w:r>
    </w:p>
    <w:p>
      <w:pPr>
        <w:spacing w:after="40"/>
        <w:jc w:val="both"/>
      </w:pPr>
      <w:r>
        <w:rPr>
          <w:sz w:val="16"/>
        </w:rPr>
        <w:t>[14] J. E. Jackson and G. S. Mudholkar, 'Control procedures for residuals associated with principal component analysis,' Technometrics, vol. 21, no. 3, pp. 341–349, Aug. 1979. DOI: 10.1080/00401706.1979.10489779.</w:t>
      </w:r>
    </w:p>
    <w:p>
      <w:pPr>
        <w:spacing w:after="40"/>
        <w:jc w:val="both"/>
      </w:pPr>
      <w:r>
        <w:rPr>
          <w:sz w:val="16"/>
        </w:rPr>
        <w:t>[15] M. Madakyaru, C. N. Bhushan, and S. R. Kulkarni, 'Multivariate statistical process monitoring and improved latent-variable fault detection for nonlinear chemical processes,' J. Process Control, vol. 134, p. 103148, 2024. DOI: 10.1016/j.jprocont.2024.103148.</w:t>
      </w:r>
    </w:p>
    <w:p>
      <w:pPr>
        <w:spacing w:after="40"/>
        <w:jc w:val="both"/>
      </w:pPr>
      <w:r>
        <w:rPr>
          <w:sz w:val="16"/>
        </w:rPr>
        <w:t>[16] M. N. Nounou, B. R. Bakshi, P. K. Goel, and X. Shen, 'ches-PCA and multiscale latent variable modeling for fault detection in dynamic chemical systems,' AIChE J., vol. 48, no. 8, pp. 1775–1793, 2002. DOI: 10.1002/aic.690480816.</w:t>
      </w:r>
    </w:p>
    <w:p>
      <w:pPr>
        <w:spacing w:after="40"/>
        <w:jc w:val="both"/>
      </w:pPr>
      <w:r>
        <w:rPr>
          <w:sz w:val="16"/>
        </w:rPr>
        <w:t>[17] NASA POWER Project, 'Prediction of Worldwide Energy Resources (Hourly Agroclimatology &amp; Solar-Wind Energy Archive, Karnataka Regional Corridors),' NASA, 2026.</w:t>
      </w:r>
    </w:p>
    <w:p>
      <w:pPr>
        <w:spacing w:after="40"/>
        <w:jc w:val="both"/>
      </w:pPr>
      <w:r>
        <w:rPr>
          <w:sz w:val="16"/>
        </w:rPr>
        <w:t>[18] Karnataka Electricity Regulatory Commission (KERC), 'Terms and Conditions for Open Access and Renewable Wheeling Charges: Multi-Year Tariff Order,' Bengaluru, India, Tariff Order No. S/01/2024, 2024.</w:t>
      </w:r>
    </w:p>
    <w:p>
      <w:pPr>
        <w:spacing w:after="40"/>
        <w:jc w:val="both"/>
      </w:pPr>
      <w:r>
        <w:rPr>
          <w:sz w:val="16"/>
        </w:rPr>
        <w:t>[19] T. E. Springer, T. A. Zawodzinski, and S. Gottesfeld, 'Polymer electrolyte fuel cell model,' J. Electrochem. Soc., vol. 138, no. 8, pp. 2334–2342, Aug. 1991. DOI: 10.1149/1.2085971.</w:t>
      </w:r>
    </w:p>
    <w:p>
      <w:pPr>
        <w:spacing w:after="40"/>
        <w:jc w:val="both"/>
      </w:pPr>
      <w:r>
        <w:rPr>
          <w:sz w:val="16"/>
        </w:rPr>
        <w:t>[20] K. Deb, A. Pratap, S. Agarwal, and T. Meyarivan, 'A fast and elitist multiobjective genetic algorithm: NSGA-II,' IEEE Trans. Evol. Comput., vol. 6, no. 2, pp. 182–197, Apr. 2002. DOI: 10.1109/4235.996017.</w:t>
      </w:r>
    </w:p>
    <w:p>
      <w:pPr>
        <w:spacing w:after="40"/>
        <w:jc w:val="both"/>
      </w:pPr>
      <w:r>
        <w:rPr>
          <w:sz w:val="16"/>
        </w:rPr>
        <w:t>[21] Central Electricity Authority (CEA), 'CO2 Baseline Database for the Indian Power Sector (User Guide Version 19.0),' Ministry of Power, New Delhi, India, Dec. 2024.</w:t>
      </w:r>
    </w:p>
    <w:p>
      <w:pPr>
        <w:spacing w:after="40"/>
        <w:jc w:val="both"/>
      </w:pPr>
      <w:r>
        <w:rPr>
          <w:sz w:val="16"/>
        </w:rPr>
        <w:t>[22] Central Electricity Regulatory Commission (CERC), 'Terms and Conditions for Tariff determination from Renewable Energy Sources Regulations,' New Delhi, India, Notification No. RA-14026(11)/1/2023-CERC, 2023.</w:t>
      </w:r>
    </w:p>
    <w:p>
      <w:pPr>
        <w:spacing w:after="40"/>
        <w:jc w:val="both"/>
      </w:pPr>
      <w:r>
        <w:rPr>
          <w:sz w:val="16"/>
        </w:rPr>
        <w:t>[23] International Renewable Energy Agency (IRENA), Green Hydrogen Cost Reduction: Scaling up Electrolysers to Meet the 1.5°C Climate Goal. Abu Dhabi, UAE: IRENA, Dec. 2020. ISBN: 978-92-9260-295-6.</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