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01828"/>
        </w:rPr>
        <w:t>Scoutly</w:t>
      </w:r>
    </w:p>
    <w:p>
      <w:pPr>
        <w:jc w:val="center"/>
      </w:pPr>
      <w:r>
        <w:rPr>
          <w:i/>
          <w:sz w:val="28"/>
        </w:rPr>
        <w:t>Multi-Agent B2B Account Intelligence Assistant</w:t>
      </w:r>
    </w:p>
    <w:p>
      <w:pPr>
        <w:jc w:val="center"/>
      </w:pPr>
      <w:r>
        <w:rPr>
          <w:color w:val="606060"/>
          <w:sz w:val="22"/>
        </w:rPr>
        <w:t>CAP 931 Capstone, v1.2</w:t>
      </w:r>
    </w:p>
    <w:p/>
    <w:p>
      <w:pPr>
        <w:pStyle w:val="Heading1"/>
      </w:pPr>
      <w:r>
        <w:t>1. Introduction</w:t>
      </w:r>
    </w:p>
    <w:p>
      <w:r>
        <w:t>Scoutly is a prototype sales-assistant agent that helps a B2B sales representative research a prospective company before outreach. Given what the rep is selling, their value proposition, the target company's URL, its competitors' URLs, and optionally an uploaded product overview, five chained AI agents produce a one-page account intelligence brief covering company strategy, leadership, press and compliance initiatives, competitive positioning, real 10-K disclosure highlights, a sourcing-strategy recommendation, and a recommended sales approach, grounded in real fetched web pages, real SEC EDGAR filings, and real filing section text rather than general LLM knowledge.</w:t>
      </w:r>
    </w:p>
    <w:p>
      <w:pPr>
        <w:pStyle w:val="Heading1"/>
      </w:pPr>
      <w:r>
        <w:t>2. Requirements Mapping</w:t>
      </w:r>
    </w:p>
    <w:tbl>
      <w:tblPr>
        <w:tblStyle w:val="LightGrid-Accent1"/>
        <w:tblW w:type="auto" w:w="0"/>
        <w:tblLook w:firstColumn="1" w:firstRow="1" w:lastColumn="0" w:lastRow="0" w:noHBand="0" w:noVBand="1" w:val="04A0"/>
      </w:tblPr>
      <w:tblGrid>
        <w:gridCol w:w="4320"/>
        <w:gridCol w:w="4320"/>
      </w:tblGrid>
      <w:tr>
        <w:tc>
          <w:tcPr>
            <w:tcW w:type="dxa" w:w="4320"/>
          </w:tcPr>
          <w:p>
            <w:r>
              <w:t>CAP 931 Requirement</w:t>
            </w:r>
          </w:p>
        </w:tc>
        <w:tc>
          <w:tcPr>
            <w:tcW w:type="dxa" w:w="4320"/>
          </w:tcPr>
          <w:p>
            <w:r>
              <w:t>Implementation</w:t>
            </w:r>
          </w:p>
        </w:tc>
      </w:tr>
      <w:tr>
        <w:tc>
          <w:tcPr>
            <w:tcW w:type="dxa" w:w="4320"/>
          </w:tcPr>
          <w:p>
            <w:r>
              <w:t>Product Name (input)</w:t>
            </w:r>
          </w:p>
        </w:tc>
        <w:tc>
          <w:tcPr>
            <w:tcW w:type="dxa" w:w="4320"/>
          </w:tcPr>
          <w:p>
            <w:r>
              <w:t>rep_product_name</w:t>
            </w:r>
          </w:p>
        </w:tc>
      </w:tr>
      <w:tr>
        <w:tc>
          <w:tcPr>
            <w:tcW w:type="dxa" w:w="4320"/>
          </w:tcPr>
          <w:p>
            <w:r>
              <w:t>Company URL (input)</w:t>
            </w:r>
          </w:p>
        </w:tc>
        <w:tc>
          <w:tcPr>
            <w:tcW w:type="dxa" w:w="4320"/>
          </w:tcPr>
          <w:p>
            <w:r>
              <w:t>company_url, fetched live including discovered subpages before research runs</w:t>
            </w:r>
          </w:p>
        </w:tc>
      </w:tr>
      <w:tr>
        <w:tc>
          <w:tcPr>
            <w:tcW w:type="dxa" w:w="4320"/>
          </w:tcPr>
          <w:p>
            <w:r>
              <w:t>Product Category (input, LLM infers if blank)</w:t>
            </w:r>
          </w:p>
        </w:tc>
        <w:tc>
          <w:tcPr>
            <w:tcW w:type="dxa" w:w="4320"/>
          </w:tcPr>
          <w:p>
            <w:r>
              <w:t>product_category, inferred by the Account Intake Agent when left blank</w:t>
            </w:r>
          </w:p>
        </w:tc>
      </w:tr>
      <w:tr>
        <w:tc>
          <w:tcPr>
            <w:tcW w:type="dxa" w:w="4320"/>
          </w:tcPr>
          <w:p>
            <w:r>
              <w:t>Competitors (input)</w:t>
            </w:r>
          </w:p>
        </w:tc>
        <w:tc>
          <w:tcPr>
            <w:tcW w:type="dxa" w:w="4320"/>
          </w:tcPr>
          <w:p>
            <w:r>
              <w:t>competitor_urls, each fetched with the same homepage-plus-subpages depth as the target company</w:t>
            </w:r>
          </w:p>
        </w:tc>
      </w:tr>
      <w:tr>
        <w:tc>
          <w:tcPr>
            <w:tcW w:type="dxa" w:w="4320"/>
          </w:tcPr>
          <w:p>
            <w:r>
              <w:t>Value Proposition (input)</w:t>
            </w:r>
          </w:p>
        </w:tc>
        <w:tc>
          <w:tcPr>
            <w:tcW w:type="dxa" w:w="4320"/>
          </w:tcPr>
          <w:p>
            <w:r>
              <w:t>value_proposition</w:t>
            </w:r>
          </w:p>
        </w:tc>
      </w:tr>
      <w:tr>
        <w:tc>
          <w:tcPr>
            <w:tcW w:type="dxa" w:w="4320"/>
          </w:tcPr>
          <w:p>
            <w:r>
              <w:t>Target Customer (input)</w:t>
            </w:r>
          </w:p>
        </w:tc>
        <w:tc>
          <w:tcPr>
            <w:tcW w:type="dxa" w:w="4320"/>
          </w:tcPr>
          <w:p>
            <w:r>
              <w:t>target_customer_name</w:t>
            </w:r>
          </w:p>
        </w:tc>
      </w:tr>
      <w:tr>
        <w:tc>
          <w:tcPr>
            <w:tcW w:type="dxa" w:w="4320"/>
          </w:tcPr>
          <w:p>
            <w:r>
              <w:t>Optional: upload a proprietary internal sheet</w:t>
            </w:r>
          </w:p>
        </w:tc>
        <w:tc>
          <w:tcPr>
            <w:tcW w:type="dxa" w:w="4320"/>
          </w:tcPr>
          <w:p>
            <w:r>
              <w:t>product_document_text, a PDF/DOCX/TXT upload extracted by document_intake.py and summarized into product_document_summary</w:t>
            </w:r>
          </w:p>
        </w:tc>
      </w:tr>
      <w:tr>
        <w:tc>
          <w:tcPr>
            <w:tcW w:type="dxa" w:w="4320"/>
          </w:tcPr>
          <w:p>
            <w:r>
              <w:t>Company Strategy (output)</w:t>
            </w:r>
          </w:p>
        </w:tc>
        <w:tc>
          <w:tcPr>
            <w:tcW w:type="dxa" w:w="4320"/>
          </w:tcPr>
          <w:p>
            <w:r>
              <w:t>report.company_strategy</w:t>
            </w:r>
          </w:p>
        </w:tc>
      </w:tr>
      <w:tr>
        <w:tc>
          <w:tcPr>
            <w:tcW w:type="dxa" w:w="4320"/>
          </w:tcPr>
          <w:p>
            <w:r>
              <w:t>Sign-ups, press releases, key initiatives, regulatory compliance (output)</w:t>
            </w:r>
          </w:p>
        </w:tc>
        <w:tc>
          <w:tcPr>
            <w:tcW w:type="dxa" w:w="4320"/>
          </w:tcPr>
          <w:p>
            <w:r>
              <w:t>report.initiatives_and_compliance</w:t>
            </w:r>
          </w:p>
        </w:tc>
      </w:tr>
      <w:tr>
        <w:tc>
          <w:tcPr>
            <w:tcW w:type="dxa" w:w="4320"/>
          </w:tcPr>
          <w:p>
            <w:r>
              <w:t>Competitive Mentions (output)</w:t>
            </w:r>
          </w:p>
        </w:tc>
        <w:tc>
          <w:tcPr>
            <w:tcW w:type="dxa" w:w="4320"/>
          </w:tcPr>
          <w:p>
            <w:r>
              <w:t>report.competitive_mentions</w:t>
            </w:r>
          </w:p>
        </w:tc>
      </w:tr>
      <w:tr>
        <w:tc>
          <w:tcPr>
            <w:tcW w:type="dxa" w:w="4320"/>
          </w:tcPr>
          <w:p>
            <w:r>
              <w:t>Leadership Information with quotes (output)</w:t>
            </w:r>
          </w:p>
        </w:tc>
        <w:tc>
          <w:tcPr>
            <w:tcW w:type="dxa" w:w="4320"/>
          </w:tcPr>
          <w:p>
            <w:r>
              <w:t>report.leadership_information</w:t>
            </w:r>
          </w:p>
        </w:tc>
      </w:tr>
      <w:tr>
        <w:tc>
          <w:tcPr>
            <w:tcW w:type="dxa" w:w="4320"/>
          </w:tcPr>
          <w:p>
            <w:r>
              <w:t>Product/Rating Summary from public 10-K reports (output)</w:t>
            </w:r>
          </w:p>
        </w:tc>
        <w:tc>
          <w:tcPr>
            <w:tcW w:type="dxa" w:w="4320"/>
          </w:tcPr>
          <w:p>
            <w:r>
              <w:t>report.financial_summary plus report.filing_highlights, real Risk Factors/MD&amp;A/Cybersecurity text fetched from the actual primary filing document, not just filing metadata</w:t>
            </w:r>
          </w:p>
        </w:tc>
      </w:tr>
      <w:tr>
        <w:tc>
          <w:tcPr>
            <w:tcW w:type="dxa" w:w="4320"/>
          </w:tcPr>
          <w:p>
            <w:r>
              <w:t>Action Links to source material (output)</w:t>
            </w:r>
          </w:p>
        </w:tc>
        <w:tc>
          <w:tcPr>
            <w:tcW w:type="dxa" w:w="4320"/>
          </w:tcPr>
          <w:p>
            <w:r>
              <w:t>report.action_links</w:t>
            </w:r>
          </w:p>
        </w:tc>
      </w:tr>
      <w:tr>
        <w:tc>
          <w:tcPr>
            <w:tcW w:type="dxa" w:w="4320"/>
          </w:tcPr>
          <w:p>
            <w:r>
              <w:t>Optional: Alert system</w:t>
            </w:r>
          </w:p>
        </w:tc>
        <w:tc>
          <w:tcPr>
            <w:tcW w:type="dxa" w:w="4320"/>
          </w:tcPr>
          <w:p>
            <w:r>
              <w:t>check_for_updates.py, a real rerun-and-diff mechanism against the account's saved memory, meant to be invoked by an external scheduler since the hosting tier has no persistent background scheduler of its own</w:t>
            </w:r>
          </w:p>
        </w:tc>
      </w:tr>
      <w:tr>
        <w:tc>
          <w:tcPr>
            <w:tcW w:type="dxa" w:w="4320"/>
          </w:tcPr>
          <w:p>
            <w:r>
              <w:t>Optional: model-selection rationale</w:t>
            </w:r>
          </w:p>
        </w:tc>
        <w:tc>
          <w:tcPr>
            <w:tcW w:type="dxa" w:w="4320"/>
          </w:tcPr>
          <w:p>
            <w:r>
              <w:t>eval_models.py measures JSON/schema compliance, an unsupported-claims proxy, latency, and cost across Claude/GPT-4o-mini/GPT-OSS on the same fixed scenario</w:t>
            </w:r>
          </w:p>
        </w:tc>
      </w:tr>
    </w:tbl>
    <w:p/>
    <w:p>
      <w:pPr>
        <w:pStyle w:val="Heading1"/>
      </w:pPr>
      <w:r>
        <w:t>3. System Architecture</w:t>
      </w:r>
    </w:p>
    <w:p>
      <w:r>
        <w:t>Five agents run in a fixed orchestrator-defined sequence: Account Intake, Company Research, Competitor, Sales Recommendation, and Report. Each agent's output is validated against a dedicated Pydantic schema before the orchestrator or the next agent trusts it. All five agents share one ScoutlyMemory object per account, so later research runs see prior facts and any objections a prospect has raised.</w:t>
      </w:r>
    </w:p>
    <w:p>
      <w:pPr>
        <w:pStyle w:val="Heading1"/>
      </w:pPr>
      <w:r>
        <w:t>4. Data Integration</w:t>
      </w:r>
    </w:p>
    <w:p>
      <w:r>
        <w:t>web_research.py fetches the target company's and every competitor's actual web pages (homepage plus discovered leadership, press, about, and careers subpages), and performs a free, no-API-key lookup of a company's real SEC EDGAR 10-K filings via EDGAR's full-text-search JSON API. For the single most recent filing, it locates the primary filing document via EDGAR's inline-XBRL viewer link and extracts the actual Risk Factors, MD&amp;A, and Cybersecurity section text, verified live against Palo Alto Networks' real 10-K filings, including correctly returning an empty Cybersecurity section for a 2019 filing that predates that SEC disclosure requirement. A basic SSRF guard blocks non-http(s) schemes and private, loopback, and link-local hosts before any fetch.</w:t>
      </w:r>
    </w:p>
    <w:p>
      <w:pPr>
        <w:pStyle w:val="Heading1"/>
      </w:pPr>
      <w:r>
        <w:t>5. Follow-Up Enhancements</w:t>
      </w:r>
    </w:p>
    <w:p>
      <w:r>
        <w:t>Five specific improvements were added in response to a follow-up review: competitor subpage discovery (bringing competitor research to the same depth as company research), an optional product-overview upload (document_intake.py, PDF/DOCX/TXT), real 10-K section-text analysis (web_research.fetch_filing_sections), a rerun-based account-update checker (check_for_updates.py), and an empirical model-comparison harness (eval_models.py).</w:t>
      </w:r>
    </w:p>
    <w:p>
      <w:pPr>
        <w:pStyle w:val="Heading1"/>
      </w:pPr>
      <w:r>
        <w:t>6. Visual Design</w:t>
      </w:r>
    </w:p>
    <w:p>
      <w:r>
        <w:t>The interface uses a light, cool-toned palette (a precise teal accent over near-white and slate gray) and IBM Plex Sans/Mono typography, intentionally closer to the modern B2B research and intelligence tools in Scoutly's own product category than to a consumer or luxury-retail aesthetic. Section cards use crisp borders and a colored left-edge accent rather than heavy shadows or ornamental type, and monospace styling is used specifically for URLs and other data values to reinforce the tool's research-grade, data-forward character. The PDF export mirrors this: a plain sans-serif report layout in the same palette, without decorative quoting or centered letterspaced headers.</w:t>
      </w:r>
    </w:p>
    <w:p>
      <w:pPr>
        <w:pStyle w:val="Heading1"/>
      </w:pPr>
      <w:r>
        <w:t>7. Production Deployment Considerations</w:t>
      </w:r>
    </w:p>
    <w:p>
      <w:r>
        <w:t>What is already true of the prototype:</w:t>
      </w:r>
    </w:p>
    <w:p>
      <w:pPr>
        <w:pStyle w:val="ListBullet"/>
      </w:pPr>
      <w:r>
        <w:t>Swappable LLM providers and page-fetch backends behind one factory call each.</w:t>
      </w:r>
    </w:p>
    <w:p>
      <w:pPr>
        <w:pStyle w:val="ListBullet"/>
      </w:pPr>
      <w:r>
        <w:t>Pydantic schema enforcement catches model output drift before it reaches a user or the next agent.</w:t>
      </w:r>
    </w:p>
    <w:p>
      <w:pPr>
        <w:pStyle w:val="ListBullet"/>
      </w:pPr>
      <w:r>
        <w:t>Mock mode keeps tests, CI, and grading fully free of API cost and network dependency.</w:t>
      </w:r>
    </w:p>
    <w:p>
      <w:pPr>
        <w:pStyle w:val="ListBullet"/>
      </w:pPr>
      <w:r>
        <w:t>uv.lock pins the exact dependency graph for reproducible environments.</w:t>
      </w:r>
    </w:p>
    <w:p>
      <w:r>
        <w:t>What an enterprise, multi-tenant deployment would add:</w:t>
      </w:r>
    </w:p>
    <w:p>
      <w:r>
        <w:rPr>
          <w:b/>
        </w:rPr>
        <w:t>Authentication and access control</w:t>
      </w:r>
    </w:p>
    <w:p>
      <w:pPr>
        <w:pStyle w:val="ListBullet"/>
      </w:pPr>
      <w:r>
        <w:t>Real user authentication (SSO/OAuth via an identity provider such as Okta, Azure AD, or Auth0) in place of the single shared browser session used today.</w:t>
      </w:r>
    </w:p>
    <w:p>
      <w:pPr>
        <w:pStyle w:val="ListBullet"/>
      </w:pPr>
      <w:r>
        <w:t>Role-based access control: a rep sees their own accounts, a manager sees their team's accounts, an admin manages provider keys and webhook destinations.</w:t>
      </w:r>
    </w:p>
    <w:p>
      <w:pPr>
        <w:pStyle w:val="ListBullet"/>
      </w:pPr>
      <w:r>
        <w:t>Tenant isolation, enforced at the database and API layer using the existing account_id partition key, not by file-naming convention.</w:t>
      </w:r>
    </w:p>
    <w:p>
      <w:r>
        <w:rPr>
          <w:b/>
        </w:rPr>
        <w:t>Secrets and network security</w:t>
      </w:r>
    </w:p>
    <w:p>
      <w:pPr>
        <w:pStyle w:val="ListBullet"/>
      </w:pPr>
      <w:r>
        <w:t>Managed secrets (AWS Secrets Manager, GCP Secret Manager, or HashiCorp Vault) with rotation and audit logging, replacing the current .env/Streamlit-secrets approach.</w:t>
      </w:r>
    </w:p>
    <w:p>
      <w:pPr>
        <w:pStyle w:val="ListBullet"/>
      </w:pPr>
      <w:r>
        <w:t>HTTPS termination at a load balancer or reverse proxy for a self-hosted deployment (Streamlit Cloud already terminates TLS for the current deployment).</w:t>
      </w:r>
    </w:p>
    <w:p>
      <w:pPr>
        <w:pStyle w:val="ListBullet"/>
      </w:pPr>
      <w:r>
        <w:t>The existing SSRF guard remains load-bearing in any deployment, since the app fetches user-supplied URLs server-side regardless of hosting.</w:t>
      </w:r>
    </w:p>
    <w:p>
      <w:r>
        <w:rPr>
          <w:b/>
        </w:rPr>
        <w:t>Data persistence and privacy</w:t>
      </w:r>
    </w:p>
    <w:p>
      <w:pPr>
        <w:pStyle w:val="ListBullet"/>
      </w:pPr>
      <w:r>
        <w:t>A real relational schema (accounts, research_history, documents tables, likely on Postgres) replacing the current per-account JSON memory files.</w:t>
      </w:r>
    </w:p>
    <w:p>
      <w:pPr>
        <w:pStyle w:val="ListBullet"/>
      </w:pPr>
      <w:r>
        <w:t>An explicit data-retention policy, a real deletion path for tenant offboarding or privacy requests, and encryption at rest for uploaded documents and research data.</w:t>
      </w:r>
    </w:p>
    <w:p>
      <w:r>
        <w:rPr>
          <w:b/>
        </w:rPr>
        <w:t>Background jobs and horizontal scaling</w:t>
      </w:r>
    </w:p>
    <w:p>
      <w:pPr>
        <w:pStyle w:val="ListBullet"/>
      </w:pPr>
      <w:r>
        <w:t>check_for_updates.py's rerun-and-diff logic running as a real job queue per tenant per account (Celery, SQS plus Lambda, or a managed cloud scheduler), decoupled from the web process.</w:t>
      </w:r>
    </w:p>
    <w:p>
      <w:pPr>
        <w:pStyle w:val="ListBullet"/>
      </w:pPr>
      <w:r>
        <w:t>Separating the stateless agent-orchestration layer, scalable behind a load balancer, from the stateful memory layer, so multiple app instances can serve requests concurrently.</w:t>
      </w:r>
    </w:p>
    <w:p>
      <w:pPr>
        <w:pStyle w:val="ListBullet"/>
      </w:pPr>
      <w:r>
        <w:t>Real exponential backoff and rate-limit handling for LLM calls and page fetches, beyond the current single corrective retry.</w:t>
      </w:r>
    </w:p>
    <w:p>
      <w:r>
        <w:rPr>
          <w:b/>
        </w:rPr>
        <w:t>Monitoring and recovery</w:t>
      </w:r>
    </w:p>
    <w:p>
      <w:pPr>
        <w:pStyle w:val="ListBullet"/>
      </w:pPr>
      <w:r>
        <w:t>Structured logging and metrics (for example OpenTelemetry into Datadog or Grafana) tracking per-agent latency, retry rate, and the same compliance signals eval_models.py measures, continuously rather than in a one-off run.</w:t>
      </w:r>
    </w:p>
    <w:p>
      <w:pPr>
        <w:pStyle w:val="ListBullet"/>
      </w:pPr>
      <w:r>
        <w:t>Standard point-in-time database backups, a tested restore path, and a defined recovery point and time objective.</w:t>
      </w:r>
    </w:p>
    <w:p>
      <w:pPr>
        <w:pStyle w:val="Heading1"/>
      </w:pPr>
      <w:r>
        <w:t>8. Time Management</w:t>
      </w:r>
    </w:p>
    <w:p>
      <w:r>
        <w:t>Initial five-agent pipeline, real page-fetching layer, and SEC EDGAR filing-metadata lookup; then the table-grounded sourcing-strategy recommendation; then a split into a standalone repository with a full visual redesign, refined twice more since, first toward a high-end look and then toward the clinical research-tool look described in section 6; then the five follow-up enhancements in section 5, each scoped to be real and working rather than a superficial stub; then the expanded production architecture documentation in section 7.</w:t>
      </w:r>
    </w:p>
    <w:p>
      <w:pPr>
        <w:pStyle w:val="Heading1"/>
      </w:pPr>
      <w:r>
        <w:t>9. Challenges and Solutions</w:t>
      </w:r>
    </w:p>
    <w:p>
      <w:pPr>
        <w:pStyle w:val="ListBullet"/>
      </w:pPr>
      <w:r>
        <w:rPr>
          <w:b/>
        </w:rPr>
        <w:t xml:space="preserve">Problem: </w:t>
      </w:r>
      <w:r>
        <w:t>A naive company-name guess (first half of the fetched page title) silently returned zero EDGAR filings for real sites whose title puts the tagline before the company name.</w:t>
      </w:r>
    </w:p>
    <w:p>
      <w:pPr>
        <w:pStyle w:val="ListBullet"/>
      </w:pPr>
      <w:r>
        <w:rPr>
          <w:b/>
        </w:rPr>
        <w:t xml:space="preserve">Fix: </w:t>
      </w:r>
      <w:r>
        <w:t>_guess_company_name_candidates tries both halves of the title's separator against EDGAR and keeps whichever returns real filings.</w:t>
      </w:r>
    </w:p>
    <w:p>
      <w:pPr>
        <w:pStyle w:val="ListBullet"/>
      </w:pPr>
      <w:r>
        <w:rPr>
          <w:b/>
        </w:rPr>
        <w:t xml:space="preserve">Problem: </w:t>
      </w:r>
      <w:r>
        <w:t>A 10-K's table of contents mentions each Item header near the top of the document, so a first-match regex search for a section grabs the TOC line instead of the real section.</w:t>
      </w:r>
    </w:p>
    <w:p>
      <w:pPr>
        <w:pStyle w:val="ListBullet"/>
      </w:pPr>
      <w:r>
        <w:rPr>
          <w:b/>
        </w:rPr>
        <w:t xml:space="preserve">Fix: </w:t>
      </w:r>
      <w:r>
        <w:t>_extract_section matches the LAST occurrence of a section header instead of the first.</w:t>
      </w:r>
    </w:p>
    <w:p>
      <w:pPr>
        <w:pStyle w:val="ListBullet"/>
      </w:pPr>
      <w:r>
        <w:rPr>
          <w:b/>
        </w:rPr>
        <w:t xml:space="preserve">Problem: </w:t>
      </w:r>
      <w:r>
        <w:t>Streamlit Cloud's free tier has no persistent background scheduler, so a real periodically-rerun-and-notify alert system can't live inside the app process.</w:t>
      </w:r>
    </w:p>
    <w:p>
      <w:pPr>
        <w:pStyle w:val="ListBullet"/>
      </w:pPr>
      <w:r>
        <w:rPr>
          <w:b/>
        </w:rPr>
        <w:t xml:space="preserve">Fix: </w:t>
      </w:r>
      <w:r>
        <w:t>Built the rerun-and-diff logic as a real, working CLI script (check_for_updates.py) meant to be invoked by an external scheduler, rather than faking an in-browser timer that would die whenever the app sleeps.</w:t>
      </w:r>
    </w:p>
    <w:p>
      <w:pPr>
        <w:pStyle w:val="ListBullet"/>
      </w:pPr>
      <w:r>
        <w:rPr>
          <w:b/>
        </w:rPr>
        <w:t xml:space="preserve">Problem: </w:t>
      </w:r>
      <w:r>
        <w:t>No real LLM API keys exist in the development environment, so an empirical model comparison can't produce real numbers there.</w:t>
      </w:r>
    </w:p>
    <w:p>
      <w:pPr>
        <w:pStyle w:val="ListBullet"/>
      </w:pPr>
      <w:r>
        <w:rPr>
          <w:b/>
        </w:rPr>
        <w:t xml:space="preserve">Fix: </w:t>
      </w:r>
      <w:r>
        <w:t>eval_models.py gracefully skips any provider without a configured key and never fabricates a result row; it is built and verified to run correctly, with real numbers left for whoever runs it with real keys.</w:t>
      </w:r>
    </w:p>
    <w:p>
      <w:pPr>
        <w:pStyle w:val="Heading1"/>
      </w:pPr>
      <w:r>
        <w:t>10. Testing</w:t>
      </w:r>
    </w:p>
    <w:p>
      <w:r>
        <w:t>55 automated pytest tests cover the LLM provider factory, the page-fetching and 10-K-section-extraction layer as pure functions with no live network calls, document text extraction from PDF/DOCX/TXT fixtures built in memory, the model-comparison harness's pure functions, memory update/dedup/persistence, each agent in isolation, and the full five-agent pipeline end to end including check_for_updates' rerun-and-diff logic. All tests run offline against the mock LLM client and mock fetcher.</w:t>
      </w:r>
    </w:p>
    <w:p/>
    <w:p>
      <w:r>
        <w:rPr>
          <w:i/>
          <w:color w:val="808080"/>
          <w:sz w:val="18"/>
        </w:rPr>
        <w:t>See the project README.md for full setup instructions, the complete input/output mapping table, and the file-by-file architecture breakdown.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