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AKHIR MAGANG</w:t>
      </w:r>
    </w:p>
    <w:p>
      <w:pPr>
        <w:jc w:val="center"/>
      </w:pPr>
      <w:r>
        <w:rPr>
          <w:b/>
          <w:sz w:val="28"/>
        </w:rPr>
        <w:t>Pembangunan Sistem Informasi Manajemen Konten Digital HORTIFLOW BRMP Hortikultura Berbasis Web Tunggal (Tanpa Ketergantungan Login HORTICORE)</w:t>
      </w:r>
    </w:p>
    <w:p/>
    <w:p>
      <w:pPr>
        <w:jc w:val="center"/>
      </w:pPr>
      <w:r>
        <w:t>Disusun oleh:</w:t>
        <w:br/>
        <w:t>[Nama Lengkap] / [NIM] / [Prodi] / Semester 5</w:t>
        <w:br/>
        <w:t>Perguruan Tinggi: [isi]</w:t>
        <w:br/>
        <w:t>Instansi Magang: BRMP Hortikultura - Fungsi Penyebarluasan/Kehumasan</w:t>
        <w:br/>
        <w:t>Periode: 10 September - 2 Desember 2026</w:t>
      </w:r>
    </w:p>
    <w:p>
      <w:pPr>
        <w:jc w:val="center"/>
      </w:pPr>
      <w:r>
        <w:rPr>
          <w:i/>
        </w:rPr>
        <w:t>Dosen Pembimbing: [isi]    Pembimbing Lapangan: [isi]</w:t>
      </w:r>
    </w:p>
    <w:p>
      <w:r>
        <w:br w:type="page"/>
      </w:r>
    </w:p>
    <w:p>
      <w:pPr>
        <w:pStyle w:val="Heading1"/>
      </w:pPr>
      <w:r>
        <w:t>HALAMAN PENGESAHAN</w:t>
      </w:r>
    </w:p>
    <w:p>
      <w:r>
        <w:rPr>
          <w:b w:val="0"/>
          <w:i w:val="0"/>
        </w:rPr>
        <w:t>Tabel pengesahan, tanda tangan dosen, pembimbing lapangan, dan cap instansi.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Pihak</w:t>
            </w:r>
          </w:p>
        </w:tc>
        <w:tc>
          <w:tcPr>
            <w:tcW w:type="dxa" w:w="2160"/>
          </w:tcPr>
          <w:p>
            <w:r>
              <w:t>Nama</w:t>
            </w:r>
          </w:p>
        </w:tc>
        <w:tc>
          <w:tcPr>
            <w:tcW w:type="dxa" w:w="2160"/>
          </w:tcPr>
          <w:p>
            <w:r>
              <w:t>Tanda Tangan</w:t>
            </w:r>
          </w:p>
        </w:tc>
        <w:tc>
          <w:tcPr>
            <w:tcW w:type="dxa" w:w="2160"/>
          </w:tcPr>
          <w:p>
            <w:r>
              <w:t>Tanggal</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bl>
    <w:p/>
    <w:p>
      <w:pPr>
        <w:pStyle w:val="Heading1"/>
      </w:pPr>
      <w:r>
        <w:t>KATA PENGANTAR</w:t>
      </w:r>
    </w:p>
    <w:p>
      <w:r>
        <w:rPr>
          <w:i/>
        </w:rPr>
        <w:t>[Petunjuk: 1 halaman. Tulis ucapan syukur, tujuan magang, ucapan terima kasih ke BRMP, dosen, dan gambaran isi laporan.]</w:t>
      </w:r>
    </w:p>
    <w:p>
      <w:r>
        <w:rPr>
          <w:b w:val="0"/>
          <w:i/>
        </w:rPr>
        <w:t>Contoh kalimat pembuka: Laporan ini disusun sebagai pertanggungjawaban pelaksanaan magang semester 5 dengan fokus membangun sistem HORTIFLOW menjadi aplikasi web tunggal...</w:t>
      </w:r>
    </w:p>
    <w:p>
      <w:pPr>
        <w:pStyle w:val="Heading1"/>
      </w:pPr>
      <w:r>
        <w:t>ABSTRAK / RINGKASAN EKSEKUTIF</w:t>
      </w:r>
    </w:p>
    <w:p>
      <w:r>
        <w:rPr>
          <w:i/>
        </w:rPr>
        <w:t>[Petunjuk: 1 halaman. Tulis masalah, solusi HORTIFLOW, apa yang dibangun (auth lokal + alur intake-arsip), hasil uji, dan kesimpulan.]</w:t>
      </w:r>
    </w:p>
    <w:p>
      <w:r>
        <w:rPr>
          <w:b w:val="0"/>
          <w:i w:val="0"/>
        </w:rPr>
        <w:t>Kata kunci: HORTIFLOW, Content Operations, Paket Konten, aplikasi tunggal, Next.js, PostgreSQL.</w:t>
      </w:r>
    </w:p>
    <w:p>
      <w:pPr>
        <w:pStyle w:val="Heading1"/>
      </w:pPr>
      <w:r>
        <w:t>DAFTAR ISI / GAMBAR / TABEL</w:t>
      </w:r>
    </w:p>
    <w:p>
      <w:r>
        <w:rPr>
          <w:i/>
        </w:rPr>
        <w:t>[Petunjuk: gunakan References &gt; Table of Contents otomatis di Word setelah semua heading terisi. Daftar gambar minimal: arsitektur container, ERD, Flow Board, Workspace Paket, Approval Inbox.]</w:t>
      </w:r>
    </w:p>
    <w:p>
      <w:r>
        <w:br w:type="page"/>
      </w:r>
    </w:p>
    <w:p>
      <w:pPr>
        <w:pStyle w:val="Heading1"/>
      </w:pPr>
      <w:r>
        <w:t>BAB 1 - PENDAHULUAN MAGANG</w:t>
      </w:r>
    </w:p>
    <w:p>
      <w:pPr>
        <w:pStyle w:val="Heading2"/>
      </w:pPr>
      <w:r>
        <w:t>1.1 Latar Belakang</w:t>
      </w:r>
    </w:p>
    <w:p>
      <w:r/>
      <w:r>
        <w:rPr>
          <w:b w:val="0"/>
          <w:i w:val="0"/>
        </w:rPr>
        <w:t>BRMP Hortikultura merupakan unit kerja di lingkungan Kementerian Pertanian yang memiliki fungsi penyebarluasan informasi dan kehumasan. Fungsi ini bertanggung jawab memastikan setiap informasi hortikultura yang disebarluaskan kepada publik — mulai dari berita kegiatan, caption dan foto, infografis, carousel, video, hingga siaran pers dan pernyataan resmi — tersaji secara cepat, akurat, konsisten, dan dapat dipertanggungjawabkan. [Sesuaikan kalimat ini dengan nama resmi, alamat, dan tupoksi instansi tempat magang sesuai surat tugas.]</w:t>
      </w:r>
    </w:p>
    <w:p>
      <w:r>
        <w:rPr>
          <w:b w:val="0"/>
          <w:i w:val="0"/>
        </w:rPr>
        <w:t>Pada kondisi berjalan, ide dan bahan konten tersebar di chat, email, dan folder lokal; produksi teks dan visual berjalan terpisah sehingga brief yang berubah tidak sinkron; review dan persetujuan menempel pada berkas atau pesan sehingga tidak jelas versi mana yang disetujui; klaim berupa angka, nama, tanggal, dan lokasi tidak selalu ditautkan ke sumber; publikasi lintas kanal dikerjakan manual dan berulang; serta arsip konten historis sulit dicari sehingga tingkat pemakaian ulang rendah. Keenam masalah tersebut dirumuskan dalam PRD HORTIFLOW v1.2.0 (9 September 2026) sebagai hipotesis produk yang didukung pengalaman kerja, dengan baseline kuantitatif yang masih harus diukur melalui discovery (PRD Bab 3).</w:t>
      </w:r>
    </w:p>
    <w:p>
      <w:r>
        <w:rPr>
          <w:b w:val="0"/>
          <w:i w:val="0"/>
        </w:rPr>
        <w:t>Untuk menjawab masalah tersebut, BRMP merancang HORTIFLOW sebagai Sistem Informasi Manajemen Konten Digital sekaligus Content Operations Platform internal, bukan sekadar CMS, galeri, atau drive. Objek pusatnya adalah Paket Konten yang menyatukan tujuan komunikasi, brief, sumber dan klaim, narasi, aset, varian kanal, tugas, review, persetujuan, rekam publikasi, metrik, dan arsip dalam satu alur estafet. Dokumen PRD v1.2.0 menetapkan 10 modul produk, 64 kebutuhan fungsional (HFL-FR-001 sampai HFL-FR-064), dan target arsitektur Next.js + PostgreSQL dalam Ekosistem HORTICORE. Kegiatan magang semester 5 ini mengambil ruang lingkup yang terukur dari PRD tersebut: (1) melepas ketergantungan login terhadap HORTICORE sehingga aplikasi menjadi tunggal, dan (2) membangun alur prioritas P0 dari intake sampai arsip yang siap dinilai pada 2 Desember 2026.</w:t>
      </w:r>
    </w:p>
    <w:p>
      <w:r>
        <w:rPr>
          <w:b w:val="0"/>
          <w:i w:val="0"/>
        </w:rPr>
        <w:t>Konten yang dikelola: berita kegiatan, caption+foto, infografis, carousel, video pendek/panjang, siaran pers, respons isu.</w:t>
      </w:r>
    </w:p>
    <w:p>
      <w:pPr>
        <w:pStyle w:val="Heading2"/>
      </w:pPr>
      <w:r>
        <w:t>1.2 Tujuan Magang</w:t>
      </w:r>
    </w:p>
    <w:p>
      <w:r/>
      <w:r>
        <w:rPr>
          <w:b w:val="0"/>
          <w:i w:val="0"/>
        </w:rPr>
        <w:t>Kegiatan magang bertujuan: (T1) membangun mekanisme login dan sesi lokal yang aman sebagai pengganti HORTICORE OAuth2 + PKCE; (T2) mengimplementasikan alur utuh Paket Konten prioritas P0 mulai dari intake, triase, brief, penugasan, produksi editorial dan aset, klaim dan sumber, review, manifest persetujuan, publikasi manual beserta bukti, sampai arsip dan pencarian; serta (T3) menyusun laporan akhir magang yang terdokumentasi dan dapat dilanjutkan menjadi Tugas Akhir. Ketiga tujuan dinyatakan tercapai apabila aplikasi dapat didemokan end-to-end tanpa server HORTICORE hidup dan seluruh pengujian penerimaan lulus.</w:t>
      </w:r>
    </w:p>
    <w:p>
      <w:pPr>
        <w:pStyle w:val="Heading2"/>
      </w:pPr>
      <w:r>
        <w:t>1.3 Manfaat</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Pihak</w:t>
            </w:r>
          </w:p>
        </w:tc>
        <w:tc>
          <w:tcPr>
            <w:tcW w:type="dxa" w:w="4320"/>
          </w:tcPr>
          <w:p>
            <w:r>
              <w:t>Manfaat</w:t>
            </w:r>
          </w:p>
        </w:tc>
      </w:tr>
      <w:tr>
        <w:tc>
          <w:tcPr>
            <w:tcW w:type="dxa" w:w="4320"/>
          </w:tcPr>
          <w:p>
            <w:r>
              <w:t>BRMP Hortikultura (Fungsi Penyebarluasan/Kehumasan)</w:t>
            </w:r>
          </w:p>
        </w:tc>
        <w:tc>
          <w:tcPr>
            <w:tcW w:type="dxa" w:w="4320"/>
          </w:tcPr>
          <w:p>
            <w:r>
              <w:t>Memperoleh prototipe HORTIFLOW tunggal yang dapat didemokan tanpa server HORTICORE hidup, beserta dokumentasi alur kerja, hasil pengujian, dan rekomendasi pengembangan lanjutan sebagai bahan keputusan.</w:t>
            </w:r>
          </w:p>
        </w:tc>
      </w:tr>
      <w:tr>
        <w:tc>
          <w:tcPr>
            <w:tcW w:type="dxa" w:w="4320"/>
          </w:tcPr>
          <w:p>
            <w:r>
              <w:t>Mahasiswa</w:t>
            </w:r>
          </w:p>
        </w:tc>
        <w:tc>
          <w:tcPr>
            <w:tcW w:type="dxa" w:w="4320"/>
          </w:tcPr>
          <w:p>
            <w:r>
              <w:t>Menerapkan ilmu rekayasa perangkat lunak (analisis PRD, perancangan basis data, implementasi Next.js/PostgreSQL, pengujian blackbox/UAT/SUS) pada masalah nyata serta mengumpulkan bahan yang dapat dilanjutkan menjadi Tugas Akhir.</w:t>
            </w:r>
          </w:p>
        </w:tc>
      </w:tr>
      <w:tr>
        <w:tc>
          <w:tcPr>
            <w:tcW w:type="dxa" w:w="4320"/>
          </w:tcPr>
          <w:p>
            <w:r>
              <w:t>Perguruan Tinggi</w:t>
            </w:r>
          </w:p>
        </w:tc>
        <w:tc>
          <w:tcPr>
            <w:tcW w:type="dxa" w:w="4320"/>
          </w:tcPr>
          <w:p>
            <w:r>
              <w:t>Memperoleh mitra dan studi kasus nyata untuk pembelajaran berbasis proyek serta tolok ukur capaian magang semester 5.</w:t>
            </w:r>
          </w:p>
        </w:tc>
      </w:tr>
    </w:tbl>
    <w:p/>
    <w:p>
      <w:pPr>
        <w:pStyle w:val="Heading2"/>
      </w:pPr>
      <w:r>
        <w:t>1.4 Waktu dan Tempat Pelaksanaan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Keterangan</w:t>
            </w:r>
          </w:p>
        </w:tc>
      </w:tr>
      <w:tr>
        <w:tc>
          <w:tcPr>
            <w:tcW w:type="dxa" w:w="4320"/>
          </w:tcPr>
          <w:p>
            <w:r>
              <w:t>Tempat pelaksanaan</w:t>
            </w:r>
          </w:p>
        </w:tc>
        <w:tc>
          <w:tcPr>
            <w:tcW w:type="dxa" w:w="4320"/>
          </w:tcPr>
          <w:p>
            <w:r>
              <w:t>BRMP Hortikultura, Fungsi Penyebarluasan/Kehumasan [tulis alamat lengkap sesuai surat tugas].</w:t>
            </w:r>
          </w:p>
        </w:tc>
      </w:tr>
      <w:tr>
        <w:tc>
          <w:tcPr>
            <w:tcW w:type="dxa" w:w="4320"/>
          </w:tcPr>
          <w:p>
            <w:r>
              <w:t>Periode</w:t>
            </w:r>
          </w:p>
        </w:tc>
        <w:tc>
          <w:tcPr>
            <w:tcW w:type="dxa" w:w="4320"/>
          </w:tcPr>
          <w:p>
            <w:r>
              <w:t>10 September sampai dengan 2 Desember 2026 (kurang lebih 12 minggu).</w:t>
            </w:r>
          </w:p>
        </w:tc>
      </w:tr>
      <w:tr>
        <w:tc>
          <w:tcPr>
            <w:tcW w:type="dxa" w:w="4320"/>
          </w:tcPr>
          <w:p>
            <w:r>
              <w:t>Peran mahasiswa</w:t>
            </w:r>
          </w:p>
        </w:tc>
        <w:tc>
          <w:tcPr>
            <w:tcW w:type="dxa" w:w="4320"/>
          </w:tcPr>
          <w:p>
            <w:r>
              <w:t>Developer magang: menganalisis PRD, merancang, mengimplementasikan, dan menguji modul prioritas HORTIFLOW.</w:t>
            </w:r>
          </w:p>
        </w:tc>
      </w:tr>
      <w:tr>
        <w:tc>
          <w:tcPr>
            <w:tcW w:type="dxa" w:w="4320"/>
          </w:tcPr>
          <w:p>
            <w:r>
              <w:t>Jadwal kerja</w:t>
            </w:r>
          </w:p>
        </w:tc>
        <w:tc>
          <w:tcPr>
            <w:tcW w:type="dxa" w:w="4320"/>
          </w:tcPr>
          <w:p>
            <w:r>
              <w:t>[Tulis hari dan jam kerja, contoh: Senin-Jumat 08.00-16.00] serta bimbingan rutin dengan pembimbing lapangan dan dosen pembimbing.</w:t>
            </w:r>
          </w:p>
        </w:tc>
      </w:tr>
    </w:tbl>
    <w:p/>
    <w:p>
      <w:r/>
    </w:p>
    <w:p>
      <w:pPr>
        <w:pStyle w:val="Heading2"/>
      </w:pPr>
      <w:r>
        <w:t>1.5 Metode Pelaksanaan</w:t>
      </w:r>
    </w:p>
    <w:p>
      <w:r/>
      <w:r>
        <w:rPr>
          <w:b w:val="0"/>
          <w:i w:val="0"/>
        </w:rPr>
        <w:t>Metode yang digunakan mengikuti gerbang discovery PRD secara proporsional: (1) observasi proses produksi dan diseminasi konten yang berjalan; (2) wawancara lintas peran mengacu pada DISC-01 (perencana, penulis, desainer, reviewer, approver, publisher, arsiparis); (3) studi dokumen PRD HORTIFLOW v1.2.0 beserta 71 tabel dan 9 diagramnya; (4) prototyping modular monolith mengikuti milestone M0 sampai M6 yang disederhanakan untuk satu pengembang; serta (5) pengujian blackbox berbasis acceptance criteria AC-001 sampai AC-020, uji penerimaan pengguna (UAT) lima skenario, dan kuesioner System Usability Scale (SUS).</w:t>
      </w:r>
    </w:p>
    <w:p>
      <w:pPr>
        <w:pStyle w:val="Heading1"/>
      </w:pPr>
      <w:r>
        <w:t>BAB 2 - PROFIL INSTANSI DAN LANDASAN TEORI</w:t>
      </w:r>
    </w:p>
    <w:p>
      <w:pPr>
        <w:pStyle w:val="Heading2"/>
      </w:pPr>
      <w:r>
        <w:t>2.1 Profil BRMP Hortikultura</w:t>
      </w:r>
    </w:p>
    <w:p>
      <w:r/>
      <w:r>
        <w:rPr>
          <w:b w:val="0"/>
          <w:i w:val="0"/>
        </w:rPr>
        <w:t>BRMP Hortikultura adalah [tulis nama resmi lengkap, sejarah singkat, tugas pokok dan fungsi, serta struktur organisasi sesuai profil resmi instansi, maksimal satu halaman]. Bagian ini dilengkapi dengan bagan struktur dan posisi fungsi Penyebarluasan/Kehumasan tempat kegiatan magang dilaksanakan.</w:t>
      </w:r>
    </w:p>
    <w:p>
      <w:r>
        <w:rPr>
          <w:b w:val="0"/>
          <w:i w:val="0"/>
        </w:rPr>
        <w:t>Dalam konteks produk HORTIFLOW, pemilik produk adalah fungsi Penyebarluasan/Kehumasan BRMP Hortikultura, dengan pimpinan BRMP sebagai sponsor dan pemberi persetujuan sesuai tingkat risiko, serta tim pengembang/operasi ekosistem HORTICORE sebagai pemilik teknis (PRD Bab 6, Tabel 14). Delapan persona pengguna yang dilayani adalah pengusul/lapangan, content planner, penulis/editor, desainer/videografer, reviewer, approver, publisher/analyst, dan arsiparis/auditor, masing-masing dengan tugas utama dan konteks kerja yang berbeda sehingga antarmuka dirancang berbasis peran.</w:t>
      </w:r>
    </w:p>
    <w:p>
      <w:r>
        <w:rPr>
          <w:b w:val="0"/>
          <w:i/>
        </w:rPr>
        <w:t>Catatan: lengkapi paragraf pertama dengan data resmi instansi (profil, tupoksi, struktur); paragraf kedua sudah final dari PRD dan tidak perlu diubah.</w:t>
      </w:r>
    </w:p>
    <w:p>
      <w:pPr>
        <w:pStyle w:val="Heading2"/>
      </w:pPr>
      <w:r>
        <w:t>2.2 Ekosistem HORTICORE dan Posisi HORTIFLOW</w:t>
      </w:r>
    </w:p>
    <w:p>
      <w:r/>
      <w:r>
        <w:rPr>
          <w:b w:val="0"/>
          <w:i w:val="0"/>
        </w:rPr>
        <w:t>HORTIFLOW dirancang sebagai sistem mandiri baru di dalam Ekosistem HORTICORE dengan prinsip reuse before duplicate: data master lintas ekosistem dibaca melalui kontrak, sedangkan HORTIFLOW hanya membuat tabel baru untuk status dan transaksi content operations. Tabel berikut memetakan kesebelas sistem ekosistem beserta perlakuannya pada versi tunggal hasil magang ini: integrasi login dan master diganti implementasi lokal, referensi sumber dan publikasi dimanualkan, dan tiga integrasi non-inti ditunda untuk pekerjaan lanjutan.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Sistem</w:t>
            </w:r>
          </w:p>
        </w:tc>
        <w:tc>
          <w:tcPr>
            <w:tcW w:type="dxa" w:w="2880"/>
          </w:tcPr>
          <w:p>
            <w:r>
              <w:t>Peran terhadap HORTIFLOW</w:t>
            </w:r>
          </w:p>
        </w:tc>
        <w:tc>
          <w:tcPr>
            <w:tcW w:type="dxa" w:w="2880"/>
          </w:tcPr>
          <w:p>
            <w:r>
              <w:t>Status di versi tunggal ini (Dipakai/Dimanualkan/Dipotong)</w:t>
            </w:r>
          </w:p>
        </w:tc>
      </w:tr>
      <w:tr>
        <w:tc>
          <w:tcPr>
            <w:tcW w:type="dxa" w:w="2880"/>
          </w:tcPr>
          <w:p>
            <w:r>
              <w:t>HORTICORE</w:t>
            </w:r>
          </w:p>
        </w:tc>
        <w:tc>
          <w:tcPr>
            <w:tcW w:type="dxa" w:w="2880"/>
          </w:tcPr>
          <w:p>
            <w:r>
              <w:t>Identitas dan akses: SSO OAuth2 + PKCE, users, system_access</w:t>
            </w:r>
          </w:p>
        </w:tc>
        <w:tc>
          <w:tcPr>
            <w:tcW w:type="dxa" w:w="2880"/>
          </w:tcPr>
          <w:p>
            <w:r>
              <w:t>DIGANTI auth lokal (local_users, sesi HttpOnly); HORTICORE tidak diperlukan untuk login.</w:t>
            </w:r>
          </w:p>
        </w:tc>
      </w:tr>
      <w:tr>
        <w:tc>
          <w:tcPr>
            <w:tcW w:type="dxa" w:w="2880"/>
          </w:tcPr>
          <w:p>
            <w:r>
              <w:t>HORTIOK</w:t>
            </w:r>
          </w:p>
        </w:tc>
        <w:tc>
          <w:tcPr>
            <w:tcW w:type="dxa" w:w="2880"/>
          </w:tcPr>
          <w:p>
            <w:r>
              <w:t>Data pegawai, unit, jabatan</w:t>
            </w:r>
          </w:p>
        </w:tc>
        <w:tc>
          <w:tcPr>
            <w:tcW w:type="dxa" w:w="2880"/>
          </w:tcPr>
          <w:p>
            <w:r>
              <w:t>DIGANTI master lokal employees dan units (seed CSV); cukup untuk penugasan dan reviewer.</w:t>
            </w:r>
          </w:p>
        </w:tc>
      </w:tr>
      <w:tr>
        <w:tc>
          <w:tcPr>
            <w:tcW w:type="dxa" w:w="2880"/>
          </w:tcPr>
          <w:p>
            <w:r>
              <w:t>HORTISPACE</w:t>
            </w:r>
          </w:p>
        </w:tc>
        <w:tc>
          <w:tcPr>
            <w:tcW w:type="dxa" w:w="2880"/>
          </w:tcPr>
          <w:p>
            <w:r>
              <w:t>Kegiatan, laporan, dokumentasi sebagai bahan sumber</w:t>
            </w:r>
          </w:p>
        </w:tc>
        <w:tc>
          <w:tcPr>
            <w:tcW w:type="dxa" w:w="2880"/>
          </w:tcPr>
          <w:p>
            <w:r>
              <w:t>DIMANUALKAN: unggah berkas dan tempel referensi kegiatan.</w:t>
            </w:r>
          </w:p>
        </w:tc>
      </w:tr>
      <w:tr>
        <w:tc>
          <w:tcPr>
            <w:tcW w:type="dxa" w:w="2880"/>
          </w:tcPr>
          <w:p>
            <w:r>
              <w:t>HORTIPEDIA</w:t>
            </w:r>
          </w:p>
        </w:tc>
        <w:tc>
          <w:tcPr>
            <w:tcW w:type="dxa" w:w="2880"/>
          </w:tcPr>
          <w:p>
            <w:r>
              <w:t>Komoditas, varietas, entri pengetahuan</w:t>
            </w:r>
          </w:p>
        </w:tc>
        <w:tc>
          <w:tcPr>
            <w:tcW w:type="dxa" w:w="2880"/>
          </w:tcPr>
          <w:p>
            <w:r>
              <w:t>DIMANUALKAN: master lokal commodities dan varieties.</w:t>
            </w:r>
          </w:p>
        </w:tc>
      </w:tr>
      <w:tr>
        <w:tc>
          <w:tcPr>
            <w:tcW w:type="dxa" w:w="2880"/>
          </w:tcPr>
          <w:p>
            <w:r>
              <w:t>HORTIVISION</w:t>
            </w:r>
          </w:p>
        </w:tc>
        <w:tc>
          <w:tcPr>
            <w:tcW w:type="dxa" w:w="2880"/>
          </w:tcPr>
          <w:p>
            <w:r>
              <w:t>Data dan indikator pemantauan</w:t>
            </w:r>
          </w:p>
        </w:tc>
        <w:tc>
          <w:tcPr>
            <w:tcW w:type="dxa" w:w="2880"/>
          </w:tcPr>
          <w:p>
            <w:r>
              <w:t>DIMANUALKAN: snapshot angka disalin manual beserta keterangannya.</w:t>
            </w:r>
          </w:p>
        </w:tc>
      </w:tr>
      <w:tr>
        <w:tc>
          <w:tcPr>
            <w:tcW w:type="dxa" w:w="2880"/>
          </w:tcPr>
          <w:p>
            <w:r>
              <w:t>HORTICARE</w:t>
            </w:r>
          </w:p>
        </w:tc>
        <w:tc>
          <w:tcPr>
            <w:tcW w:type="dxa" w:w="2880"/>
          </w:tcPr>
          <w:p>
            <w:r>
              <w:t>Agregat topik dan isu informasi</w:t>
            </w:r>
          </w:p>
        </w:tc>
        <w:tc>
          <w:tcPr>
            <w:tcW w:type="dxa" w:w="2880"/>
          </w:tcPr>
          <w:p>
            <w:r>
              <w:t>DIMANUALKAN: input isu manual.</w:t>
            </w:r>
          </w:p>
        </w:tc>
      </w:tr>
      <w:tr>
        <w:tc>
          <w:tcPr>
            <w:tcW w:type="dxa" w:w="2880"/>
          </w:tcPr>
          <w:p>
            <w:r>
              <w:t>HORTIZEN</w:t>
            </w:r>
          </w:p>
        </w:tc>
        <w:tc>
          <w:tcPr>
            <w:tcW w:type="dxa" w:w="2880"/>
          </w:tcPr>
          <w:p>
            <w:r>
              <w:t>Portal publik tujuan publikasi</w:t>
            </w:r>
          </w:p>
        </w:tc>
        <w:tc>
          <w:tcPr>
            <w:tcW w:type="dxa" w:w="2880"/>
          </w:tcPr>
          <w:p>
            <w:r>
              <w:t>DIMANUALKAN: publication package dan bukti URL/ID manual.</w:t>
            </w:r>
          </w:p>
        </w:tc>
      </w:tr>
      <w:tr>
        <w:tc>
          <w:tcPr>
            <w:tcW w:type="dxa" w:w="2880"/>
          </w:tcPr>
          <w:p>
            <w:r>
              <w:t>HORTISIGN</w:t>
            </w:r>
          </w:p>
        </w:tc>
        <w:tc>
          <w:tcPr>
            <w:tcW w:type="dxa" w:w="2880"/>
          </w:tcPr>
          <w:p>
            <w:r>
              <w:t>Tanda tangan dokumen formal</w:t>
            </w:r>
          </w:p>
        </w:tc>
        <w:tc>
          <w:tcPr>
            <w:tcW w:type="dxa" w:w="2880"/>
          </w:tcPr>
          <w:p>
            <w:r>
              <w:t>DITUNDA, di luar MVP magang; persetujuan siaran pers tetap di HORTIFLOW.</w:t>
            </w:r>
          </w:p>
        </w:tc>
      </w:tr>
      <w:tr>
        <w:tc>
          <w:tcPr>
            <w:tcW w:type="dxa" w:w="2880"/>
          </w:tcPr>
          <w:p>
            <w:r>
              <w:t>HORTIFIN</w:t>
            </w:r>
          </w:p>
        </w:tc>
        <w:tc>
          <w:tcPr>
            <w:tcW w:type="dxa" w:w="2880"/>
          </w:tcPr>
          <w:p>
            <w:r>
              <w:t>Referensi biaya/SPJ</w:t>
            </w:r>
          </w:p>
        </w:tc>
        <w:tc>
          <w:tcPr>
            <w:tcW w:type="dxa" w:w="2880"/>
          </w:tcPr>
          <w:p>
            <w:r>
              <w:t>DITUNDA, di luar MVP magang.</w:t>
            </w:r>
          </w:p>
        </w:tc>
      </w:tr>
      <w:tr>
        <w:tc>
          <w:tcPr>
            <w:tcW w:type="dxa" w:w="2880"/>
          </w:tcPr>
          <w:p>
            <w:r>
              <w:t>HORTIUSE</w:t>
            </w:r>
          </w:p>
        </w:tc>
        <w:tc>
          <w:tcPr>
            <w:tcW w:type="dxa" w:w="2880"/>
          </w:tcPr>
          <w:p>
            <w:r>
              <w:t>Peminjaman alat produksi</w:t>
            </w:r>
          </w:p>
        </w:tc>
        <w:tc>
          <w:tcPr>
            <w:tcW w:type="dxa" w:w="2880"/>
          </w:tcPr>
          <w:p>
            <w:r>
              <w:t>DITUNDA, di luar MVP magang.</w:t>
            </w:r>
          </w:p>
        </w:tc>
      </w:tr>
      <w:tr>
        <w:tc>
          <w:tcPr>
            <w:tcW w:type="dxa" w:w="2880"/>
          </w:tcPr>
          <w:p>
            <w:r>
              <w:t>HORTIBASE</w:t>
            </w:r>
          </w:p>
        </w:tc>
        <w:tc>
          <w:tcPr>
            <w:tcW w:type="dxa" w:w="2880"/>
          </w:tcPr>
          <w:p>
            <w:r>
              <w:t>Kesehatan dan observability basis data</w:t>
            </w:r>
          </w:p>
        </w:tc>
        <w:tc>
          <w:tcPr>
            <w:tcW w:type="dxa" w:w="2880"/>
          </w:tcPr>
          <w:p>
            <w:r>
              <w:t>DIGANTI health check, log terstruktur, dan correlation ID lokal.</w:t>
            </w:r>
          </w:p>
        </w:tc>
      </w:tr>
    </w:tbl>
    <w:p/>
    <w:p>
      <w:pPr>
        <w:pStyle w:val="Heading2"/>
      </w:pPr>
      <w:r>
        <w:t>2.3 Landasan Teori</w:t>
      </w:r>
    </w:p>
    <w:p>
      <w:pPr>
        <w:pStyle w:val="Heading3"/>
      </w:pPr>
      <w:r>
        <w:t>2.3.1 Content Operations Platform dan Paket Konten</w:t>
      </w:r>
    </w:p>
    <w:p>
      <w:r>
        <w:rPr>
          <w:b w:val="0"/>
          <w:i w:val="0"/>
        </w:rPr>
        <w:t>Content Operations Platform berbeda dari CMS, galeri, maupun drive: ia mengelola seluruh siklus hidup konten sebagai satu operasi. HORTIFLOW menerapkan konsep ini melalui Paket Konten sebagai aggregate root: satu kampanye dapat menaungi banyak paket, satu paket menghasilkan banyak varian kanal dan aset, tetapi seluruh keputusan dan rekam publikasinya memiliki lineage yang jelas. Setiap perpindahan tahap menganut filosofi estafet, yaitu membawa context bundle berisi brief, sumber, versi, komentar, temuan terbuka, keputusan, pemilik, tenggat, dan risiko, sehingga konteks tidak terputus ketika pekerjaan berpindah tangan (PRD Bab 7).</w:t>
      </w:r>
    </w:p>
    <w:p>
      <w:pPr>
        <w:pStyle w:val="Heading3"/>
      </w:pPr>
      <w:r>
        <w:t>2.3.2 Workflow Berbasis Risiko dan Manifest Persetujuan Immutable</w:t>
      </w:r>
    </w:p>
    <w:p>
      <w:r>
        <w:rPr>
          <w:b w:val="0"/>
          <w:i w:val="0"/>
        </w:rPr>
        <w:t>Tidak semua konten melewati gerbang yang sama. PRD menetapkan empat tingkat risiko (LOW, MEDIUM, HIGH, CRITICAL) dengan gerbang quality control meliputi SOURCE, SUBJECT, EDITORIAL, VISUAL, BRAND, PRIVACY/RIGHTS, ACCESSIBILITY, PUBLICATION, dan FINAL. Keputusan persetujuan diikat pada Manifest Persetujuan yang immutable: daftar versi dan hash yang disetujui tidak dapat diubah, sehingga setiap perubahan material (fakta, makna, aset utama, kanal, embargo, hak) memicu invalidation dan review ulang sesuai matriks (PRD Bab 9-10).</w:t>
      </w:r>
    </w:p>
    <w:p>
      <w:pPr>
        <w:pStyle w:val="Heading3"/>
      </w:pPr>
      <w:r>
        <w:t>2.3.3 Auth Lokal: Argon2id, Session HttpOnly, TOTP Step-up vs OAuth2 HORTICORE</w:t>
      </w:r>
    </w:p>
    <w:p>
      <w:r>
        <w:rPr>
          <w:b w:val="0"/>
          <w:i w:val="0"/>
        </w:rPr>
        <w:t>Kondisi awal menurut PRD Bab 16 adalah HORTICORE OAuth2 Authorization Code + PKCE dengan sesi server HttpOnly dan gerbang system_access. Versi tunggal menggantinya dengan basis pengguna lokal: hash kata sandi Argon2id, sesi server bertanda HttpOnly, pemeriksaan kapabilitas berbasis peran dan unit, autentikasi ulang (step-up, didukung TOTP) untuk persetujuan risiko HIGH/CRITICAL, serta penguncian akun, pembatasan laju login, dan audit login. Rahasia seperti token tidak pernah ditampilkan ulang atau dicatat di log (PRD BR-015).</w:t>
      </w:r>
    </w:p>
    <w:p>
      <w:pPr>
        <w:pStyle w:val="Heading3"/>
      </w:pPr>
      <w:r>
        <w:t>2.3.4 Teknologi: Next.js App Router + TypeScript, Tailwind, Drizzle ORM, PostgreSQL FTS, Object Storage/MinIO, BullMQ</w:t>
      </w:r>
    </w:p>
    <w:p>
      <w:r>
        <w:rPr>
          <w:b w:val="0"/>
          <w:i w:val="0"/>
        </w:rPr>
        <w:t>Target arsitektur PRD adalah Next.js App Router dengan React dan TypeScript strict, Tailwind CSS, Drizzle ORM di atas PostgreSQL skema hortiflow, pencarian full-text/trigram PostgreSQL, object storage privat dengan presigned URL, checksum, dan antivirus, serta API REST /api/v1 berversi dengan kunci idempotensi dan optimistic concurrency. Versi tunggal mempertahankan semuanya kecuali ketergantungan monorepo: basis data menjadi instans PostgreSQL 16 tunggal, penyimpanan memakai layanan S3-compatible lokal, dan antrean memakai worker ringan, dengan deployment Docker Compose + Nginx.</w:t>
      </w:r>
    </w:p>
    <w:p>
      <w:pPr>
        <w:pStyle w:val="Heading3"/>
      </w:pPr>
      <w:r>
        <w:t>2.3.5 Regulasi: SPBE, Satu Data, PDP, Hak Cipta, Kearsipan, WCAG 2.2, OWASP ASVS</w:t>
      </w:r>
    </w:p>
    <w:p>
      <w:r>
        <w:rPr>
          <w:b w:val="0"/>
          <w:i w:val="0"/>
        </w:rPr>
        <w:t>Regulasi acuan (regulatory cut-off 9 September 2026, PRD Bab 5) meliputi Perpres 95/2018 tentang SPBE, Perpres 132/2022 dan 82/2023 tentang arsitektur dan transformasi digital, Perpres 39/2019 tentang Satu Data Indonesia, UU 14/2008 tentang Keterbukaan Informasi Publik, UU 27/2022 tentang Pelindungan Data Pribadi, UU 28/2014 tentang Hak Cipta, UU 1/2024 dan PP 71/2019 tentang ITE/PSTE, UU 43/2009 dan PerANRI 6/2021 tentang Kearsipan, pedoman kehumasan PermenPANRB 29/2011, 30/2011, 31/2011, 55/2011, 82/2012, dan 83/2012, serta standar WCAG 2.2 level AA dan OWASP ASVS untuk keamanan aplikasi. PRD menegaskan daftar ini bukan pendapat hukum sehingga klasifikasi informasi, dasar pemrosesan data pribadi, dan retensi wajib disahkan pemilik kewenangan sebelum produksi.</w:t>
      </w:r>
    </w:p>
    <w:p>
      <w:r/>
      <w:r>
        <w:rPr>
          <w:b w:val="0"/>
          <w:i w:val="0"/>
        </w:rPr>
        <w:t>Kelima landasan teori di atas menjadi acuan langsung perancangan pada Bab 3, khususnya pemetaan modul, model data, dan kebutuhan nonfungsional.</w:t>
      </w:r>
    </w:p>
    <w:p>
      <w:pPr>
        <w:pStyle w:val="Heading1"/>
      </w:pPr>
      <w:r>
        <w:t>BAB 3 - PELAKSANAAN DAN PERANCANGAN</w:t>
      </w:r>
    </w:p>
    <w:p>
      <w:pPr>
        <w:pStyle w:val="Heading2"/>
      </w:pPr>
      <w:r>
        <w:t>3.1 Rencana Kerja 12 Minggu</w:t>
      </w:r>
    </w:p>
    <w:p>
      <w:r>
        <w:rPr>
          <w:i/>
        </w:rPr>
        <w:t>[Petunjuk: isi realisasi per minggu. Contoh sudah diisi, ganti dengan tanggal aktual.]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Minggu / Tanggal</w:t>
            </w:r>
          </w:p>
        </w:tc>
        <w:tc>
          <w:tcPr>
            <w:tcW w:type="dxa" w:w="2160"/>
          </w:tcPr>
          <w:p>
            <w:r>
              <w:t>Rencana</w:t>
            </w:r>
          </w:p>
        </w:tc>
        <w:tc>
          <w:tcPr>
            <w:tcW w:type="dxa" w:w="2160"/>
          </w:tcPr>
          <w:p>
            <w:r>
              <w:t>Realisasi</w:t>
            </w:r>
          </w:p>
        </w:tc>
        <w:tc>
          <w:tcPr>
            <w:tcW w:type="dxa" w:w="2160"/>
          </w:tcPr>
          <w:p>
            <w:r>
              <w:t>Bukti (link commit/screenshot)</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bl>
    <w:p/>
    <w:p>
      <w:pPr>
        <w:pStyle w:val="Heading2"/>
      </w:pPr>
      <w:r>
        <w:t>3.2 Analisis Sistem Berjalan (As-Is) vs Usulan (To-Be)</w:t>
      </w:r>
    </w:p>
    <w:p>
      <w:r>
        <w:rPr>
          <w:i/>
        </w:rPr>
        <w:t>[Petunjuk: buat 1 flowchart as-is manual via chat dan 1 flowchart to-be Paket Konten estafet: Ide-Permintaan &gt; Triase-Brief &gt; Produksi &gt; Review &gt; Persetujuan &gt; Jadwal &gt; Publikasi &gt; Arsip.]</w:t>
      </w:r>
    </w:p>
    <w:p>
      <w:pPr>
        <w:pStyle w:val="Heading2"/>
      </w:pPr>
      <w:r>
        <w:t>3.3 Perancangan Sistem Tunggal</w:t>
      </w:r>
    </w:p>
    <w:p>
      <w:pPr>
        <w:pStyle w:val="Heading3"/>
      </w:pPr>
      <w:r>
        <w:t>3.3.1 Arsitektur Container Tunggal</w:t>
      </w:r>
    </w:p>
    <w:p>
      <w:r>
        <w:rPr>
          <w:i/>
        </w:rPr>
        <w:t>[Gambar: Browser &gt; Next.js Web App &gt; Domain Services &gt; PostgreSQL db_hortiflow, Worker, MinIO Storage. Tulis AUTH_MODE=local_only.]</w:t>
      </w:r>
    </w:p>
    <w:p>
      <w:pPr>
        <w:pStyle w:val="Heading3"/>
      </w:pPr>
      <w:r>
        <w:t>3.3.2 Perbandingan Auth Sebelum vs Sesudah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Aspek</w:t>
            </w:r>
          </w:p>
        </w:tc>
        <w:tc>
          <w:tcPr>
            <w:tcW w:type="dxa" w:w="2880"/>
          </w:tcPr>
          <w:p>
            <w:r>
              <w:t>Sebelum (HORTICORE OAuth2+PKCE)</w:t>
            </w:r>
          </w:p>
        </w:tc>
        <w:tc>
          <w:tcPr>
            <w:tcW w:type="dxa" w:w="2880"/>
          </w:tcPr>
          <w:p>
            <w:r>
              <w:t>Sesudah (Lokal Tunggal)</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bl>
    <w:p/>
    <w:p>
      <w:r>
        <w:rPr>
          <w:i/>
        </w:rPr>
        <w:t>[Baris: user store, session cookie, capability check, step-up, revoke, fallback bila HORTICORE mati.]</w:t>
      </w:r>
    </w:p>
    <w:p>
      <w:pPr>
        <w:pStyle w:val="Heading3"/>
      </w:pPr>
      <w:r>
        <w:t>3.3.3 Data Model / ERD</w:t>
      </w:r>
    </w:p>
    <w:p>
      <w:r>
        <w:rPr>
          <w:i/>
        </w:rPr>
        <w:t>[Petunjuk: tampilkan ERD 20 tabel inti. Jelaskan aggregate root content_packages. Tulis tabel master lokal pengganti horticore.users/master.pegawai.]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Kelompok</w:t>
            </w:r>
          </w:p>
        </w:tc>
        <w:tc>
          <w:tcPr>
            <w:tcW w:type="dxa" w:w="2880"/>
          </w:tcPr>
          <w:p>
            <w:r>
              <w:t>Tabel</w:t>
            </w:r>
          </w:p>
        </w:tc>
        <w:tc>
          <w:tcPr>
            <w:tcW w:type="dxa" w:w="2880"/>
          </w:tcPr>
          <w:p>
            <w:r>
              <w:t>Keterangan</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bl>
    <w:p/>
    <w:p>
      <w:pPr>
        <w:pStyle w:val="Heading3"/>
      </w:pPr>
      <w:r>
        <w:t>3.3.4 State Machine Paket Konten</w:t>
      </w:r>
    </w:p>
    <w:p>
      <w:r>
        <w:rPr>
          <w:i/>
        </w:rPr>
        <w:t>[Petunjuk: gambar 10 status versi magang dari 16 status PRD. Jelaskan invalidation bila edit material setelah approve.]</w:t>
      </w:r>
    </w:p>
    <w:p>
      <w:pPr>
        <w:pStyle w:val="Heading3"/>
      </w:pPr>
      <w:r>
        <w:t>3.3.5 Desain UI</w:t>
      </w:r>
    </w:p>
    <w:p>
      <w:r>
        <w:rPr>
          <w:i/>
        </w:rPr>
        <w:t>[Petunjuk: tempel mockup/screenshot Flow Board Kanban, Workspace Paket HFL-2026-00125, Approval Inbox mobile. Tulis Bahasa Indonesia + next action selalu terlihat.]</w:t>
      </w:r>
    </w:p>
    <w:p>
      <w:pPr>
        <w:pStyle w:val="Heading1"/>
      </w:pPr>
      <w:r>
        <w:t>BAB 4 - HASIL DAN PEMBAHASAN</w:t>
      </w:r>
    </w:p>
    <w:p>
      <w:pPr>
        <w:pStyle w:val="Heading2"/>
      </w:pPr>
      <w:r>
        <w:t>4.1 Hasil Implementasi (satu subbab satu layar)</w:t>
      </w:r>
    </w:p>
    <w:p>
      <w:r>
        <w:rPr>
          <w:i/>
        </w:rPr>
        <w:t>[Petunjuk: pola tiap layar: 1 screenshot + 1 paragraf cara pakai + 1 paragraf validasi. Urutan wajib:]</w:t>
      </w:r>
    </w:p>
    <w:p>
      <w:pPr>
        <w:pStyle w:val="Heading3"/>
      </w:pPr>
      <w:r>
        <w:t>4.1.1 Login Lokal dan Admin Pengguna</w:t>
      </w:r>
    </w:p>
    <w:p>
      <w:r>
        <w:rPr>
          <w:i/>
        </w:rPr>
        <w:t>[Screenshot + penjelasan + link.]</w:t>
      </w:r>
    </w:p>
    <w:p>
      <w:pPr>
        <w:pStyle w:val="Heading3"/>
      </w:pPr>
      <w:r>
        <w:t>4.1.2 Flow Board dan My Work</w:t>
      </w:r>
    </w:p>
    <w:p>
      <w:r>
        <w:rPr>
          <w:i/>
        </w:rPr>
        <w:t>[Screenshot + penjelasan + link.]</w:t>
      </w:r>
    </w:p>
    <w:p>
      <w:pPr>
        <w:pStyle w:val="Heading3"/>
      </w:pPr>
      <w:r>
        <w:t>4.1.3 Intake dan Triase</w:t>
      </w:r>
    </w:p>
    <w:p>
      <w:r>
        <w:rPr>
          <w:i/>
        </w:rPr>
        <w:t>[Screenshot + penjelasan + link.]</w:t>
      </w:r>
    </w:p>
    <w:p>
      <w:pPr>
        <w:pStyle w:val="Heading3"/>
      </w:pPr>
      <w:r>
        <w:t>4.1.4 Workspace Paket Konten</w:t>
      </w:r>
    </w:p>
    <w:p>
      <w:r>
        <w:rPr>
          <w:i/>
        </w:rPr>
        <w:t>[Screenshot + penjelasan + link.]</w:t>
      </w:r>
    </w:p>
    <w:p>
      <w:pPr>
        <w:pStyle w:val="Heading3"/>
      </w:pPr>
      <w:r>
        <w:t>4.1.5 Studio Editorial + Klaim/Sumber</w:t>
      </w:r>
    </w:p>
    <w:p>
      <w:r>
        <w:rPr>
          <w:i/>
        </w:rPr>
        <w:t>[Screenshot + penjelasan + link.]</w:t>
      </w:r>
    </w:p>
    <w:p>
      <w:pPr>
        <w:pStyle w:val="Heading3"/>
      </w:pPr>
      <w:r>
        <w:t>4.1.6 Studio Visual + Hak/Consent</w:t>
      </w:r>
    </w:p>
    <w:p>
      <w:r>
        <w:rPr>
          <w:i/>
        </w:rPr>
        <w:t>[Screenshot + penjelasan + link.]</w:t>
      </w:r>
    </w:p>
    <w:p>
      <w:pPr>
        <w:pStyle w:val="Heading3"/>
      </w:pPr>
      <w:r>
        <w:t>4.1.7 Review Finding dan Manifest Freeze</w:t>
      </w:r>
    </w:p>
    <w:p>
      <w:r>
        <w:rPr>
          <w:i/>
        </w:rPr>
        <w:t>[Screenshot + penjelasan + link.]</w:t>
      </w:r>
    </w:p>
    <w:p>
      <w:pPr>
        <w:pStyle w:val="Heading3"/>
      </w:pPr>
      <w:r>
        <w:t>4.1.8 Approval + Step-up</w:t>
      </w:r>
    </w:p>
    <w:p>
      <w:r>
        <w:rPr>
          <w:i/>
        </w:rPr>
        <w:t>[Screenshot + penjelasan + link.]</w:t>
      </w:r>
    </w:p>
    <w:p>
      <w:pPr>
        <w:pStyle w:val="Heading3"/>
      </w:pPr>
      <w:r>
        <w:t>4.1.9 Kalender Publikasi + Bukti Manual</w:t>
      </w:r>
    </w:p>
    <w:p>
      <w:r>
        <w:rPr>
          <w:i/>
        </w:rPr>
        <w:t>[Screenshot + penjelasan + link.]</w:t>
      </w:r>
    </w:p>
    <w:p>
      <w:pPr>
        <w:pStyle w:val="Heading3"/>
      </w:pPr>
      <w:r>
        <w:t>4.1.10 Arsip, Search, dan Audit Timeline</w:t>
      </w:r>
    </w:p>
    <w:p>
      <w:r>
        <w:rPr>
          <w:i/>
        </w:rPr>
        <w:t>[Screenshot + penjelasan + link.]</w:t>
      </w:r>
    </w:p>
    <w:p>
      <w:pPr>
        <w:pStyle w:val="Heading2"/>
      </w:pPr>
      <w:r>
        <w:t>4.2 Pengujian Blackbox</w:t>
      </w:r>
    </w:p>
    <w:p>
      <w:r>
        <w:rPr>
          <w:i/>
        </w:rPr>
        <w:t>[Petunjuk: minimal 20 kasus dari AC-001..020 PRD. Contoh baris sudah disiapkan, tambah sendiri.]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Fitur</w:t>
            </w:r>
          </w:p>
        </w:tc>
        <w:tc>
          <w:tcPr>
            <w:tcW w:type="dxa" w:w="1728"/>
          </w:tcPr>
          <w:p>
            <w:r>
              <w:t>Skenario (Given-When-Then)</w:t>
            </w:r>
          </w:p>
        </w:tc>
        <w:tc>
          <w:tcPr>
            <w:tcW w:type="dxa" w:w="1728"/>
          </w:tcPr>
          <w:p>
            <w:r>
              <w:t>Hasil Diharapkan</w:t>
            </w:r>
          </w:p>
        </w:tc>
        <w:tc>
          <w:tcPr>
            <w:tcW w:type="dxa" w:w="1728"/>
          </w:tcPr>
          <w:p>
            <w:r>
              <w:t>Hasil (Valid/Tidak)</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bl>
    <w:p/>
    <w:p>
      <w:pPr>
        <w:pStyle w:val="Heading2"/>
      </w:pPr>
      <w:r>
        <w:t>4.3 UAT 5 Skenario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Skenario</w:t>
            </w:r>
          </w:p>
        </w:tc>
        <w:tc>
          <w:tcPr>
            <w:tcW w:type="dxa" w:w="2160"/>
          </w:tcPr>
          <w:p>
            <w:r>
              <w:t>Langkah</w:t>
            </w:r>
          </w:p>
        </w:tc>
        <w:tc>
          <w:tcPr>
            <w:tcW w:type="dxa" w:w="2160"/>
          </w:tcPr>
          <w:p>
            <w:r>
              <w:t>Bukti (URL/ID/screenshot)</w:t>
            </w:r>
          </w:p>
        </w:tc>
        <w:tc>
          <w:tcPr>
            <w:tcW w:type="dxa" w:w="2160"/>
          </w:tcPr>
          <w:p>
            <w:r>
              <w:t>Status</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bl>
    <w:p/>
    <w:p>
      <w:r>
        <w:rPr>
          <w:i/>
        </w:rPr>
        <w:t>[Skenario wajib: berita kegiatan, infografis angka, video consent, fast-track isu, takedown.]</w:t>
      </w:r>
    </w:p>
    <w:p>
      <w:pPr>
        <w:pStyle w:val="Heading2"/>
      </w:pPr>
      <w:r>
        <w:t>4.4 Kuesioner SUS dan Time on Task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Responden (P-01..P-08)</w:t>
            </w:r>
          </w:p>
        </w:tc>
        <w:tc>
          <w:tcPr>
            <w:tcW w:type="dxa" w:w="1728"/>
          </w:tcPr>
          <w:p>
            <w:r>
              <w:t>SUS Skor</w:t>
            </w:r>
          </w:p>
        </w:tc>
        <w:tc>
          <w:tcPr>
            <w:tcW w:type="dxa" w:w="1728"/>
          </w:tcPr>
          <w:p>
            <w:r>
              <w:t>Intake (mnt)</w:t>
            </w:r>
          </w:p>
        </w:tc>
        <w:tc>
          <w:tcPr>
            <w:tcW w:type="dxa" w:w="1728"/>
          </w:tcPr>
          <w:p>
            <w:r>
              <w:t>Approve (mnt)</w:t>
            </w:r>
          </w:p>
        </w:tc>
        <w:tc>
          <w:tcPr>
            <w:tcW w:type="dxa" w:w="1728"/>
          </w:tcPr>
          <w:p>
            <w:r>
              <w:t>Catatan</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r>
        <w:tc>
          <w:tcPr>
            <w:tcW w:type="dxa" w:w="1728"/>
          </w:tcPr>
          <w:p>
            <w:r>
              <w:t>[isi]</w:t>
            </w:r>
          </w:p>
        </w:tc>
        <w:tc>
          <w:tcPr>
            <w:tcW w:type="dxa" w:w="1728"/>
          </w:tcPr>
          <w:p>
            <w:r>
              <w:t>[isi]</w:t>
            </w:r>
          </w:p>
        </w:tc>
        <w:tc>
          <w:tcPr>
            <w:tcW w:type="dxa" w:w="1728"/>
          </w:tcPr>
          <w:p>
            <w:r>
              <w:t>[isi]</w:t>
            </w:r>
          </w:p>
        </w:tc>
        <w:tc>
          <w:tcPr>
            <w:tcW w:type="dxa" w:w="1728"/>
          </w:tcPr>
          <w:p>
            <w:r>
              <w:t>[isi]</w:t>
            </w:r>
          </w:p>
        </w:tc>
        <w:tc>
          <w:tcPr>
            <w:tcW w:type="dxa" w:w="1728"/>
          </w:tcPr>
          <w:p>
            <w:r>
              <w:t>[isi]</w:t>
            </w:r>
          </w:p>
        </w:tc>
      </w:tr>
    </w:tbl>
    <w:p/>
    <w:p>
      <w:r>
        <w:rPr>
          <w:i/>
        </w:rPr>
        <w:t>[Target: SUS &gt;=75, intake median &lt;5 mnt, approve &lt;3 mnt.]</w:t>
      </w:r>
    </w:p>
    <w:p>
      <w:pPr>
        <w:pStyle w:val="Heading2"/>
      </w:pPr>
      <w:r>
        <w:t>4.5 Pembahasan, Kendala, dan Solusi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Kendala</w:t>
            </w:r>
          </w:p>
        </w:tc>
        <w:tc>
          <w:tcPr>
            <w:tcW w:type="dxa" w:w="2880"/>
          </w:tcPr>
          <w:p>
            <w:r>
              <w:t>Dampak</w:t>
            </w:r>
          </w:p>
        </w:tc>
        <w:tc>
          <w:tcPr>
            <w:tcW w:type="dxa" w:w="2880"/>
          </w:tcPr>
          <w:p>
            <w:r>
              <w:t>Solusi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bl>
    <w:p/>
    <w:p>
      <w:pPr>
        <w:pStyle w:val="Heading2"/>
      </w:pPr>
      <w:r>
        <w:t>4.6 Traceability FR &gt; Layar &gt; Uji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FR (mis. HFL-FR-001)</w:t>
            </w:r>
          </w:p>
        </w:tc>
        <w:tc>
          <w:tcPr>
            <w:tcW w:type="dxa" w:w="2160"/>
          </w:tcPr>
          <w:p>
            <w:r>
              <w:t>Layar</w:t>
            </w:r>
          </w:p>
        </w:tc>
        <w:tc>
          <w:tcPr>
            <w:tcW w:type="dxa" w:w="2160"/>
          </w:tcPr>
          <w:p>
            <w:r>
              <w:t>ID Uji</w:t>
            </w:r>
          </w:p>
        </w:tc>
        <w:tc>
          <w:tcPr>
            <w:tcW w:type="dxa" w:w="2160"/>
          </w:tcPr>
          <w:p>
            <w:r>
              <w:t>Status</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bl>
    <w:p/>
    <w:p>
      <w:r>
        <w:rPr>
          <w:i/>
        </w:rPr>
        <w:t>[Petunjuk: cukup 10-15 FR P0 utama, bukan semua 64.]</w:t>
      </w:r>
    </w:p>
    <w:p>
      <w:pPr>
        <w:pStyle w:val="Heading1"/>
      </w:pPr>
      <w:r>
        <w:t>BAB 5 - PENUTUP</w:t>
      </w:r>
    </w:p>
    <w:p>
      <w:pPr>
        <w:pStyle w:val="Heading2"/>
      </w:pPr>
      <w:r>
        <w:t>5.1 Kesimpulan</w:t>
      </w:r>
    </w:p>
    <w:p>
      <w:r>
        <w:rPr>
          <w:i/>
        </w:rPr>
        <w:t>[Petunjuk: jawab tujuan Bab 1 satu per satu. Tegaskan login sudah tunggal + alur utuh jalan + siap dinilai 2 Des.]</w:t>
      </w:r>
    </w:p>
    <w:p>
      <w:pPr>
        <w:pStyle w:val="Heading2"/>
      </w:pPr>
      <w:r>
        <w:t>5.2 Saran</w:t>
      </w:r>
    </w:p>
    <w:p>
      <w:r>
        <w:rPr>
          <w:i/>
        </w:rPr>
        <w:t>[Petunjuk: saran untuk BRMP dan saran lanjutan untuk TA: integrasi HORTIZEN API, HORTISPACE auto-ref, AI assistant, analitik.]</w:t>
      </w:r>
    </w:p>
    <w:p>
      <w:pPr>
        <w:pStyle w:val="Heading1"/>
      </w:pPr>
      <w:r>
        <w:t>DAFTAR PUSTAKA</w:t>
      </w:r>
    </w:p>
    <w:p>
      <w:r>
        <w:rPr>
          <w:b w:val="0"/>
          <w:i w:val="0"/>
        </w:rPr>
        <w:t>PRD HORTIFLOW v1.2.0 BRMP Hortikultura 9 Sep 2026. Perpres 95/2018 SPBE. UU 27/2022 PDP. UU 28/2014 Hak Cipta. WCAG 2.2. OWASP ASVS. Dokumentasi Next.js, Drizzle, PostgreSQL.</w:t>
      </w:r>
    </w:p>
    <w:p>
      <w:pPr>
        <w:pStyle w:val="Heading1"/>
      </w:pPr>
      <w:r>
        <w:t>LAMPIRAN</w:t>
      </w:r>
    </w:p>
    <w:p>
      <w:pPr>
        <w:pStyle w:val="Heading2"/>
      </w:pPr>
      <w:r>
        <w:t>Lampiran A - Logbook Harian Magang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Tanggal</w:t>
            </w:r>
          </w:p>
        </w:tc>
        <w:tc>
          <w:tcPr>
            <w:tcW w:type="dxa" w:w="2160"/>
          </w:tcPr>
          <w:p>
            <w:r>
              <w:t>Kegiatan</w:t>
            </w:r>
          </w:p>
        </w:tc>
        <w:tc>
          <w:tcPr>
            <w:tcW w:type="dxa" w:w="2160"/>
          </w:tcPr>
          <w:p>
            <w:r>
              <w:t>Kendala &amp; Solusi</w:t>
            </w:r>
          </w:p>
        </w:tc>
        <w:tc>
          <w:tcPr>
            <w:tcW w:type="dxa" w:w="2160"/>
          </w:tcPr>
          <w:p>
            <w:r>
              <w:t>Paraf Pembimbing</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r>
        <w:tc>
          <w:tcPr>
            <w:tcW w:type="dxa" w:w="2160"/>
          </w:tcPr>
          <w:p>
            <w:r>
              <w:t>[isi]</w:t>
            </w:r>
          </w:p>
        </w:tc>
        <w:tc>
          <w:tcPr>
            <w:tcW w:type="dxa" w:w="2160"/>
          </w:tcPr>
          <w:p>
            <w:r>
              <w:t>[isi]</w:t>
            </w:r>
          </w:p>
        </w:tc>
        <w:tc>
          <w:tcPr>
            <w:tcW w:type="dxa" w:w="2160"/>
          </w:tcPr>
          <w:p>
            <w:r>
              <w:t>[isi]</w:t>
            </w:r>
          </w:p>
        </w:tc>
        <w:tc>
          <w:tcPr>
            <w:tcW w:type="dxa" w:w="2160"/>
          </w:tcPr>
          <w:p>
            <w:r>
              <w:t>[isi]</w:t>
            </w:r>
          </w:p>
        </w:tc>
      </w:tr>
    </w:tbl>
    <w:p/>
    <w:p>
      <w:pPr>
        <w:pStyle w:val="Heading2"/>
      </w:pPr>
      <w:r>
        <w:t>Lampiran B - Surat dan Administrasi Magang</w:t>
      </w:r>
    </w:p>
    <w:p>
      <w:r>
        <w:rPr>
          <w:i/>
        </w:rPr>
        <w:t>[Lampiran surat pengantar kampus, surat balasan BRMP, nilai.]</w:t>
      </w:r>
    </w:p>
    <w:p>
      <w:pPr>
        <w:pStyle w:val="Heading2"/>
      </w:pPr>
      <w:r>
        <w:t>Lampiran C - Potongan Kode Penting</w:t>
      </w:r>
    </w:p>
    <w:p>
      <w:r>
        <w:rPr>
          <w:i/>
        </w:rPr>
        <w:t>[Tempel: hash Argon2id, session guard, manifest hash SHA256, invalidation.]</w:t>
      </w:r>
    </w:p>
    <w:p>
      <w:pPr>
        <w:pStyle w:val="Heading2"/>
      </w:pPr>
      <w:r>
        <w:t>Lampiran D - Bukti UAT dan SUS Mentah</w:t>
      </w:r>
    </w:p>
    <w:p>
      <w:r>
        <w:rPr>
          <w:i/>
        </w:rPr>
        <w:t>[Tempel foto tanda tangan responden, spreadsheet skor.]</w:t>
      </w:r>
    </w:p>
    <w:p>
      <w:pPr>
        <w:pStyle w:val="Heading2"/>
      </w:pPr>
      <w:r>
        <w:t>Lampiran E - Link Repo, Dump DB, Video Demo 10 Menit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Artefak</w:t>
            </w:r>
          </w:p>
        </w:tc>
        <w:tc>
          <w:tcPr>
            <w:tcW w:type="dxa" w:w="2880"/>
          </w:tcPr>
          <w:p>
            <w:r>
              <w:t>Link/Lokasi</w:t>
            </w:r>
          </w:p>
        </w:tc>
        <w:tc>
          <w:tcPr>
            <w:tcW w:type="dxa" w:w="2880"/>
          </w:tcPr>
          <w:p>
            <w:r>
              <w:t>Keterangan</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r>
        <w:tc>
          <w:tcPr>
            <w:tcW w:type="dxa" w:w="2880"/>
          </w:tcPr>
          <w:p>
            <w:r>
              <w:t>[isi]</w:t>
            </w:r>
          </w:p>
        </w:tc>
        <w:tc>
          <w:tcPr>
            <w:tcW w:type="dxa" w:w="2880"/>
          </w:tcPr>
          <w:p>
            <w:r>
              <w:t>[isi]</w:t>
            </w:r>
          </w:p>
        </w:tc>
        <w:tc>
          <w:tcPr>
            <w:tcW w:type="dxa" w:w="2880"/>
          </w:tcPr>
          <w:p>
            <w:r>
              <w:t>[isi]</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