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Feedback Analyser</w:t>
      </w:r>
    </w:p>
    <w:p>
      <w:pPr>
        <w:spacing w:after="60"/>
      </w:pPr>
      <w:r>
        <w:rPr>
          <w:color w:val="595959"/>
          <w:sz w:val="28"/>
          <w:szCs w:val="28"/>
        </w:rPr>
        <w:t xml:space="preserve">Backend Development Log — Lead + Analyst + Checker</w:t>
      </w:r>
    </w:p>
    <w:p>
      <w:pPr>
        <w:spacing w:after="300"/>
      </w:pPr>
      <w:r>
        <w:rPr>
          <w:i/>
          <w:iCs/>
          <w:color w:val="808080"/>
          <w:sz w:val="22"/>
          <w:szCs w:val="22"/>
        </w:rPr>
        <w:t xml:space="preserve">Microsoft Hackathon — KrispLabs/Feedback-Analyser, branch: Chaitanya</w:t>
      </w:r>
    </w:p>
    <w:p>
      <w:pPr>
        <w:pStyle w:val="Heading1"/>
        <w:spacing w:after="160" w:before="320"/>
      </w:pPr>
      <w:r>
        <w:t xml:space="preserve">Project Overview</w:t>
      </w:r>
    </w:p>
    <w:p>
      <w:pPr>
        <w:spacing w:after="120"/>
      </w:pPr>
      <w:r>
        <w:t xml:space="preserve">The Feedback Synthesiser pipeline: the </w:t>
      </w:r>
      <w:r>
        <w:rPr>
          <w:b/>
          <w:bCs/>
        </w:rPr>
        <w:t xml:space="preserve">Gatherer</w:t>
      </w:r>
      <w:r>
        <w:t xml:space="preserve"> collects real reviews from review sites and similar-market apps; </w:t>
      </w:r>
      <w:r>
        <w:rPr>
          <w:b/>
          <w:bCs/>
        </w:rPr>
        <w:t xml:space="preserve">Reasoning</w:t>
      </w:r>
      <w:r>
        <w:t xml:space="preserve"> splits into the </w:t>
      </w:r>
      <w:r>
        <w:rPr>
          <w:b/>
          <w:bCs/>
        </w:rPr>
        <w:t xml:space="preserve">Checker</w:t>
      </w:r>
      <w:r>
        <w:t xml:space="preserve"> (verifies feedback as true/false) and the </w:t>
      </w:r>
      <w:r>
        <w:rPr>
          <w:b/>
          <w:bCs/>
        </w:rPr>
        <w:t xml:space="preserve">Scorer</w:t>
      </w:r>
      <w:r>
        <w:t xml:space="preserve"> (groups reviews into themes); the </w:t>
      </w:r>
      <w:r>
        <w:rPr>
          <w:b/>
          <w:bCs/>
        </w:rPr>
        <w:t xml:space="preserve">Analyst</w:t>
      </w:r>
      <w:r>
        <w:t xml:space="preserve"> explains why each theme scored the way it did and what to do next; and the result reaches </w:t>
      </w:r>
      <w:r>
        <w:rPr>
          <w:b/>
          <w:bCs/>
        </w:rPr>
        <w:t xml:space="preserve">Output/Presentation</w:t>
      </w:r>
      <w:r>
        <w:t xml:space="preserve">, with the Analyst's reasoning feeding back in.</w:t>
      </w:r>
    </w:p>
    <w:p>
      <w:pPr>
        <w:spacing w:after="120"/>
      </w:pPr>
      <w:r>
        <w:t xml:space="preserve">Team scope: this document covers our three roles — </w:t>
      </w:r>
      <w:r>
        <w:rPr>
          <w:b/>
          <w:bCs/>
        </w:rPr>
        <w:t xml:space="preserve">Lead, Analyst, and Checker</w:t>
      </w:r>
      <w:r>
        <w:t xml:space="preserve">. The Scorer role (theme grouping, shared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llm.py</w:t>
      </w:r>
      <w:r>
        <w:t xml:space="preserve">) is owned by a teammate; our code consumes their output format and our Checker's output feeds their Scorer.</w:t>
      </w:r>
    </w:p>
    <w:p>
      <w:pPr>
        <w:pStyle w:val="Heading1"/>
        <w:spacing w:after="160" w:before="320"/>
      </w:pPr>
      <w:r>
        <w:t xml:space="preserve">Interfaces &amp; Contracts</w:t>
      </w:r>
    </w:p>
    <w:p>
      <w:pPr>
        <w:spacing w:after="120"/>
      </w:pPr>
      <w:r>
        <w:t xml:space="preserve">Agreed data contracts between roles, so each person's module can be built and tested independently before final integration.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625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Contract</w:t>
            </w:r>
          </w:p>
        </w:tc>
      </w:tr>
      <w:tr>
        <w:tc>
          <w:tcPr>
            <w:tcW w:type="dxa" w:w="3100"/>
          </w:tcPr>
          <w:p>
            <w:r>
              <w:t xml:space="preserve">Gatherer → Checker</w:t>
            </w:r>
          </w:p>
        </w:tc>
        <w:tc>
          <w:tcPr>
            <w:tcW w:type="dxa" w:w="6250"/>
          </w:tcPr>
          <w:p>
            <w:r>
              <w:rPr>
                <w:rFonts w:ascii="Consolas" w:cs="Consolas" w:eastAsia="Consolas" w:hAnsi="Consolas"/>
                <w:color w:val="444444"/>
                <w:sz w:val="21"/>
                <w:szCs w:val="21"/>
              </w:rPr>
              <w:t xml:space="preserve">id, source, date, rating, text</w:t>
            </w:r>
            <w:r>
              <w:t xml:space="preserve"> cleaned review rows</w:t>
            </w:r>
          </w:p>
        </w:tc>
      </w:tr>
      <w:tr>
        <w:tc>
          <w:tcPr>
            <w:tcW w:type="dxa" w:w="3100"/>
          </w:tcPr>
          <w:p>
            <w:r>
              <w:t xml:space="preserve">Checker → Scorer</w:t>
            </w:r>
          </w:p>
        </w:tc>
        <w:tc>
          <w:tcPr>
            <w:tcW w:type="dxa" w:w="6250"/>
          </w:tcPr>
          <w:p>
            <w:r>
              <w:t xml:space="preserve">Verified reviews only, plus a rejected count</w:t>
            </w:r>
          </w:p>
        </w:tc>
      </w:tr>
      <w:tr>
        <w:tc>
          <w:tcPr>
            <w:tcW w:type="dxa" w:w="3100"/>
          </w:tcPr>
          <w:p>
            <w:r>
              <w:t xml:space="preserve">Scorer → Analyst</w:t>
            </w:r>
          </w:p>
        </w:tc>
        <w:tc>
          <w:tcPr>
            <w:tcW w:type="dxa" w:w="6250"/>
          </w:tcPr>
          <w:p>
            <w:r>
              <w:rPr>
                <w:rFonts w:ascii="Consolas" w:cs="Consolas" w:eastAsia="Consolas" w:hAnsi="Consolas"/>
                <w:color w:val="444444"/>
                <w:sz w:val="21"/>
                <w:szCs w:val="21"/>
              </w:rPr>
              <w:t xml:space="preserve">{name, count, samples}</w:t>
            </w:r>
            <w:r>
              <w:t xml:space="preserve"> per theme (TBD, to confirm with Scorer owner). The Analyst assigns the score itself.</w:t>
            </w:r>
          </w:p>
        </w:tc>
      </w:tr>
      <w:tr>
        <w:tc>
          <w:tcPr>
            <w:tcW w:type="dxa" w:w="3100"/>
          </w:tcPr>
          <w:p>
            <w:r>
              <w:t xml:space="preserve">Hindsight weekly record</w:t>
            </w:r>
          </w:p>
        </w:tc>
        <w:tc>
          <w:tcPr>
            <w:tcW w:type="dxa" w:w="6250"/>
          </w:tcPr>
          <w:p>
            <w:r>
              <w:rPr>
                <w:rFonts w:ascii="Consolas" w:cs="Consolas" w:eastAsia="Consolas" w:hAnsi="Consolas"/>
                <w:color w:val="444444"/>
                <w:sz w:val="21"/>
                <w:szCs w:val="21"/>
              </w:rPr>
              <w:t xml:space="preserve">{rejected_count, themes: [{name, count, score, reasoning, next_step, samples}]}</w:t>
            </w:r>
          </w:p>
        </w:tc>
      </w:tr>
    </w:tbl>
    <w:p>
      <w:pPr>
        <w:pStyle w:val="Heading1"/>
        <w:spacing w:after="160" w:before="320"/>
      </w:pPr>
      <w:r>
        <w:t xml:space="preserve">Scoring Scale: -5 to +5</w:t>
      </w:r>
    </w:p>
    <w:p>
      <w:pPr>
        <w:spacing w:after="120"/>
      </w:pPr>
      <w:r>
        <w:t xml:space="preserve">Groq (the Analyst) grades every theme on a signed scale so it tells the user specifically </w:t>
      </w:r>
      <w:r>
        <w:rPr>
          <w:i/>
          <w:iCs/>
        </w:rPr>
        <w:t xml:space="preserve">where they are lagging</w:t>
      </w:r>
      <w:r>
        <w:t xml:space="preserve">, not just a generic sentiment. The scale is framed like a business owner triaging feedback — a bakery analogy anchors the model's calibration in the prompt (e.g. “customers love the sourdough” = +5, “mold found in the display case” = -5).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775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1600"/>
            <w:shd w:fill="C6E0B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+5</w:t>
            </w:r>
          </w:p>
        </w:tc>
        <w:tc>
          <w:tcPr>
            <w:tcW w:type="dxa" w:w="7750"/>
          </w:tcPr>
          <w:p>
            <w:r>
              <w:t xml:space="preserve">The single thing the product is best at right now — keep doing it.</w:t>
            </w:r>
          </w:p>
        </w:tc>
      </w:tr>
      <w:tr>
        <w:tc>
          <w:tcPr>
            <w:tcW w:type="dxa" w:w="1600"/>
            <w:shd w:fill="E2EF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+1 to +4</w:t>
            </w:r>
          </w:p>
        </w:tc>
        <w:tc>
          <w:tcPr>
            <w:tcW w:type="dxa" w:w="7750"/>
          </w:tcPr>
          <w:p>
            <w:r>
              <w:t xml:space="preserve">Other genuine strengths, ranked by importance (closer to +5 = protect this more).</w:t>
            </w:r>
          </w:p>
        </w:tc>
      </w:tr>
      <w:tr>
        <w:tc>
          <w:tcPr>
            <w:tcW w:type="dxa" w:w="1600"/>
            <w:shd w:fill="FCE4D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-1 to -4</w:t>
            </w:r>
          </w:p>
        </w:tc>
        <w:tc>
          <w:tcPr>
            <w:tcW w:type="dxa" w:w="7750"/>
          </w:tcPr>
          <w:p>
            <w:r>
              <w:t xml:space="preserve">Real problems, ranked by urgency (closer to -5 = fix sooner).</w:t>
            </w:r>
          </w:p>
        </w:tc>
      </w:tr>
      <w:tr>
        <w:tc>
          <w:tcPr>
            <w:tcW w:type="dxa" w:w="1600"/>
            <w:shd w:fill="F8CBA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-5</w:t>
            </w:r>
          </w:p>
        </w:tc>
        <w:tc>
          <w:tcPr>
            <w:tcW w:type="dxa" w:w="7750"/>
          </w:tcPr>
          <w:p>
            <w:r>
              <w:t xml:space="preserve">The single most urgent problem — work on this instantly, before anything else.</w:t>
            </w:r>
          </w:p>
        </w:tc>
      </w:tr>
    </w:tbl>
    <w:p>
      <w:pPr>
        <w:spacing w:after="200" w:before="120"/>
      </w:pPr>
      <w:r>
        <w:t xml:space="preserve">The Analyst assigns this score itself, with reasoning that references both this week's data and any trend recalled from Hindsight's memory of past weeks.</w:t>
      </w:r>
    </w:p>
    <w:p>
      <w:pPr>
        <w:pStyle w:val="Heading1"/>
        <w:spacing w:after="160" w:before="320"/>
      </w:pPr>
      <w:r>
        <w:t xml:space="preserve">Backend Phases</w:t>
      </w:r>
    </w:p>
    <w:p>
      <w:pPr>
        <w:spacing w:after="120"/>
      </w:pPr>
      <w:r>
        <w:t xml:space="preserve">Work was split into four phases, pushed to the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Chaitanya</w:t>
      </w:r>
      <w:r>
        <w:t xml:space="preserve"> branch in pairs to minimise integration errors.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Phase 1 — </w:t>
      </w:r>
      <w:r>
        <w:rPr>
          <w:b/>
          <w:bCs/>
          <w:sz w:val="26"/>
          <w:szCs w:val="26"/>
        </w:rPr>
        <w:t xml:space="preserve">Checker</w:t>
      </w:r>
    </w:p>
    <w:p>
      <w:pPr>
        <w:spacing w:after="140"/>
      </w:pPr>
      <w:r>
        <w:rPr>
          <w:i/>
          <w:iCs/>
        </w:rPr>
        <w:t xml:space="preserve">File: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backend/checker.py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Rule-based true/false verification per review: </w:t>
      </w:r>
      <w:r>
        <w:rPr>
          <w:b/>
          <w:bCs/>
        </w:rPr>
        <w:t xml:space="preserve">duplicate</w:t>
      </w:r>
      <w:r>
        <w:t xml:space="preserve"> (normalized-text hash), </w:t>
      </w:r>
      <w:r>
        <w:rPr>
          <w:b/>
          <w:bCs/>
        </w:rPr>
        <w:t xml:space="preserve">too-short</w:t>
      </w:r>
      <w:r>
        <w:t xml:space="preserve"> (under 4 words), </w:t>
      </w:r>
      <w:r>
        <w:rPr>
          <w:b/>
          <w:bCs/>
        </w:rPr>
        <w:t xml:space="preserve">repeated-phrase spam</w:t>
      </w:r>
      <w:r>
        <w:t xml:space="preserve"> (one word ≥ 50% of the review), </w:t>
      </w:r>
      <w:r>
        <w:rPr>
          <w:b/>
          <w:bCs/>
        </w:rPr>
        <w:t xml:space="preserve">gibberish</w:t>
      </w:r>
      <w:r>
        <w:t xml:space="preserve"> (low vowel ratio or a 4+ consonant run in a word).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check_reviews(reviews) -&gt; (verified, rejected_count, rejected_by_reason)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75623"/>
        </w:rPr>
        <w:t xml:space="preserve">Verified: </w:t>
      </w:r>
      <w:r>
        <w:t xml:space="preserve">Tested against a hand-built mock dataset (backend/data/week_1_mock.csv) with planted duplicates/spam/gibberish, since the Gatherer's real cleaned CSV wasn't ready yet — all 4 rules fired correctly, 6 of 12 reviews verified.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Phase 2 — </w:t>
      </w:r>
      <w:r>
        <w:rPr>
          <w:b/>
          <w:bCs/>
          <w:sz w:val="26"/>
          <w:szCs w:val="26"/>
        </w:rPr>
        <w:t xml:space="preserve">Hindsight Memory Layer</w:t>
      </w:r>
    </w:p>
    <w:p>
      <w:pPr>
        <w:spacing w:after="140"/>
      </w:pPr>
      <w:r>
        <w:rPr>
          <w:i/>
          <w:iCs/>
        </w:rPr>
        <w:t xml:space="preserve">File: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backend/memory.py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HindsightMemory</w:t>
      </w:r>
      <w:r>
        <w:t xml:space="preserve"> class used as a context manager so the aiohttp session closes cleanly (fixed an “unclosed client session” warning from the first raw test script).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store_week(week_number, week_result)</w:t>
      </w:r>
      <w:r>
        <w:t xml:space="preserve"> retains one memory per week, tagged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week:&lt;n&gt;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recall_context(query)</w:t>
      </w:r>
      <w:r>
        <w:t xml:space="preserve"> performs semantic recall across past weeks for the Analyst to reason about trends.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75623"/>
        </w:rPr>
        <w:t xml:space="preserve">Verified: </w:t>
      </w:r>
      <w:r>
        <w:t xml:space="preserve">Stored a week-1 “login issues” theme and recalled it back correctly against the real Hindsight Cloud API.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Phase 3 — </w:t>
      </w:r>
      <w:r>
        <w:rPr>
          <w:b/>
          <w:bCs/>
          <w:sz w:val="26"/>
          <w:szCs w:val="26"/>
        </w:rPr>
        <w:t xml:space="preserve">Analyst</w:t>
      </w:r>
    </w:p>
    <w:p>
      <w:pPr>
        <w:spacing w:after="140"/>
      </w:pPr>
      <w:r>
        <w:rPr>
          <w:i/>
          <w:iCs/>
        </w:rPr>
        <w:t xml:space="preserve">File: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backend/llm.py + backend/analyst.py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llm.py</w:t>
      </w:r>
      <w:r>
        <w:t xml:space="preserve">: shared Groq call helper (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call_llm</w:t>
      </w:r>
      <w:r>
        <w:t xml:space="preserve">), 3 retries with backoff, safe JSON fallback if Groq fails. Model: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openai/gpt-oss-120b</w:t>
      </w:r>
      <w:r>
        <w:t xml:space="preserve"> — confirmed live via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client.models.list()</w:t>
      </w:r>
      <w:r>
        <w:t xml:space="preserve"> since Groq's available lineup had changed. Placeholder until reconciled with the Scorer's own shared llm.py.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analyst.py</w:t>
      </w:r>
      <w:r>
        <w:t xml:space="preserve">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analyze_theme()</w:t>
      </w:r>
      <w:r>
        <w:t xml:space="preserve"> recalls past-week context from Hindsight, then prompts Groq (system prompt anchors the -5..+5 scale with the bakery analogy) to return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{score, reasoning, next_step}</w:t>
      </w:r>
      <w:r>
        <w:t xml:space="preserve"> per theme.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75623"/>
        </w:rPr>
        <w:t xml:space="preserve">Verified: </w:t>
      </w:r>
      <w:r>
        <w:t xml:space="preserve">Ran end-to-end against real Groq + Hindsight: “login issues” (12 mentions, recalled trend from a prior test week) scored -5, with reasoning explicitly citing the recurring trend and a concrete immediate action. “dark mode” (5 positive mentions, no history) scored +3 — correctly a real strength but not maxed, since it wasn't the single standout.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Fixed along the way: </w:t>
      </w:r>
      <w:r>
        <w:t xml:space="preserve">a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UnicodeEncodeError</w:t>
      </w:r>
      <w:r>
        <w:t xml:space="preserve"> printing Groq's output on Windows console (cp1252 can't encode some Unicode punctuation Groq returns), resolved with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sys.stdout.reconfigure(encoding="utf-8")</w:t>
      </w:r>
      <w:r>
        <w:t xml:space="preserve"> at the entrypoint.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833C00"/>
        </w:rPr>
        <w:t xml:space="preserve">Needed before integration: </w:t>
      </w:r>
      <w:r>
        <w:t xml:space="preserve">The Scorer's real themes format, currently stubbed as {name, count, samples}.</w:t>
      </w:r>
    </w:p>
    <w:p>
      <w:pPr>
        <w:spacing w:after="100" w:before="300"/>
      </w:pPr>
      <w:r>
        <w:rPr>
          <w:b/>
          <w:bCs/>
          <w:color w:val="1F4E79"/>
          <w:sz w:val="26"/>
          <w:szCs w:val="26"/>
        </w:rPr>
        <w:t xml:space="preserve">Phase 4 — </w:t>
      </w:r>
      <w:r>
        <w:rPr>
          <w:b/>
          <w:bCs/>
          <w:sz w:val="26"/>
          <w:szCs w:val="26"/>
        </w:rPr>
        <w:t xml:space="preserve">run_week() Orchestrator</w:t>
      </w:r>
    </w:p>
    <w:p>
      <w:pPr>
        <w:spacing w:after="140"/>
      </w:pPr>
      <w:r>
        <w:rPr>
          <w:i/>
          <w:iCs/>
        </w:rPr>
        <w:t xml:space="preserve">File: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backend/run_week.py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Wires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stub_gather_week → check_reviews → stub_score_themes → analyze_week → HindsightMemory.store_week</w:t>
      </w:r>
      <w:r>
        <w:t xml:space="preserve">, returning one results dict for the 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Gatherer/Scorer stubs use the agreed interfaces, so swapping in the real teammate modules later is a one-line change.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375623"/>
        </w:rPr>
        <w:t xml:space="preserve">Verified: </w:t>
      </w:r>
      <w:r>
        <w:t xml:space="preserve">Ran end-to-end on the mock week-1 dataset: 6/12 rejected (matches Phase 1), 3 themes found and scored with sensible relative prioritization — login issues: -5 (most urgent, 3 mentions), loading speed: -3 (real problem, less urgent), dark mode: +2 (mild strength, 1 mention). Result was also stored back into Hindsight for next week's recall.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833C00"/>
        </w:rPr>
        <w:t xml:space="preserve">Needed before integration: </w:t>
      </w:r>
      <w:r>
        <w:t xml:space="preserve">Real Gatherer and Scorer module signatures for final integration; stubbed until those teammates push.</w:t>
      </w:r>
    </w:p>
    <w:p>
      <w:pPr>
        <w:pStyle w:val="Heading1"/>
        <w:spacing w:after="160" w:before="320"/>
      </w:pPr>
      <w:r>
        <w:t xml:space="preserve">Docker Setup &amp; Verification</w:t>
      </w:r>
    </w:p>
    <w:p>
      <w:pPr>
        <w:spacing w:after="120"/>
      </w:pPr>
      <w:r>
        <w:t xml:space="preserve">backend/Dockerfile</w:t>
      </w:r>
      <w:r>
        <w:t xml:space="preserve"> (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python:3.12-slim</w:t>
      </w:r>
      <w:r>
        <w:t xml:space="preserve">, installs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requirements.txt</w:t>
      </w:r>
      <w:r>
        <w:t xml:space="preserve">) plus a root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docker-compose.yml</w:t>
      </w:r>
      <w:r>
        <w:t xml:space="preserve">, so teammates can run the backend without installing Python or pip locally.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444444"/>
          <w:sz w:val="21"/>
          <w:szCs w:val="21"/>
        </w:rPr>
        <w:t xml:space="preserve">docker compose build</w:t>
      </w:r>
      <w:r>
        <w:t xml:space="preserve"> — image builds cleanly, all dependencies (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hindsight-client</w:t>
      </w:r>
      <w:r>
        <w:t xml:space="preserve">,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groq</w:t>
      </w:r>
      <w:r>
        <w:t xml:space="preserve">) resolve with no conflicts.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Running with no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.env</w:t>
      </w:r>
      <w:r>
        <w:t xml:space="preserve"> present — container still starts (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required: false</w:t>
      </w:r>
      <w:r>
        <w:t xml:space="preserve"> on the env file in docker-compose.yml) and the app itself raises a clear “Missing API key(s)” error instead of Docker failing to start.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Running with real keys passed as ephemeral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-e</w:t>
      </w:r>
      <w:r>
        <w:t xml:space="preserve"> env vars (never written to disk) — the full Hindsight store/recall round trip succeeded inside the container.</w:t>
      </w:r>
    </w:p>
    <w:p>
      <w:pPr>
        <w:pStyle w:val="Heading1"/>
        <w:spacing w:after="160" w:before="320"/>
      </w:pPr>
      <w:r>
        <w:t xml:space="preserve">Secrets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keys live in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keys.csv</w:t>
      </w:r>
      <w:r>
        <w:t xml:space="preserve"> (gitignored) — Groq and Hindsight Cloud API keys — never committed.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Docker: copy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.env</w:t>
      </w:r>
      <w:r>
        <w:t xml:space="preserve"> and fill in real values (also gitignored).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backend/config.py</w:t>
      </w:r>
      <w:r>
        <w:t xml:space="preserve"> reads real environment variables first, falling back to </w:t>
      </w:r>
      <w:r>
        <w:rPr>
          <w:rFonts w:ascii="Consolas" w:cs="Consolas" w:eastAsia="Consolas" w:hAnsi="Consolas"/>
          <w:color w:val="444444"/>
          <w:sz w:val="21"/>
          <w:szCs w:val="21"/>
        </w:rPr>
        <w:t xml:space="preserve">keys.csv</w:t>
      </w:r>
      <w:r>
        <w:t xml:space="preserve"> for local non-Docker development.</w:t>
      </w:r>
    </w:p>
    <w:p>
      <w:pPr>
        <w:pStyle w:val="Heading1"/>
        <w:spacing w:after="160" w:before="320"/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Folder scaffolded, flow diagram received and mapped to code 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build and run verified end-to-end.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 — Checker: complete.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 — Hindsight memory layer: complete.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3 — Analyst + shared Groq helper: complete.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4 — run_week() orchestrator: complete, verified end-to-end.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i/>
          <w:iCs/>
        </w:rPr>
        <w:t xml:space="preserve">Not started: swap stubbed Gatherer/Scorer for teammates' real modules once pushed; end-to-end test across all 4 demo weeks; dashboard hookup.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2026-09-29T03:34:59.533Z</dcterms:created>
  <dcterms:modified xsi:type="dcterms:W3CDTF">2026-09-29T03:34:59.535Z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