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SistemaRural-PE — Avance del desafío (Evaluación Parcial, semana 6)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7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Título del desafío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SistemaRural-PE: Diseño de software multiparadigma para la gestión de establecimientos de salud en zonas rurales del Perú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Lenguajes de Programación (UAIN1288P)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Tipo de entregable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Avance del desafío — Evaluación Parcial (EP), hasta semana 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Institución del caso aplicado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Puesto de Salud Mushit — distrito de Chugay, provincia Sánchez Carrión, La Libertad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 1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Fabrizio [completar apellido]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[Nombre completo]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[Nombre completo]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 4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[Nombre completo]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 5</w:t>
            </w:r>
          </w:p>
        </w:tc>
        <w:tc>
          <w:tcPr>
            <w:tcW w:type="dxa" w:w="7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[Nombre completo]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1. Definición y delimitación del reto</w:t>
      </w:r>
    </w:p>
    <w:p>
      <w:pPr>
        <w:pStyle w:val="Heading2"/>
        <w:spacing w:after="100" w:before="200"/>
      </w:pPr>
      <w:r>
        <w:t xml:space="preserve">1.1 Institución y contexto del problema</w:t>
      </w:r>
    </w:p>
    <w:p>
      <w:pPr>
        <w:spacing w:after="120"/>
      </w:pPr>
      <w:r>
        <w:t xml:space="preserve">El caso aplicado se centra en el Puesto de Salud Mushit, ubicado en el distrito de Chugay, provincia de Sánchez Carrión, región La Libertad (categoría I-1). Chugay es uno de los ocho distritos de la provincia, situado a 50 km de Huamachuco, con una población aproximada de 18 000–20 000 habitantes dedicados principalmente a la agricultura, distribuida en 110 centros poblados dispersos sobre 416.31 km² (Wikipedia, s.f.-a).</w:t>
      </w:r>
    </w:p>
    <w:p>
      <w:pPr>
        <w:spacing w:after="120"/>
      </w:pPr>
      <w:r>
        <w:t xml:space="preserve">La brecha digital de la zona está documentada: en 2019, solo el 12.5% de las municipalidades de la provincia de Sánchez Carrión contaba con computadoras funcionales (Instituto Tecnológico de la Producción [ITP], s.f.). Además, la Red de Salud Sánchez Carrión debe desplazar brigadas itinerantes a centros poblados alejados como Cochabamba y Uchubamba para atender a la población dispersa, lo que evidencia la necesidad de un sistema capaz de registrar atenciones tanto en el puesto fijo como en campañas móviles (Gobierno Regional de La Libertad, 2020).</w:t>
      </w:r>
    </w:p>
    <w:p>
      <w:pPr>
        <w:spacing w:after="120"/>
      </w:pPr>
      <w:r>
        <w:rPr>
          <w:i/>
          <w:iCs/>
        </w:rPr>
        <w:t xml:space="preserve">Nota metodológica: los datos distritales citados arriba son públicos y verificables. Los datos operativos específicos del puesto (responsable actual, volumen exacto de atenciones semanales, existencia o no de algún registro digital parcial) no son de acceso público y se tratan en este informe como supuestos razonables — de la misma manera en que el enunciado del desafío trata el caso ilustrativo "Santa Rosa". Se recomienda validarlos con una consulta directa a la Red de Salud Sánchez Carrión antes de la entrega final.</w:t>
      </w:r>
    </w:p>
    <w:p>
      <w:pPr>
        <w:pStyle w:val="Heading2"/>
        <w:spacing w:after="100" w:before="200"/>
      </w:pPr>
      <w:r>
        <w:t xml:space="preserve">1.2 Requisitos funcionales (RF)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RF1 — Registrar pacientes con datos básicos (documento, nombre, edad, centro poblado, afiliación SIS).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RF2 — Agendar y gestionar citas médicas evitando duplicidad de horario.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RF3 — Registrar el historial básico de atenciones por paciente (consultas, vacunas, controles).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RF4 — Generar reportes de atención (diario/semanal) para la Red de Salud Sánchez Carrión.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RF5 — Registrar atenciones vinculadas a campañas/brigadas de salud en centros poblados alejados.</w:t>
      </w:r>
    </w:p>
    <w:p>
      <w:pPr>
        <w:pStyle w:val="Heading2"/>
        <w:spacing w:after="100" w:before="200"/>
      </w:pPr>
      <w:r>
        <w:t xml:space="preserve">1.3 Requisitos no funcionales (RNF)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RNF1 — Operar en modo local/offline, dada la conectividad limitada de la zona (disponibilidad).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RNF2 — Proteger los datos personales sin exponerlos en texto plano (seguridad / Ley N.° 29733).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RNF3 — Ofrecer una interfaz usable por personal con conocimientos técnicos básicos (usabilidad).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RNF4 — Responder en menos de 2 segundos al registrar o consultar un paciente (rendimiento).</w:t>
      </w:r>
    </w:p>
    <w:p>
      <w:pPr>
        <w:pStyle w:val="Heading2"/>
        <w:spacing w:after="100" w:before="200"/>
      </w:pPr>
      <w:r>
        <w:t xml:space="preserve">1.4 Restricciones de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de herramientas de código abierto: Python 3.x o Java OpenJDK,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Cumplimiento de la Ley N.° 29733, Ley de Protección de Datos Personales (consentimiento, finalidad, no texto plano).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funcionar en equipos de gama baja y sin conexión estable a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usados en desarrollo y demostraciones deben ser ficticios; nunca información real de pacientes.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formato de reporte debe ser compatible con lo que el puesto remite a la Red de Salud Sánchez Carrión.</w:t>
      </w:r>
    </w:p>
    <w:p>
      <w:pPr>
        <w:pStyle w:val="Heading2"/>
        <w:spacing w:after="100" w:before="200"/>
      </w:pPr>
      <w:r>
        <w:t xml:space="preserve">1.5 Criterios de éxito medibles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un paciente en menos de 1 minuto (frente a varios minutos en el cuaderno físico actual).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Cero citas duplicadas en el mismo horario.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el reporte semanal en menos de 5 segundos y sin errores de conteo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de los datos personales almacenados sin texto plano, verificable directamente en el código fuente.</w:t>
      </w:r>
    </w:p>
    <w:p>
      <w:pPr>
        <w:pStyle w:val="Heading1"/>
        <w:spacing w:after="150" w:before="300"/>
      </w:pPr>
      <w:r>
        <w:t xml:space="preserve">2. Planificación y ruta de trabajo del equipo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967"/>
        <w:gridCol w:w="3000"/>
      </w:tblGrid>
      <w:tr>
        <w:tc>
          <w:tcPr>
            <w:tcW w:type="dxa" w:w="15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967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Responsable(s)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S1–S2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Institución elegida; requisitos RF/RNF, restricciones y criterios de éxito definidos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 1 (Requisitos/Doc.)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Cronograma, roles y comparación de paradigmas cerrados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Prototipo de viabilidad (integración multiparadigma) ejecutado, con veredicto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 3 (Dev.)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Diagnóstico de riesgos y primer ciclo de retroalimentación documentado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 5 (QA)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EP (este avance)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S6–S7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de clases UML completo y patrones de diseño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 2 (Arquitectura)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Implementación completa (todos los RF/RNF) y pruebas automatizadas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Integrantes 3 y 4 (Dev.)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59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Informe consolidado, ensayo de sustentación y entrega EF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el equipo</w:t>
            </w:r>
          </w:p>
        </w:tc>
      </w:tr>
    </w:tbl>
    <w:p>
      <w:pPr>
        <w:pStyle w:val="Heading2"/>
        <w:spacing w:after="100" w:before="200"/>
      </w:pPr>
      <w:r>
        <w:t xml:space="preserve">2.1 Roles diferenciados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Integrante 1 — Levantamiento de requisitos y redacción/consolidación del informe.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Integrante 2 — Arquitectura del sistema y modelado UML.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Integrante 3 — Desarrollo backend (integración POO + programación funcional).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Integrante 4 — Desarrollo de la interfaz orientada a eventos e integración general.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Integrante 5 — Control de versiones (Git), pruebas automatizadas y calidad de código (SOLID/Clean Code).</w:t>
      </w:r>
    </w:p>
    <w:p>
      <w:pPr>
        <w:pStyle w:val="Heading2"/>
        <w:spacing w:after="100" w:before="200"/>
      </w:pPr>
      <w:r>
        <w:t xml:space="preserve">2.2 Dependencias y contingencia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diagrama UML (S6–S7) depende de que los requisitos y la selección de paradigmas (S1–S3) estén cerrados.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implementación completa (S7) depende del UML aprobado y del veredicto del prototipo de viabilidad (S4).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Contingencia: si la interfaz orientada a eventos resulta muy costosa en tiempo, se reemplaza por un menú de consola simple, documentando el cambio como riesgo mitigado.</w:t>
      </w:r>
    </w:p>
    <w:p>
      <w:pPr>
        <w:pStyle w:val="Heading1"/>
        <w:spacing w:after="150" w:before="300"/>
      </w:pPr>
      <w:r>
        <w:t xml:space="preserve">3. Fundamentación del enfoque de diseño y selección de paradigmas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3067"/>
      </w:tblGrid>
      <w:tr>
        <w:tc>
          <w:tcPr>
            <w:tcW w:type="dxa" w:w="1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W w:type="dxa" w:w="2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2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Desventaja</w:t>
            </w:r>
          </w:p>
        </w:tc>
        <w:tc>
          <w:tcPr>
            <w:tcW w:type="dxa" w:w="3067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en el sistema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Estructurado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 para lógica secuencial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escala con entidades relacionadas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Validaciones puntuales (formato de DNI)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Orientado a objetos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 naturalmente Paciente/Cita/Atención con herencia y encapsulamiento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Puede ser excesivo para transformar datos simples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Núcleo del sistema (RF1, RF3)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Ideal para filtrar/transformar colecciones sin efectos secundarios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Poco intuitivo para modelar estado persistente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Reportes y filtros por campaña (RF4, RF5)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Orientado a eventos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Responde de forma natural a acciones del usuario en la GUI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Complica el flujo si no está bien estructurado</w:t>
            </w:r>
          </w:p>
        </w:tc>
        <w:tc>
          <w:tcPr>
            <w:tcW w:type="dxa" w:w="30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Formularios e interacción (RNF3)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Selección justificada: la programación orientada a objetos se emplea como columna vertebral del sistema para modelar las entidades del dominio (RF1, RF3); la programación funcional se aplica en la generación de reportes y en el filtrado de atenciones por campaña (RF4, RF5); y la programación orientada a eventos se reserva para la interfaz gráfica que atiende el requisito de usabilidad (RNF3). Se descarta el paradigma estructurado como enfoque principal por su baja escalabilidad frente a un dominio con múltiples entidades relacionadas, aunque se reconoce su utilidad puntual en validaciones simples. La decisión queda trazada a cinco requisitos concretos del sistema.</w:t>
      </w:r>
    </w:p>
    <w:p>
      <w:pPr>
        <w:pStyle w:val="Heading1"/>
        <w:spacing w:after="150" w:before="300"/>
      </w:pPr>
      <w:r>
        <w:t xml:space="preserve">4. Validación de viabilidad del componente técnico más incierto</w:t>
      </w:r>
    </w:p>
    <w:p>
      <w:pPr>
        <w:spacing w:after="120"/>
      </w:pPr>
      <w:r>
        <w:t xml:space="preserve">El componente identificado como más incierto es la integración de los paradigmas orientado a objetos y funcional sobre las mismas clases de dominio, incluyendo el enmascaramiento de datos personales exigido por la Ley N.° 29733. Se construyó y ejecutó el siguiente prototipo: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dataclasses import dataclass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functools import reduce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Paciente: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dni, nombre, edad, centro_poblado):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self.__dni = dni  # encapsulamiento: atributo privado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self.nombre = nombre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self.edad = edad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self.centro_poblado = centro_poblado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def get_dni_enmascarado(self):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# Tratamiento de datos personales (Ley N.29733): nunca texto plano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self.__dni[:2] + "***" + self.__dni[-2:]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Atencion: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paciente, tipo, fecha, campana=None):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self.paciente = paciente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self.tipo = tipo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self.fecha = fecha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self.campana = campana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Datos de prueba 100% ficticios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pacientes =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Paciente("12345678", "Juana Ramos", 34, "Cochabamba"),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Paciente("87654321", "Pedro Ishpilco", 61, "Uchubamba"),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Paciente("11223344", "Rosa Chavez", 5, "Chugay Centro"),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atenciones =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Atencion(pacientes[0], "control prenatal", date(2026, 9, 8), campana="Cochabamba"),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Atencion(pacientes[1], "consulta general", date(2026, 9, 9), campana="Uchubamba"),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Atencion(pacientes[2], "vacunacion", date(2026, 9, 9), campana=None),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Programacion funcional: transformacion de colecciones (RF4, RF5)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atenciones_campana = list(filter(lambda a: a.campana is not None, atenciones))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reporte = list(map(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lambda a: f"{a.paciente.get_dni_enmascarado()} | {a.tipo} | brigada: {a.campana}",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atenciones_campana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total_campana = reduce(lambda acc, a: acc + 1, atenciones_campana, 0)</w:t>
      </w:r>
    </w:p>
    <w:p>
      <w:pPr>
        <w:spacing w:before="150"/>
      </w:pPr>
    </w:p>
    <w:p>
      <w:pPr>
        <w:spacing w:after="120"/>
      </w:pPr>
      <w:r>
        <w:rPr>
          <w:b/>
          <w:bCs/>
        </w:rPr>
        <w:t xml:space="preserve">Salida real de la ejecución: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 PRUEBA DE VIABILIDAD: integracion POO + Funcional 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 de atenciones registradas: 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Atenciones ligadas a brigadas itinerantes (filter):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Reporte generado con map() sobre la coleccion de Atencion: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- 12***78 | control prenatal | brigada: Cochabamba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- 87***21 | consulta general | brigada: Uchubamba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Verificacion de dato protegido (RNF - Ley 29733):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DNI real (interno, nunca expuesto): [privado]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DNI mostrado en reporte: 12***78</w:t>
      </w:r>
    </w:p>
    <w:p>
      <w:pPr>
        <w:spacing w:before="150"/>
      </w:pPr>
    </w:p>
    <w:p>
      <w:pPr>
        <w:spacing w:after="120"/>
      </w:pPr>
      <w:r>
        <w:t xml:space="preserve">Veredicto: viable. La programación orientada a objetos y la programación funcional se integran sin fricción en Python 3.x, y el enmascaramiento de datos personales funciona correctamente desde el propio diseño de la clase Paciente.</w:t>
      </w:r>
    </w:p>
    <w:p>
      <w:pPr>
        <w:spacing w:after="120"/>
      </w:pPr>
      <w:r>
        <w:t xml:space="preserve">Decisión derivada: se prioriza primero la consolidación del núcleo orientado a objetos y funcional (bajo riesgo, ya validado) y se deja la interfaz orientada a eventos para una etapa posterior, con el menú de consola ya definido como plan de contingencia en caso de restricción de tiempo.</w:t>
      </w:r>
    </w:p>
    <w:p>
      <w:pPr>
        <w:pStyle w:val="Heading1"/>
        <w:spacing w:after="150" w:before="300"/>
      </w:pPr>
      <w:r>
        <w:t xml:space="preserve">5. Diagnóstico de riesgos y autorregulación con retroalimentación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7"/>
      </w:tblGrid>
      <w:tr>
        <w:tc>
          <w:tcPr>
            <w:tcW w:type="dxa" w:w="5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 técnico</w:t>
            </w:r>
          </w:p>
        </w:tc>
        <w:tc>
          <w:tcPr>
            <w:tcW w:type="dxa" w:w="5467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 mitigación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interfaz orientada a eventos consume más tiempo del previsto.</w:t>
            </w:r>
          </w:p>
        </w:tc>
        <w:tc>
          <w:tcPr>
            <w:tcW w:type="dxa" w:w="5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 a menú de consola, ya documentado en el cronograma (sección 2.2).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Exposición accidental de datos personales en el código o en las pruebas.</w:t>
            </w:r>
          </w:p>
        </w:tc>
        <w:tc>
          <w:tcPr>
            <w:tcW w:type="dxa" w:w="5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Enmascaramiento obligatorio desde la clase Paciente, ya validado en el prototipo (sección 4).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Commits insuficientes en Git antes de la fecha de entrega.</w:t>
            </w:r>
          </w:p>
        </w:tc>
        <w:tc>
          <w:tcPr>
            <w:tcW w:type="dxa" w:w="5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Mínimo un commit por sesión de trabajo del equipo, no solo al cierre del proyecto.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Desacuerdos de diseño entre los cinco integrantes.</w:t>
            </w:r>
          </w:p>
        </w:tc>
        <w:tc>
          <w:tcPr>
            <w:tcW w:type="dxa" w:w="54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 de decisiones compartido, revisado en cada hito semanal del cronograma.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Ciclo de retroalimentación documentado: el resultado del prototipo de viabilidad (sección 4) modificó la prioridad original del plan de trabajo — se decidió posponer el desarrollo de la interfaz orientada a eventos y reforzar primero el núcleo de datos. Este ajuste debe quedar registrado como commit o como nueva versión del documento de plan, de modo que sea verificable en el historial del repositorio.</w:t>
      </w:r>
    </w:p>
    <w:p>
      <w:pPr>
        <w:pStyle w:val="Heading1"/>
        <w:spacing w:after="150" w:before="300"/>
      </w:pPr>
      <w:r>
        <w:t xml:space="preserve">Referencias</w:t>
      </w:r>
    </w:p>
    <w:p>
      <w:pPr>
        <w:spacing w:after="120"/>
      </w:pPr>
      <w:r>
        <w:t xml:space="preserve">Congreso de la República del Perú. (2011). Ley N.° 29733, Ley de Protección de Datos Personales. El Peruano. https://www.leyes.congreso.gob.pe/Documentos/Leyes/29733.pdf</w:t>
      </w:r>
    </w:p>
    <w:p>
      <w:pPr>
        <w:spacing w:after="120"/>
      </w:pPr>
      <w:r>
        <w:t xml:space="preserve">Gobierno Regional de La Libertad. (2020, 14 de septiembre). Sánchez Carrión: Red de Salud lleva más controles médicos al distrito de Chugay. http://www.regionlalibertad.gob.pe/NOTICIAS/regionales/12580-sanchez-carrion-red-de-salud-lleva-mas-controles-medicos-al-distrito-de-chugay</w:t>
      </w:r>
    </w:p>
    <w:p>
      <w:pPr>
        <w:spacing w:after="120"/>
      </w:pPr>
      <w:r>
        <w:t xml:space="preserve">Instituto Tecnológico de la Producción (ITP). (s.f.). Sánchez Carrión: Economía, salud, educación, hogares, demografía, gobierno, industrias, I+D y red CITE. https://data-peru.itp.gob.pe/profile/geo/sanchez-carrion</w:t>
      </w:r>
    </w:p>
    <w:p>
      <w:pPr>
        <w:spacing w:after="120"/>
      </w:pPr>
      <w:r>
        <w:t xml:space="preserve">Ministerio de Salud del Perú (MINSA). (2022). Política Nacional de Salud Digital del Perú. MINSA – Gobierno del Perú. https://www.gob.pe/minsa</w:t>
      </w:r>
    </w:p>
    <w:p>
      <w:pPr>
        <w:spacing w:after="120"/>
      </w:pPr>
      <w:r>
        <w:t xml:space="preserve">DePeru.com. (2026). Establecimientos de Salud - Minsa en la región La Libertad. https://www.deperu.com/salud-nacional/establecimiento-salud-minsa/la-libertad</w:t>
      </w:r>
    </w:p>
    <w:p>
      <w:pPr>
        <w:spacing w:after="120"/>
      </w:pPr>
      <w:r>
        <w:t xml:space="preserve">Wikipedia. (s.f.-a). Distrito de Chugay. En Wikipedia, la enciclopedia libre. https://es.wikipedia.org/wiki/Distrito_de_Chugay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2026-09-10T14:51:37.579Z</dcterms:created>
  <dcterms:modified xsi:type="dcterms:W3CDTF">2026-09-10T14:51:37.590Z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