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  <w:bookmarkStart w:id="1" w:name="_GoBack"/>
      <w:bookmarkEnd w:id="1"/>
    </w:p>
    <w:p w14:paraId="47FD1319" w14:textId="70C15DCA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11</w:t>
      </w:r>
      <w:r>
        <w:rPr>
          <w:rFonts w:eastAsia="MS Mincho"/>
          <w:noProof/>
          <w:szCs w:val="28"/>
          <w:lang w:eastAsia="ja-JP" w:bidi="hi-IN"/>
        </w:rPr>
        <w:t>.11</w:t>
      </w:r>
      <w:r>
        <w:rPr>
          <w:rFonts w:eastAsia="MS Mincho"/>
          <w:noProof/>
          <w:szCs w:val="28"/>
          <w:lang w:eastAsia="ja-JP" w:bidi="hi-IN"/>
        </w:rPr>
        <w:t xml:space="preserve">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 xml:space="preserve">Студент-заочник: </w:t>
      </w:r>
      <w:r>
        <w:rPr>
          <w:szCs w:val="28"/>
          <w:lang w:bidi="hi-IN"/>
        </w:rPr>
        <w:t>Пискарёв К.А</w:t>
      </w:r>
    </w:p>
    <w:p w14:paraId="08E78B94" w14:textId="168E2027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</w:t>
      </w:r>
      <w:r>
        <w:t>881072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4D9AC0D9" w14:textId="09B0789A" w:rsidR="008F5FCE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387092" w:history="1">
            <w:r w:rsidR="008F5FCE" w:rsidRPr="002875E2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8F5FCE">
              <w:rPr>
                <w:noProof/>
                <w:webHidden/>
              </w:rPr>
              <w:tab/>
            </w:r>
            <w:r w:rsidR="008F5FCE">
              <w:rPr>
                <w:noProof/>
                <w:webHidden/>
              </w:rPr>
              <w:fldChar w:fldCharType="begin"/>
            </w:r>
            <w:r w:rsidR="008F5FCE">
              <w:rPr>
                <w:noProof/>
                <w:webHidden/>
              </w:rPr>
              <w:instrText xml:space="preserve"> PAGEREF _Toc87387092 \h </w:instrText>
            </w:r>
            <w:r w:rsidR="008F5FCE">
              <w:rPr>
                <w:noProof/>
                <w:webHidden/>
              </w:rPr>
            </w:r>
            <w:r w:rsidR="008F5FCE">
              <w:rPr>
                <w:noProof/>
                <w:webHidden/>
              </w:rPr>
              <w:fldChar w:fldCharType="separate"/>
            </w:r>
            <w:r w:rsidR="008F5FCE">
              <w:rPr>
                <w:noProof/>
                <w:webHidden/>
              </w:rPr>
              <w:t>3</w:t>
            </w:r>
            <w:r w:rsidR="008F5FCE">
              <w:rPr>
                <w:noProof/>
                <w:webHidden/>
              </w:rPr>
              <w:fldChar w:fldCharType="end"/>
            </w:r>
          </w:hyperlink>
        </w:p>
        <w:p w14:paraId="44E52A49" w14:textId="2D06A922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3" w:history="1">
            <w:r w:rsidRPr="002875E2">
              <w:rPr>
                <w:rStyle w:val="a5"/>
                <w:noProof/>
              </w:rPr>
              <w:t>7.1 Описание функций, назначения и потенциальных пользователей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0A1D" w14:textId="021017C8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4" w:history="1">
            <w:r w:rsidRPr="002875E2">
              <w:rPr>
                <w:rStyle w:val="a5"/>
                <w:noProof/>
              </w:rPr>
              <w:t>7.2 Расчет затрат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BAFA" w14:textId="4E01F786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5" w:history="1">
            <w:r w:rsidRPr="002875E2">
              <w:rPr>
                <w:rStyle w:val="a5"/>
                <w:noProof/>
              </w:rPr>
              <w:t>7.3 Оценка экономического эффекта при разработке программного средства для свободной реализации на ИТ-рынке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543D455C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2F15CFC" w14:textId="78904A2A" w:rsidR="00BD0741" w:rsidRDefault="005C7A40" w:rsidP="004A197D">
      <w:pPr>
        <w:pStyle w:val="1"/>
        <w:spacing w:before="0"/>
      </w:pPr>
      <w:bookmarkStart w:id="2" w:name="_Toc87387092"/>
      <w:r w:rsidRPr="005C7A40">
        <w:lastRenderedPageBreak/>
        <w:t>7</w:t>
      </w:r>
      <w:r w:rsidR="00C06EF9" w:rsidRPr="00C06EF9">
        <w:t xml:space="preserve"> </w:t>
      </w:r>
      <w:r w:rsidR="006364DB">
        <w:t>ТЕХНИКО-ЭКОНОМИЧЕСКОЕ ОБОСНОВАНИЕ РАЗРАБОТКИ И ИСПОЛЬЗОВАНИЯ ПРОГРАММНОГО ОБЕСПЕЧЕНИЯ</w:t>
      </w:r>
      <w:bookmarkEnd w:id="2"/>
    </w:p>
    <w:p w14:paraId="3C0005B8" w14:textId="77777777" w:rsidR="006364DB" w:rsidRPr="006364DB" w:rsidRDefault="006364DB" w:rsidP="004A197D">
      <w:pPr>
        <w:jc w:val="both"/>
      </w:pPr>
    </w:p>
    <w:p w14:paraId="0D020403" w14:textId="31FB72F7" w:rsidR="009A6C14" w:rsidRDefault="005C7A40" w:rsidP="004A197D">
      <w:pPr>
        <w:pStyle w:val="2"/>
        <w:spacing w:before="0"/>
      </w:pPr>
      <w:bookmarkStart w:id="3" w:name="_Toc87387093"/>
      <w:r w:rsidRPr="005C7A40">
        <w:t>7</w:t>
      </w:r>
      <w:r w:rsidR="00C06EF9">
        <w:t xml:space="preserve">.1 </w:t>
      </w:r>
      <w:r w:rsidR="005A24EB">
        <w:t>Описание функций, назначения и потенциальных пользователей программного средства</w:t>
      </w:r>
      <w:bookmarkEnd w:id="3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2A14B9F8" w:rsidR="00BC5F7C" w:rsidRDefault="0001600B" w:rsidP="004A197D">
      <w:pPr>
        <w:ind w:firstLine="708"/>
        <w:jc w:val="both"/>
      </w:pPr>
      <w:r>
        <w:t xml:space="preserve">Программное средство разрабатывается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4E2F510D" w:rsidR="005A24EB" w:rsidRDefault="005C7A40" w:rsidP="004A197D">
      <w:pPr>
        <w:pStyle w:val="2"/>
        <w:spacing w:before="0"/>
      </w:pPr>
      <w:bookmarkStart w:id="4" w:name="_Toc87387094"/>
      <w:r w:rsidRPr="005C7A40">
        <w:t>7</w:t>
      </w:r>
      <w:r w:rsidR="005A24EB">
        <w:t>.2 Расчет затрат на разработку программного средства</w:t>
      </w:r>
      <w:bookmarkEnd w:id="4"/>
    </w:p>
    <w:p w14:paraId="0E4D2517" w14:textId="782F1C75" w:rsidR="005A24EB" w:rsidRDefault="005A24EB" w:rsidP="004A197D">
      <w:pPr>
        <w:jc w:val="both"/>
      </w:pPr>
    </w:p>
    <w:p w14:paraId="5562B0C2" w14:textId="0E4618F9" w:rsidR="00207A7B" w:rsidRDefault="00207A7B" w:rsidP="004A197D">
      <w:pPr>
        <w:ind w:firstLine="708"/>
        <w:jc w:val="both"/>
      </w:pPr>
      <w:r>
        <w:t>Затраты на разработку программного средства включают в себя следующие статьи:</w:t>
      </w:r>
    </w:p>
    <w:p w14:paraId="5E1A41D6" w14:textId="50065310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666450F4" w:rsidR="009F47D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разработчи</w:t>
      </w:r>
      <w:r w:rsidR="00364321">
        <w:t>ка</w:t>
      </w:r>
    </w:p>
    <w:p w14:paraId="140835BD" w14:textId="71C8FB00" w:rsidR="009F47D1" w:rsidRDefault="009F47D1" w:rsidP="004A197D">
      <w:pPr>
        <w:ind w:firstLine="708"/>
        <w:jc w:val="both"/>
      </w:pPr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0F7EA0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0F7EA0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21109805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 разработке веб-приложения будет учувствовать один</w:t>
      </w:r>
      <w:r w:rsidR="00364321">
        <w:rPr>
          <w:rFonts w:eastAsiaTheme="minorEastAsia"/>
        </w:rPr>
        <w:t xml:space="preserve"> исполнитель.</w:t>
      </w:r>
    </w:p>
    <w:p w14:paraId="336DB756" w14:textId="1377BABE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0681C2E5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>Таблица 1.1 – Расчет затрат на основную заработную плату разработчика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619"/>
        <w:gridCol w:w="1892"/>
        <w:gridCol w:w="1418"/>
        <w:gridCol w:w="1417"/>
        <w:gridCol w:w="1276"/>
        <w:gridCol w:w="1269"/>
      </w:tblGrid>
      <w:tr w:rsidR="008836DD" w14:paraId="7E63D6C2" w14:textId="77777777" w:rsidTr="000D51B2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619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892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0D51B2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642AAF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619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892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642AAF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619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892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642AAF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619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892" w:type="dxa"/>
          </w:tcPr>
          <w:p w14:paraId="347D005E" w14:textId="1775C096" w:rsidR="000D51B2" w:rsidRDefault="000D51B2" w:rsidP="000D51B2">
            <w:pPr>
              <w:jc w:val="both"/>
            </w:pPr>
            <w:r>
              <w:t>Тестирование программного средства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6C95F2D3" w:rsidR="000D51B2" w:rsidRDefault="000D51B2" w:rsidP="000D51B2">
            <w:pPr>
              <w:jc w:val="both"/>
            </w:pPr>
            <w:r>
              <w:t>Итого затраты на основную заработную плату разработчика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0F7EA0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0F7EA0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0F7EA0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</m:t>
        </m:r>
        <m:r>
          <w:rPr>
            <w:rFonts w:ascii="Cambria Math" w:eastAsiaTheme="minorEastAsia" w:hAnsi="Cambria Math"/>
          </w:rPr>
          <m:t xml:space="preserve">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5C7A40">
        <w:rPr>
          <w:b/>
          <w:lang w:val="en-US"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0F7EA0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393D6412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(35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0CED476C" w:rsidR="008617CD" w:rsidRDefault="000F7EA0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3823.75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650.03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2388.4</m:t>
          </m:r>
          <m:r>
            <w:rPr>
              <w:rFonts w:ascii="Cambria Math" w:hAnsi="Cambria Math"/>
            </w:rPr>
            <m:t>1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5C7A40">
        <w:rPr>
          <w:b/>
          <w:lang w:val="en-US"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6D0A0B7A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>программного обеспечения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0F7EA0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0052E13C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затрат, рекомендуется брать в пределах 100-150%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1A8FA67C" w:rsidR="00DA24F3" w:rsidRDefault="00DA24F3" w:rsidP="004A197D">
      <w:pPr>
        <w:ind w:firstLine="708"/>
        <w:jc w:val="both"/>
        <w:rPr>
          <w:rFonts w:eastAsiaTheme="minorEastAsia"/>
        </w:rPr>
      </w:pPr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eastAsiaTheme="minorEastAsia" w:hAnsi="Cambria Math"/>
          </w:rPr>
          <m:t>=135%</m:t>
        </m:r>
      </m:oMath>
      <w:r>
        <w:rPr>
          <w:rFonts w:eastAsiaTheme="minorEastAsia"/>
        </w:rPr>
        <w:t xml:space="preserve"> и рассчитаем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01BB4B0F" w:rsidR="00DA24F3" w:rsidRDefault="000F7EA0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7873.875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7F90D11E" w:rsidR="00DA24F3" w:rsidRDefault="00DA24F3" w:rsidP="004A197D">
      <w:pPr>
        <w:ind w:firstLine="709"/>
        <w:jc w:val="both"/>
      </w:pPr>
      <w:r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04D74C1B" w:rsidR="00DF2C26" w:rsidRPr="00DA24F3" w:rsidRDefault="00DF2C26" w:rsidP="004A197D">
      <w:pPr>
        <w:jc w:val="both"/>
      </w:pPr>
      <w:r>
        <w:t xml:space="preserve">Таблица 1.2 – </w:t>
      </w:r>
      <w:r w:rsidR="00323C25">
        <w:t>Затраты на разработку программного 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1DA49E61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2388.41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3627150C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17086.31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594031E1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987350">
        <w:rPr>
          <w:color w:val="000000"/>
          <w:szCs w:val="28"/>
        </w:rPr>
        <w:t>17086.31</w:t>
      </w:r>
      <w:r w:rsidR="00987350">
        <w:rPr>
          <w:color w:val="000000"/>
          <w:szCs w:val="28"/>
        </w:rPr>
        <w:t xml:space="preserve"> </w:t>
      </w:r>
      <w:r>
        <w:t>руб.</w:t>
      </w:r>
    </w:p>
    <w:p w14:paraId="774F19A2" w14:textId="77777777" w:rsidR="00323C25" w:rsidRPr="00DA24F3" w:rsidRDefault="00323C25" w:rsidP="004A197D">
      <w:pPr>
        <w:jc w:val="both"/>
      </w:pPr>
    </w:p>
    <w:p w14:paraId="1E20A9ED" w14:textId="137448AB" w:rsidR="005A24EB" w:rsidRDefault="005C7A40" w:rsidP="004A197D">
      <w:pPr>
        <w:pStyle w:val="2"/>
        <w:spacing w:before="0"/>
      </w:pPr>
      <w:bookmarkStart w:id="5" w:name="_Toc87387095"/>
      <w:r w:rsidRPr="005C7A40">
        <w:t>7</w:t>
      </w:r>
      <w:r w:rsidR="005A24EB">
        <w:t>.3 Оценка экономического эффекта при разработке программного средства для свободной реализации на ИТ-рынке</w:t>
      </w:r>
      <w:bookmarkEnd w:id="5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5C7A40">
        <w:rPr>
          <w:b/>
          <w:lang w:val="en-US"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2DFACF34" w:rsidR="008829F8" w:rsidRPr="008829F8" w:rsidRDefault="004540A2" w:rsidP="004A197D">
      <w:pPr>
        <w:ind w:firstLine="708"/>
        <w:jc w:val="both"/>
      </w:pPr>
      <w:r w:rsidRPr="004540A2">
        <w:lastRenderedPageBreak/>
        <w:t>Экономический эффект организации-разработчика программного обеспечения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ПО </w:t>
      </w:r>
      <w:proofErr w:type="gramStart"/>
      <w:r w:rsidR="00B36450">
        <w:t>на рынке</w:t>
      </w:r>
      <w:proofErr w:type="gramEnd"/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>Ц – цена реализации ПО заказчику</w:t>
      </w:r>
      <w:r>
        <w:t xml:space="preserve">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>НДС – сумма налога на добавленную стоимость</w:t>
      </w:r>
      <w:r>
        <w:t xml:space="preserve">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420332" w:rsidRDefault="00420332" w:rsidP="004A197D">
      <w:pPr>
        <w:ind w:left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>– сумма расходов на разработку и реализацию ПО</w:t>
      </w:r>
      <w:r>
        <w:rPr>
          <w:lang w:val="en-US"/>
        </w:rPr>
        <w:t xml:space="preserve">, </w:t>
      </w:r>
      <w:proofErr w:type="spellStart"/>
      <w:r>
        <w:t>руб</w:t>
      </w:r>
      <w:proofErr w:type="spellEnd"/>
      <w:r>
        <w:rPr>
          <w:lang w:val="en-US"/>
        </w:rPr>
        <w:t>.</w:t>
      </w:r>
    </w:p>
    <w:p w14:paraId="469D4408" w14:textId="1A0E0A47" w:rsidR="00F304C7" w:rsidRDefault="00F304C7" w:rsidP="004A197D"/>
    <w:p w14:paraId="27AD118C" w14:textId="634E035E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987350">
        <w:t>1</w:t>
      </w:r>
      <w:r w:rsidR="00290D78">
        <w:t>800</w:t>
      </w:r>
      <w:r w:rsidR="00EC371F">
        <w:t xml:space="preserve"> в 2021</w:t>
      </w:r>
      <w:r w:rsidR="00290D78">
        <w:t xml:space="preserve">, </w:t>
      </w:r>
      <w:r w:rsidR="00987350">
        <w:t>10</w:t>
      </w:r>
      <w:r w:rsidR="00290D78">
        <w:t xml:space="preserve">00 в 2022, </w:t>
      </w:r>
      <w:r w:rsidR="00987350">
        <w:t>6</w:t>
      </w:r>
      <w:r w:rsidR="00290D78">
        <w:t>00 в 2023</w:t>
      </w:r>
      <w:r w:rsidR="00EC371F">
        <w:t xml:space="preserve">. Общее количество реализуемых подписок равно </w:t>
      </w:r>
      <w:r w:rsidR="00987350">
        <w:t>3400</w:t>
      </w:r>
      <w:r w:rsidR="00EC371F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622737" w:rsidRDefault="00EC371F" w:rsidP="004A197D">
      <w:pPr>
        <w:rPr>
          <w:rFonts w:eastAsiaTheme="minorEastAsia"/>
          <w:lang w:val="en-US"/>
        </w:rPr>
      </w:pPr>
    </w:p>
    <w:p w14:paraId="3ECBA0D2" w14:textId="28CBF618" w:rsidR="00622737" w:rsidRPr="00622737" w:rsidRDefault="00622737" w:rsidP="004A197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</w:t>
      </w:r>
      <w:r>
        <w:t>алог на добавленную стоимость</w:t>
      </w:r>
      <w:r>
        <w:t>:</w:t>
      </w:r>
    </w:p>
    <w:p w14:paraId="18042C11" w14:textId="77777777" w:rsidR="005B60A5" w:rsidRDefault="005B60A5" w:rsidP="004A197D">
      <w:pPr>
        <w:jc w:val="both"/>
      </w:pPr>
    </w:p>
    <w:p w14:paraId="731B4E61" w14:textId="08C8D164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34</m:t>
            </m:r>
            <m:r>
              <w:rPr>
                <w:rFonts w:ascii="Cambria Math" w:hAnsi="Cambria Math"/>
                <w:lang w:val="en-US"/>
              </w:rPr>
              <m:t>00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100+</m:t>
            </m:r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14166.67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2ECD1641" w:rsidR="00EC371F" w:rsidRDefault="00B36450" w:rsidP="004A197D">
      <w:pPr>
        <w:ind w:firstLine="709"/>
        <w:jc w:val="both"/>
      </w:pPr>
      <w:r>
        <w:t>Рассчитаем прибыль</w:t>
      </w:r>
      <w:r>
        <w:t>, полученная разработчиком от реализации ПО на рынке</w:t>
      </w:r>
      <w:r>
        <w:t>:</w:t>
      </w:r>
    </w:p>
    <w:p w14:paraId="5B57313F" w14:textId="77777777" w:rsidR="00B36450" w:rsidRDefault="00B36450" w:rsidP="004A197D">
      <w:pPr>
        <w:jc w:val="both"/>
      </w:pPr>
    </w:p>
    <w:p w14:paraId="6B3B5A10" w14:textId="07354DD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34</m:t>
        </m:r>
        <m:r>
          <w:rPr>
            <w:rFonts w:ascii="Cambria Math" w:hAnsi="Cambria Math"/>
            <w:lang w:val="en-US"/>
          </w:rPr>
          <m:t>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14166.67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17086.31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53747.02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69649512" w:rsidR="0001600B" w:rsidRDefault="00EC343F" w:rsidP="004A197D">
      <w:pPr>
        <w:ind w:firstLine="709"/>
      </w:pPr>
      <w:r>
        <w:t xml:space="preserve">Далее рассчитываем рентабельности затрат на разработку ПО </w:t>
      </w:r>
      <w:proofErr w:type="spellStart"/>
      <w:r>
        <w:t>по</w:t>
      </w:r>
      <w:proofErr w:type="spellEnd"/>
      <w:r>
        <w:t xml:space="preserve">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601DF41E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53747.02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17086.31</m:t>
            </m:r>
          </m:den>
        </m:f>
        <m:r>
          <w:rPr>
            <w:rFonts w:ascii="Cambria Math" w:hAnsi="Cambria Math"/>
          </w:rPr>
          <m:t>*100%=</m:t>
        </m:r>
        <m:r>
          <w:rPr>
            <w:rFonts w:ascii="Cambria Math" w:hAnsi="Cambria Math"/>
          </w:rPr>
          <m:t>314.56</m:t>
        </m:r>
        <m:r>
          <w:rPr>
            <w:rFonts w:ascii="Cambria Math" w:hAnsi="Cambria Math"/>
          </w:rPr>
          <m:t xml:space="preserve">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05EC3C1B" w:rsidR="00EC343F" w:rsidRPr="0001600B" w:rsidRDefault="000A49CB" w:rsidP="004A197D">
      <w:pPr>
        <w:ind w:firstLine="709"/>
        <w:jc w:val="both"/>
      </w:pPr>
      <w:r>
        <w:lastRenderedPageBreak/>
        <w:t xml:space="preserve">Таким образом, при реализации </w:t>
      </w:r>
      <w:r w:rsidR="008F5FCE">
        <w:t>3400</w:t>
      </w:r>
      <w:r>
        <w:t xml:space="preserve"> </w:t>
      </w:r>
      <w:r>
        <w:t>подписок</w:t>
      </w:r>
      <w:r>
        <w:t xml:space="preserve"> программного продукта в течение </w:t>
      </w:r>
      <w:r w:rsidR="00290D78">
        <w:t>3 лет</w:t>
      </w:r>
      <w:r>
        <w:t xml:space="preserve"> по цене </w:t>
      </w:r>
      <w:r>
        <w:t>25</w:t>
      </w:r>
      <w:r>
        <w:t xml:space="preserve"> руб. разработчик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>53747.02</m:t>
        </m:r>
      </m:oMath>
      <w:r>
        <w:t xml:space="preserve"> руб. Рентабельность затрат на разработку программного средства равна </w:t>
      </w:r>
      <m:oMath>
        <m:r>
          <w:rPr>
            <w:rFonts w:ascii="Cambria Math" w:hAnsi="Cambria Math"/>
          </w:rPr>
          <m:t>314.56</m:t>
        </m:r>
      </m:oMath>
      <w:r>
        <w:t xml:space="preserve"> </w:t>
      </w:r>
      <w:r>
        <w:t>%.</w:t>
      </w:r>
      <w:r w:rsidR="00290D78">
        <w:t xml:space="preserve"> Следуя из этого, можно сказать, что проект экономически эффективен.</w:t>
      </w:r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1600B"/>
    <w:rsid w:val="00046163"/>
    <w:rsid w:val="000638C0"/>
    <w:rsid w:val="00074AB5"/>
    <w:rsid w:val="00084B05"/>
    <w:rsid w:val="000A49CB"/>
    <w:rsid w:val="000D51B2"/>
    <w:rsid w:val="000F5781"/>
    <w:rsid w:val="000F7EA0"/>
    <w:rsid w:val="001018D1"/>
    <w:rsid w:val="00110D7C"/>
    <w:rsid w:val="00190CB1"/>
    <w:rsid w:val="001D307A"/>
    <w:rsid w:val="00207A7B"/>
    <w:rsid w:val="00290D78"/>
    <w:rsid w:val="002F19DE"/>
    <w:rsid w:val="00317BF8"/>
    <w:rsid w:val="00323C25"/>
    <w:rsid w:val="003276D1"/>
    <w:rsid w:val="003450B7"/>
    <w:rsid w:val="00345422"/>
    <w:rsid w:val="00364321"/>
    <w:rsid w:val="003B100F"/>
    <w:rsid w:val="003E30BE"/>
    <w:rsid w:val="00420332"/>
    <w:rsid w:val="00452F89"/>
    <w:rsid w:val="004540A2"/>
    <w:rsid w:val="004A197D"/>
    <w:rsid w:val="004C64C8"/>
    <w:rsid w:val="004F6FD0"/>
    <w:rsid w:val="00594A7B"/>
    <w:rsid w:val="005A24EB"/>
    <w:rsid w:val="005A7BFB"/>
    <w:rsid w:val="005B60A5"/>
    <w:rsid w:val="005C7A40"/>
    <w:rsid w:val="006100F0"/>
    <w:rsid w:val="00622737"/>
    <w:rsid w:val="006364DB"/>
    <w:rsid w:val="00695726"/>
    <w:rsid w:val="00696E94"/>
    <w:rsid w:val="006E224F"/>
    <w:rsid w:val="006F706B"/>
    <w:rsid w:val="0070701A"/>
    <w:rsid w:val="0073541D"/>
    <w:rsid w:val="0076152A"/>
    <w:rsid w:val="007A57DC"/>
    <w:rsid w:val="007B3908"/>
    <w:rsid w:val="008617CD"/>
    <w:rsid w:val="008709E7"/>
    <w:rsid w:val="008829F8"/>
    <w:rsid w:val="008836DD"/>
    <w:rsid w:val="008F5FCE"/>
    <w:rsid w:val="00954DDB"/>
    <w:rsid w:val="00987350"/>
    <w:rsid w:val="009A6C14"/>
    <w:rsid w:val="009D157D"/>
    <w:rsid w:val="009F47D1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D0741"/>
    <w:rsid w:val="00BD57FD"/>
    <w:rsid w:val="00C059BE"/>
    <w:rsid w:val="00C06EF9"/>
    <w:rsid w:val="00C422C6"/>
    <w:rsid w:val="00CE57FD"/>
    <w:rsid w:val="00D42194"/>
    <w:rsid w:val="00D73AB4"/>
    <w:rsid w:val="00D87A42"/>
    <w:rsid w:val="00D93A2A"/>
    <w:rsid w:val="00DA24F3"/>
    <w:rsid w:val="00DD3827"/>
    <w:rsid w:val="00DF2C26"/>
    <w:rsid w:val="00E055FC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2CC6-8265-4936-8926-A9C8F1FA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7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24</cp:revision>
  <dcterms:created xsi:type="dcterms:W3CDTF">2021-11-06T11:09:00Z</dcterms:created>
  <dcterms:modified xsi:type="dcterms:W3CDTF">2021-11-09T18:51:00Z</dcterms:modified>
</cp:coreProperties>
</file>