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DFF68" w14:textId="1BA1AA7C" w:rsidR="00044435" w:rsidRDefault="00044435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\h \z \t "部分标题,1,二级标题,2,三级标题,3,四级标题,4"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anchor="_Toc191557398" w:history="1">
        <w:r w:rsidRPr="00B1183C">
          <w:rPr>
            <w:rStyle w:val="afc"/>
            <w:rFonts w:hint="eastAsia"/>
            <w:noProof/>
          </w:rPr>
          <w:t>1 公共说理与对支</w:t>
        </w:r>
        <w:r w:rsidRPr="00B1183C">
          <w:rPr>
            <w:rStyle w:val="afc"/>
            <w:rFonts w:hint="eastAsia"/>
            <w:noProof/>
          </w:rPr>
          <w:t>配</w:t>
        </w:r>
        <w:r w:rsidRPr="00B1183C">
          <w:rPr>
            <w:rStyle w:val="afc"/>
            <w:rFonts w:hint="eastAsia"/>
            <w:noProof/>
          </w:rPr>
          <w:t>的消解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_Toc191557398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3BFBB1" w14:textId="20148196" w:rsidR="00044435" w:rsidRDefault="00044435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1557399" w:history="1">
        <w:r w:rsidRPr="00B1183C">
          <w:rPr>
            <w:rStyle w:val="afc"/>
            <w:rFonts w:hint="eastAsia"/>
            <w:noProof/>
          </w:rPr>
          <w:t>1.1-1.2 市民公共领域作为“集合为公众的私人”（第三等级的私人）与“公权力”进行政治争锋的领域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_Toc191557399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1D339702" w14:textId="041027F3" w:rsidR="00044435" w:rsidRDefault="00044435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1557400" w:history="1">
        <w:r w:rsidRPr="00B1183C">
          <w:rPr>
            <w:rStyle w:val="afc"/>
            <w:rFonts w:hint="eastAsia"/>
            <w:noProof/>
          </w:rPr>
          <w:t>1.3-1.4 “公共说理”（das öffentliche Räsonnement）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_Toc191557400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34FC2B" w14:textId="5827FC26" w:rsidR="00044435" w:rsidRDefault="00044435">
      <w:pPr>
        <w:pStyle w:val="TOC4"/>
        <w:tabs>
          <w:tab w:val="right" w:leader="dot" w:pos="8296"/>
        </w:tabs>
        <w:ind w:left="1320"/>
        <w:rPr>
          <w:rFonts w:hint="eastAsia"/>
          <w:noProof/>
        </w:rPr>
      </w:pPr>
      <w:hyperlink w:anchor="_Toc191557401" w:history="1">
        <w:r w:rsidRPr="00B1183C">
          <w:rPr>
            <w:rStyle w:val="afc"/>
            <w:rFonts w:hint="eastAsia"/>
            <w:noProof/>
          </w:rPr>
          <w:t>1.5 第三等级以“公众性”原则消解“支配”本身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_Toc191557401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0EBAF2AA" w14:textId="1C336076" w:rsidR="00044435" w:rsidRDefault="00044435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557402" w:history="1">
        <w:r w:rsidRPr="00B1183C">
          <w:rPr>
            <w:rStyle w:val="afc"/>
            <w:rFonts w:hint="eastAsia"/>
            <w:noProof/>
          </w:rPr>
          <w:t>2 【小型家庭与公共说理】“公共说理”的自我理解受到了源自于“小型家庭这个亲密领域的与公众相关的主体性”的“私人经验”的指引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_Toc191557402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FC0C98" w14:textId="6559231D" w:rsidR="00044435" w:rsidRDefault="00044435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557403" w:history="1">
        <w:r w:rsidRPr="00B1183C">
          <w:rPr>
            <w:rStyle w:val="afc"/>
            <w:rFonts w:hint="eastAsia"/>
            <w:noProof/>
          </w:rPr>
          <w:t>3 从源自于“小型家庭的亲密领域”的“主体性”中，生长出了作为“公共说理的练习场”的“文学公共领域”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_Toc191557403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7BFCD5" w14:textId="4491E6DE" w:rsidR="00044435" w:rsidRDefault="00044435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557404" w:history="1">
        <w:r w:rsidRPr="00B1183C">
          <w:rPr>
            <w:rStyle w:val="afc"/>
            <w:rFonts w:hint="eastAsia"/>
            <w:noProof/>
          </w:rPr>
          <w:t>4 文学公共领域与</w:t>
        </w:r>
        <w:r w:rsidRPr="00B1183C">
          <w:rPr>
            <w:rStyle w:val="afc"/>
            <w:rFonts w:hint="eastAsia"/>
            <w:noProof/>
          </w:rPr>
          <w:t>代</w:t>
        </w:r>
        <w:r w:rsidRPr="00B1183C">
          <w:rPr>
            <w:rStyle w:val="afc"/>
            <w:rFonts w:hint="eastAsia"/>
            <w:noProof/>
          </w:rPr>
          <w:t>表性公共领域的连续性：宫廷-贵族的社交圈从宫廷转入城市，新市民阶层在这些社交圈中学到了公共说理的技艺，并将之运用于新兴的文学公共领域中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_Toc191557404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39F5A82" w14:textId="3CBECB04" w:rsidR="00044435" w:rsidRDefault="00044435">
      <w:pPr>
        <w:pStyle w:val="TOC3"/>
        <w:tabs>
          <w:tab w:val="right" w:leader="dot" w:pos="8296"/>
        </w:tabs>
        <w:ind w:left="880"/>
        <w:rPr>
          <w:rFonts w:hint="eastAsia"/>
          <w:noProof/>
        </w:rPr>
      </w:pPr>
      <w:hyperlink w:anchor="_Toc191557405" w:history="1">
        <w:r w:rsidRPr="00B1183C">
          <w:rPr>
            <w:rStyle w:val="afc"/>
            <w:rFonts w:hint="eastAsia"/>
            <w:noProof/>
          </w:rPr>
          <w:t>5 【含图表】18世纪诸社会领域的图式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_Toc191557405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249624" w14:textId="736012FA" w:rsidR="00044435" w:rsidRDefault="00044435" w:rsidP="00921453">
      <w:pPr>
        <w:pStyle w:val="a7"/>
      </w:pPr>
      <w:r>
        <w:rPr>
          <w:rFonts w:hint="eastAsia"/>
        </w:rPr>
        <w:fldChar w:fldCharType="end"/>
      </w:r>
    </w:p>
    <w:p w14:paraId="02A187DB" w14:textId="77777777" w:rsidR="00044435" w:rsidRDefault="00044435" w:rsidP="00921453">
      <w:pPr>
        <w:pStyle w:val="a7"/>
      </w:pPr>
    </w:p>
    <w:p w14:paraId="47227EED" w14:textId="10A0C490" w:rsidR="008B3609" w:rsidRDefault="008B3609" w:rsidP="00921453">
      <w:pPr>
        <w:pStyle w:val="a7"/>
        <w:rPr>
          <w:rFonts w:hint="eastAsia"/>
        </w:rPr>
      </w:pPr>
      <w:bookmarkStart w:id="0" w:name="_Toc191557398"/>
      <w:r>
        <w:rPr>
          <w:rFonts w:hint="eastAsia"/>
        </w:rPr>
        <w:t>1 公共说理与对支配的消解</w:t>
      </w:r>
      <w:bookmarkEnd w:id="0"/>
    </w:p>
    <w:p w14:paraId="0DEE2EF7" w14:textId="4E73AF8C" w:rsidR="004D31B5" w:rsidRDefault="004D31B5" w:rsidP="00921453">
      <w:pPr>
        <w:pStyle w:val="a9"/>
        <w:rPr>
          <w:rFonts w:hint="eastAsia"/>
        </w:rPr>
      </w:pPr>
      <w:bookmarkStart w:id="1" w:name="_Toc191557399"/>
      <w:r>
        <w:rPr>
          <w:rFonts w:hint="eastAsia"/>
        </w:rPr>
        <w:t>1.1-1.2 市民公共领域作为“集合为公众的私人”（第三等级的私人）与“公权力”进行政治争锋的领域</w:t>
      </w:r>
      <w:bookmarkEnd w:id="1"/>
    </w:p>
    <w:p w14:paraId="722B5CFC" w14:textId="0363277A" w:rsidR="00110BE8" w:rsidRDefault="00110BE8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1.1市民公共领域：集合为公众的私人的领域</w:t>
      </w:r>
    </w:p>
    <w:p w14:paraId="42990A05" w14:textId="097026C5" w:rsidR="00110BE8" w:rsidRDefault="00110BE8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1.2 这些私人利用“上级当局管制的公共领域”来反对公权力本身，以便影响国家对市民社会的政策【重要：</w:t>
      </w:r>
      <w:r w:rsidR="003364CB">
        <w:rPr>
          <w:rFonts w:hint="eastAsia"/>
        </w:rPr>
        <w:t>市民生活相对于政治生活的优先性</w:t>
      </w:r>
      <w:r>
        <w:rPr>
          <w:rFonts w:hint="eastAsia"/>
        </w:rPr>
        <w:t>】</w:t>
      </w:r>
    </w:p>
    <w:p w14:paraId="0041AC7F" w14:textId="3889C303" w:rsidR="004D31B5" w:rsidRDefault="004D31B5" w:rsidP="00921453">
      <w:pPr>
        <w:pStyle w:val="a9"/>
        <w:rPr>
          <w:rFonts w:hint="eastAsia"/>
        </w:rPr>
      </w:pPr>
      <w:bookmarkStart w:id="2" w:name="_Toc191557400"/>
      <w:r>
        <w:rPr>
          <w:rFonts w:hint="eastAsia"/>
        </w:rPr>
        <w:t>1.3-1.4 “公共说理”</w:t>
      </w:r>
      <w:r w:rsidRPr="004D31B5">
        <w:rPr>
          <w:rFonts w:hint="eastAsia"/>
        </w:rPr>
        <w:t xml:space="preserve">（das </w:t>
      </w:r>
      <w:r w:rsidRPr="00C45773">
        <w:rPr>
          <w:rFonts w:hint="eastAsia"/>
        </w:rPr>
        <w:t>öffentliche Räsonnement</w:t>
      </w:r>
      <w:r w:rsidRPr="004D31B5">
        <w:rPr>
          <w:rFonts w:hint="eastAsia"/>
        </w:rPr>
        <w:t>）</w:t>
      </w:r>
      <w:bookmarkEnd w:id="2"/>
    </w:p>
    <w:p w14:paraId="0EB6518C" w14:textId="39AB6B57" w:rsidR="004D31B5" w:rsidRDefault="00110BE8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 xml:space="preserve">1.3 </w:t>
      </w:r>
      <w:r w:rsidR="003466E9">
        <w:rPr>
          <w:rFonts w:hint="eastAsia"/>
        </w:rPr>
        <w:t>私人与公权力的政治冲突是以“公共说理”</w:t>
      </w:r>
      <w:bookmarkStart w:id="3" w:name="OLE_LINK1"/>
      <w:r w:rsidR="003466E9">
        <w:rPr>
          <w:rFonts w:hint="eastAsia"/>
        </w:rPr>
        <w:t xml:space="preserve">（das </w:t>
      </w:r>
      <w:r w:rsidR="003466E9" w:rsidRPr="00C45773">
        <w:t>öffentliche Räsonnement</w:t>
      </w:r>
      <w:r w:rsidR="003466E9">
        <w:rPr>
          <w:rFonts w:hint="eastAsia"/>
        </w:rPr>
        <w:t>）</w:t>
      </w:r>
      <w:bookmarkEnd w:id="3"/>
      <w:r w:rsidR="003466E9">
        <w:rPr>
          <w:rFonts w:hint="eastAsia"/>
        </w:rPr>
        <w:t>为媒介的。</w:t>
      </w:r>
    </w:p>
    <w:p w14:paraId="7BB4B9B2" w14:textId="1615ED28" w:rsidR="003466E9" w:rsidRDefault="003466E9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1.4 “说理”一词的语义体现了私人和政府两方面的立场：（1）诉诸理性；（2）吹毛求疵</w:t>
      </w:r>
    </w:p>
    <w:p w14:paraId="4F9A072B" w14:textId="0EB980C6" w:rsidR="004D31B5" w:rsidRDefault="004D31B5" w:rsidP="00921453">
      <w:pPr>
        <w:pStyle w:val="a9"/>
        <w:rPr>
          <w:rFonts w:hint="eastAsia"/>
        </w:rPr>
      </w:pPr>
      <w:bookmarkStart w:id="4" w:name="_Toc191557401"/>
      <w:r>
        <w:rPr>
          <w:rFonts w:hint="eastAsia"/>
        </w:rPr>
        <w:t>1.5 第三等级以“公众性”原则消解“支配”本身</w:t>
      </w:r>
      <w:bookmarkEnd w:id="4"/>
    </w:p>
    <w:p w14:paraId="1467DB64" w14:textId="1DA7C43C" w:rsidR="003466E9" w:rsidRDefault="003466E9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1.5 “第三等级”（新市民阶层）和过去的“统治等级”不同，其诉求不是去参与或分担统治/支配</w:t>
      </w:r>
      <w:r w:rsidR="004D31B5">
        <w:rPr>
          <w:rFonts w:hint="eastAsia"/>
        </w:rPr>
        <w:t xml:space="preserve">。他们以“公众性”为“监管原则”（das </w:t>
      </w:r>
      <w:proofErr w:type="spellStart"/>
      <w:r w:rsidR="004D31B5">
        <w:rPr>
          <w:rFonts w:hint="eastAsia"/>
        </w:rPr>
        <w:t>Prinzip</w:t>
      </w:r>
      <w:proofErr w:type="spellEnd"/>
      <w:r w:rsidR="004D31B5">
        <w:rPr>
          <w:rFonts w:hint="eastAsia"/>
        </w:rPr>
        <w:t xml:space="preserve"> der </w:t>
      </w:r>
      <w:proofErr w:type="spellStart"/>
      <w:r w:rsidR="004D31B5">
        <w:rPr>
          <w:rFonts w:hint="eastAsia"/>
        </w:rPr>
        <w:t>Kontrolle</w:t>
      </w:r>
      <w:proofErr w:type="spellEnd"/>
      <w:r w:rsidR="004D31B5">
        <w:rPr>
          <w:rFonts w:hint="eastAsia"/>
        </w:rPr>
        <w:t xml:space="preserve">），替代“既定支配的原则”（das </w:t>
      </w:r>
      <w:proofErr w:type="spellStart"/>
      <w:r w:rsidR="004D31B5">
        <w:rPr>
          <w:rFonts w:hint="eastAsia"/>
        </w:rPr>
        <w:t>Prinzip</w:t>
      </w:r>
      <w:proofErr w:type="spellEnd"/>
      <w:r w:rsidR="004D31B5">
        <w:rPr>
          <w:rFonts w:hint="eastAsia"/>
        </w:rPr>
        <w:t xml:space="preserve"> der </w:t>
      </w:r>
      <w:proofErr w:type="spellStart"/>
      <w:r w:rsidR="004D31B5">
        <w:rPr>
          <w:rFonts w:hint="eastAsia"/>
        </w:rPr>
        <w:t>bestehenden</w:t>
      </w:r>
      <w:proofErr w:type="spellEnd"/>
      <w:r w:rsidR="004D31B5">
        <w:rPr>
          <w:rFonts w:hint="eastAsia"/>
        </w:rPr>
        <w:t xml:space="preserve"> Herrschaft），从而改变“支配”本身。</w:t>
      </w:r>
    </w:p>
    <w:p w14:paraId="456779F9" w14:textId="77777777" w:rsidR="004D31B5" w:rsidRDefault="004D31B5" w:rsidP="00921453">
      <w:pPr>
        <w:pStyle w:val="af6"/>
        <w:jc w:val="both"/>
        <w:rPr>
          <w:rFonts w:hint="eastAsia"/>
        </w:rPr>
      </w:pPr>
    </w:p>
    <w:p w14:paraId="1774000B" w14:textId="6403C93A" w:rsidR="004D31B5" w:rsidRDefault="00FB46F1" w:rsidP="00921453">
      <w:pPr>
        <w:pStyle w:val="a7"/>
        <w:rPr>
          <w:rFonts w:hint="eastAsia"/>
        </w:rPr>
      </w:pPr>
      <w:bookmarkStart w:id="5" w:name="_Toc191557402"/>
      <w:r>
        <w:rPr>
          <w:rFonts w:hint="eastAsia"/>
        </w:rPr>
        <w:t xml:space="preserve">2 </w:t>
      </w:r>
      <w:r w:rsidR="008B3609">
        <w:rPr>
          <w:rFonts w:hint="eastAsia"/>
        </w:rPr>
        <w:t>【小型家庭与公共说理】“公共说理”的自我理解受到了源自于“小型家庭这</w:t>
      </w:r>
      <w:r w:rsidR="008B3609">
        <w:rPr>
          <w:rFonts w:hint="eastAsia"/>
        </w:rPr>
        <w:lastRenderedPageBreak/>
        <w:t>个亲密领域的与公众相关的主体性”的“私人经验”的指引</w:t>
      </w:r>
      <w:bookmarkEnd w:id="5"/>
    </w:p>
    <w:p w14:paraId="7CD8A63B" w14:textId="56B4ED08" w:rsidR="00FB46F1" w:rsidRDefault="00FB46F1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2.1 只有对市民公共领域本身（尤其是如下事实，即作为公众在公共领域彼此来往的是私人）的分析，</w:t>
      </w:r>
      <w:r w:rsidRPr="00C45773">
        <w:rPr>
          <w:rFonts w:hint="eastAsia"/>
          <w:b/>
          <w:bCs/>
        </w:rPr>
        <w:t>“理性”的尺度和“法则”</w:t>
      </w:r>
      <w:r>
        <w:rPr>
          <w:rFonts w:hint="eastAsia"/>
        </w:rPr>
        <w:t>的形式的社会学意义才会得到揭示</w:t>
      </w:r>
    </w:p>
    <w:p w14:paraId="63E97C4D" w14:textId="3F4D7693" w:rsidR="00FB46F1" w:rsidRDefault="00FB46F1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2.2 公共说理的自我理解受到了“私人经验”的指引</w:t>
      </w:r>
    </w:p>
    <w:p w14:paraId="0F48DF88" w14:textId="20E2C948" w:rsidR="00FB46F1" w:rsidRDefault="00FB46F1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2.3 这种私人经验源自于</w:t>
      </w:r>
      <w:bookmarkStart w:id="6" w:name="OLE_LINK2"/>
      <w:r w:rsidR="00165521">
        <w:rPr>
          <w:rFonts w:hint="eastAsia"/>
        </w:rPr>
        <w:t>“小型家庭的亲密领域的与公众相关的主体性”</w:t>
      </w:r>
      <w:bookmarkEnd w:id="6"/>
    </w:p>
    <w:p w14:paraId="27E104D1" w14:textId="06D0463A" w:rsidR="00165521" w:rsidRDefault="00165521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2.4 现代意义上的私人性：“充实而自由的内在性”（</w:t>
      </w:r>
      <w:proofErr w:type="spellStart"/>
      <w:r>
        <w:rPr>
          <w:rFonts w:hint="eastAsia"/>
        </w:rPr>
        <w:t>gest</w:t>
      </w:r>
      <w:r w:rsidRPr="005225A7">
        <w:t>ättigte</w:t>
      </w:r>
      <w:proofErr w:type="spellEnd"/>
      <w:r w:rsidR="005225A7" w:rsidRPr="005225A7">
        <w:t xml:space="preserve"> und </w:t>
      </w:r>
      <w:proofErr w:type="spellStart"/>
      <w:r w:rsidR="005225A7" w:rsidRPr="005225A7">
        <w:t>freie</w:t>
      </w:r>
      <w:proofErr w:type="spellEnd"/>
      <w:r w:rsidR="005225A7" w:rsidRPr="005225A7">
        <w:t xml:space="preserve"> </w:t>
      </w:r>
      <w:proofErr w:type="spellStart"/>
      <w:r w:rsidR="005225A7" w:rsidRPr="005225A7">
        <w:t>Innerlichkeit</w:t>
      </w:r>
      <w:proofErr w:type="spellEnd"/>
      <w:r>
        <w:rPr>
          <w:rFonts w:hint="eastAsia"/>
        </w:rPr>
        <w:t>）</w:t>
      </w:r>
    </w:p>
    <w:p w14:paraId="78BA1696" w14:textId="46266201" w:rsidR="005225A7" w:rsidRDefault="005225A7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2.5 古代意义上的私人性：“</w:t>
      </w:r>
      <w:r w:rsidR="008B3609">
        <w:rPr>
          <w:rFonts w:hint="eastAsia"/>
        </w:rPr>
        <w:t>生活必需所强加的必然过程</w:t>
      </w:r>
      <w:r>
        <w:rPr>
          <w:rFonts w:hint="eastAsia"/>
        </w:rPr>
        <w:t>”</w:t>
      </w:r>
    </w:p>
    <w:p w14:paraId="682A6D74" w14:textId="0819EC27" w:rsidR="008B3609" w:rsidRDefault="008B3609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2.6 现代小型家庭产生的现代私人性之所以不同于古代的私人性，是因为“小型家庭的领域”与“社会再生产领域”分离</w:t>
      </w:r>
    </w:p>
    <w:p w14:paraId="438228FA" w14:textId="588105EC" w:rsidR="008B3609" w:rsidRPr="008B3609" w:rsidRDefault="008B3609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2.7 私人（</w:t>
      </w:r>
      <w:proofErr w:type="spellStart"/>
      <w:r>
        <w:rPr>
          <w:rFonts w:hint="eastAsia"/>
        </w:rPr>
        <w:t>Privatmann</w:t>
      </w:r>
      <w:proofErr w:type="spellEnd"/>
      <w:r>
        <w:rPr>
          <w:rFonts w:hint="eastAsia"/>
        </w:rPr>
        <w:t>）的地位结合了（1）商品占有者（所有者）和（2）家庭的父亲（“人”？）两类角色。</w:t>
      </w:r>
    </w:p>
    <w:p w14:paraId="1D366360" w14:textId="77777777" w:rsidR="008B3609" w:rsidRDefault="008B3609" w:rsidP="00921453">
      <w:pPr>
        <w:pStyle w:val="af6"/>
        <w:jc w:val="both"/>
        <w:rPr>
          <w:rFonts w:hint="eastAsia"/>
        </w:rPr>
      </w:pPr>
    </w:p>
    <w:p w14:paraId="115A3475" w14:textId="17191FC7" w:rsidR="008B3609" w:rsidRDefault="003F71A9" w:rsidP="00921453">
      <w:pPr>
        <w:pStyle w:val="a7"/>
        <w:rPr>
          <w:rFonts w:hint="eastAsia"/>
        </w:rPr>
      </w:pPr>
      <w:bookmarkStart w:id="7" w:name="_Toc191557403"/>
      <w:r>
        <w:rPr>
          <w:rFonts w:hint="eastAsia"/>
        </w:rPr>
        <w:t xml:space="preserve">3 </w:t>
      </w:r>
      <w:r w:rsidR="00E1053D">
        <w:rPr>
          <w:rFonts w:hint="eastAsia"/>
        </w:rPr>
        <w:t>从源自于“小型家庭的亲密领域”的“主体性”中，生长出了作为“公共说理的练习场”的“文学公共领域”</w:t>
      </w:r>
      <w:bookmarkEnd w:id="7"/>
    </w:p>
    <w:p w14:paraId="194C54CD" w14:textId="090530D1" w:rsidR="003F71A9" w:rsidRDefault="003F71A9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3.1 在政治公共领域形成前，源自于“小型家庭的亲密领域”的“主体性”形成了自己的公众，自己的公共领域即“文学公共领域”</w:t>
      </w:r>
    </w:p>
    <w:p w14:paraId="3ED8E561" w14:textId="785155FC" w:rsidR="003F71A9" w:rsidRDefault="003F71A9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 xml:space="preserve">3.2 </w:t>
      </w:r>
      <w:r w:rsidR="006955B3">
        <w:rPr>
          <w:rFonts w:hint="eastAsia"/>
        </w:rPr>
        <w:t>文学公共领域是“公共说理的练习场”</w:t>
      </w:r>
      <w:r w:rsidR="00E1053D">
        <w:rPr>
          <w:rFonts w:hint="eastAsia"/>
        </w:rPr>
        <w:t>，在这里，私人完成了对其新兴</w:t>
      </w:r>
      <w:r w:rsidR="00E1053D" w:rsidRPr="000569EF">
        <w:rPr>
          <w:rFonts w:hint="eastAsia"/>
          <w:b/>
          <w:bCs/>
        </w:rPr>
        <w:t>私人性</w:t>
      </w:r>
      <w:r w:rsidR="00E1053D">
        <w:rPr>
          <w:rFonts w:hint="eastAsia"/>
        </w:rPr>
        <w:t>的真正经验的自我启蒙。</w:t>
      </w:r>
    </w:p>
    <w:p w14:paraId="74BEA4C5" w14:textId="79E56688" w:rsidR="00E1053D" w:rsidRDefault="00E1053D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3.3 心理学（作为内在性的私人性）与政治经济学（市民社会的私人领域）作为18世纪的两大资产阶级科学/市民科学</w:t>
      </w:r>
    </w:p>
    <w:p w14:paraId="178854AA" w14:textId="5754DF1C" w:rsidR="00E1053D" w:rsidRDefault="00E1053D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 xml:space="preserve">3.4 文化的商品化让文化成为了富于讨论的对象（der </w:t>
      </w:r>
      <w:proofErr w:type="spellStart"/>
      <w:r>
        <w:rPr>
          <w:rFonts w:hint="eastAsia"/>
        </w:rPr>
        <w:t>diskussionsreife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Gegenstand</w:t>
      </w:r>
      <w:proofErr w:type="spellEnd"/>
      <w:r>
        <w:rPr>
          <w:rFonts w:hint="eastAsia"/>
        </w:rPr>
        <w:t>）</w:t>
      </w:r>
    </w:p>
    <w:p w14:paraId="14E2376E" w14:textId="77777777" w:rsidR="00E1053D" w:rsidRDefault="00E1053D" w:rsidP="00921453">
      <w:pPr>
        <w:pStyle w:val="af6"/>
        <w:jc w:val="both"/>
        <w:rPr>
          <w:rFonts w:hint="eastAsia"/>
        </w:rPr>
      </w:pPr>
    </w:p>
    <w:p w14:paraId="47D01D52" w14:textId="2C4F23F4" w:rsidR="00115DCB" w:rsidRPr="00CD56E8" w:rsidRDefault="0035563C" w:rsidP="00921453">
      <w:pPr>
        <w:pStyle w:val="a7"/>
        <w:rPr>
          <w:rStyle w:val="a8"/>
          <w:rFonts w:hint="eastAsia"/>
          <w:b/>
        </w:rPr>
      </w:pPr>
      <w:bookmarkStart w:id="8" w:name="_Toc191557404"/>
      <w:r w:rsidRPr="00CD56E8">
        <w:rPr>
          <w:rFonts w:hint="eastAsia"/>
        </w:rPr>
        <w:t xml:space="preserve">4 </w:t>
      </w:r>
      <w:r w:rsidR="00CD56E8" w:rsidRPr="00CD56E8">
        <w:rPr>
          <w:rFonts w:hint="eastAsia"/>
        </w:rPr>
        <w:t>文学公共领域与代表性公共领域的连续性：宫廷-</w:t>
      </w:r>
      <w:r w:rsidR="00CD56E8" w:rsidRPr="00CD56E8">
        <w:t>贵族的社交圈从宫廷转入城市，</w:t>
      </w:r>
      <w:r w:rsidR="00CD56E8" w:rsidRPr="00CD56E8">
        <w:rPr>
          <w:rFonts w:hint="eastAsia"/>
        </w:rPr>
        <w:t>新</w:t>
      </w:r>
      <w:r w:rsidR="00CD56E8" w:rsidRPr="00CD56E8">
        <w:rPr>
          <w:rStyle w:val="a8"/>
          <w:rFonts w:hint="eastAsia"/>
          <w:b/>
        </w:rPr>
        <w:t>市民阶层在这些社交</w:t>
      </w:r>
      <w:proofErr w:type="gramStart"/>
      <w:r w:rsidR="00CD56E8" w:rsidRPr="00CD56E8">
        <w:rPr>
          <w:rStyle w:val="a8"/>
          <w:rFonts w:hint="eastAsia"/>
          <w:b/>
        </w:rPr>
        <w:t>圈中学</w:t>
      </w:r>
      <w:proofErr w:type="gramEnd"/>
      <w:r w:rsidR="00CD56E8" w:rsidRPr="00CD56E8">
        <w:rPr>
          <w:rStyle w:val="a8"/>
          <w:rFonts w:hint="eastAsia"/>
          <w:b/>
        </w:rPr>
        <w:t>到了公共说理的技艺，并将之运用于新兴的文学公共领域中</w:t>
      </w:r>
      <w:bookmarkEnd w:id="8"/>
    </w:p>
    <w:p w14:paraId="5B117999" w14:textId="4395795C" w:rsidR="00115DCB" w:rsidRDefault="00115DCB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4.1 重商主义阶段，现代国家机器</w:t>
      </w:r>
      <w:r w:rsidR="00CD56E8">
        <w:rPr>
          <w:rFonts w:hint="eastAsia"/>
        </w:rPr>
        <w:t>独立于君主个人的领域</w:t>
      </w:r>
      <w:r>
        <w:rPr>
          <w:rFonts w:hint="eastAsia"/>
        </w:rPr>
        <w:t>，宫廷-贵族的社交圈与君主的宫廷分离，</w:t>
      </w:r>
      <w:r w:rsidR="00CD56E8">
        <w:rPr>
          <w:rFonts w:hint="eastAsia"/>
        </w:rPr>
        <w:t>转移入</w:t>
      </w:r>
      <w:r>
        <w:rPr>
          <w:rFonts w:hint="eastAsia"/>
        </w:rPr>
        <w:t>城市</w:t>
      </w:r>
    </w:p>
    <w:p w14:paraId="040D82D4" w14:textId="585DA9B8" w:rsidR="00115DCB" w:rsidRPr="00115DCB" w:rsidRDefault="00115DCB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4.2 在城市中，形成了</w:t>
      </w:r>
      <w:r w:rsidRPr="00115DCB">
        <w:rPr>
          <w:rFonts w:hint="eastAsia"/>
        </w:rPr>
        <w:t>“市民的前卫/先锋”从“受过教育的中间等级”那学来“公共说理的技艺”</w:t>
      </w:r>
    </w:p>
    <w:p w14:paraId="63E0C1E2" w14:textId="1B16D702" w:rsidR="007F276F" w:rsidRDefault="00115DCB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4.3</w:t>
      </w:r>
      <w:r w:rsidR="00CD56E8">
        <w:rPr>
          <w:rFonts w:hint="eastAsia"/>
        </w:rPr>
        <w:t xml:space="preserve"> 以“咖啡屋、沙龙和宴会”为制度的早期</w:t>
      </w:r>
      <w:r w:rsidR="00547E86">
        <w:rPr>
          <w:rFonts w:hint="eastAsia"/>
        </w:rPr>
        <w:t>文学</w:t>
      </w:r>
      <w:r w:rsidR="00CD56E8">
        <w:rPr>
          <w:rFonts w:hint="eastAsia"/>
        </w:rPr>
        <w:t>公共领域与“宫廷-贵族社交圈”中的“代表性公共领域”之间有连续性</w:t>
      </w:r>
    </w:p>
    <w:p w14:paraId="724949EA" w14:textId="77777777" w:rsidR="00547E86" w:rsidRDefault="00547E86" w:rsidP="00921453">
      <w:pPr>
        <w:pStyle w:val="af6"/>
        <w:jc w:val="both"/>
        <w:rPr>
          <w:rFonts w:hint="eastAsia"/>
        </w:rPr>
      </w:pPr>
    </w:p>
    <w:p w14:paraId="52308BAF" w14:textId="6E7EECFB" w:rsidR="00547E86" w:rsidRDefault="00547E86" w:rsidP="00825574">
      <w:pPr>
        <w:pStyle w:val="a7"/>
        <w:rPr>
          <w:rFonts w:hint="eastAsia"/>
        </w:rPr>
      </w:pPr>
      <w:bookmarkStart w:id="9" w:name="_Toc191557405"/>
      <w:r>
        <w:rPr>
          <w:rFonts w:hint="eastAsia"/>
        </w:rPr>
        <w:t>5 【含图表】</w:t>
      </w:r>
      <w:r w:rsidR="00825574">
        <w:rPr>
          <w:rFonts w:hint="eastAsia"/>
        </w:rPr>
        <w:t>18世纪诸社会领域的图式</w:t>
      </w:r>
      <w:bookmarkEnd w:id="9"/>
    </w:p>
    <w:p w14:paraId="08A89309" w14:textId="4AA053CB" w:rsidR="00547E86" w:rsidRDefault="005C59BE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5.1 18世纪市民公共领域的“大纲”可以图表形式呈现为“社会领域的图式”</w:t>
      </w:r>
    </w:p>
    <w:p w14:paraId="4AA8C37E" w14:textId="5FA39B8B" w:rsidR="005C59BE" w:rsidRDefault="005C59BE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5.2 国家-社会的基本分界线将“公共性的领域”（公权力）和“私人性的领域”</w:t>
      </w:r>
      <w:r w:rsidR="00921453" w:rsidRPr="00921453">
        <w:t xml:space="preserve">(der private </w:t>
      </w:r>
      <w:proofErr w:type="spellStart"/>
      <w:r w:rsidR="00921453" w:rsidRPr="00921453">
        <w:t>Bereich</w:t>
      </w:r>
      <w:proofErr w:type="spellEnd"/>
      <w:r w:rsidR="00921453" w:rsidRPr="00921453">
        <w:t>)</w:t>
      </w:r>
      <w:r>
        <w:rPr>
          <w:rFonts w:hint="eastAsia"/>
        </w:rPr>
        <w:t>分割开</w:t>
      </w:r>
    </w:p>
    <w:p w14:paraId="7185D5D5" w14:textId="62818775" w:rsidR="005C59BE" w:rsidRPr="00A01D4E" w:rsidRDefault="005C59BE" w:rsidP="00921453">
      <w:pPr>
        <w:pStyle w:val="af6"/>
        <w:jc w:val="both"/>
        <w:rPr>
          <w:rFonts w:hint="eastAsia"/>
          <w:lang w:val="de-DE"/>
        </w:rPr>
      </w:pPr>
      <w:r>
        <w:rPr>
          <w:rFonts w:hint="eastAsia"/>
        </w:rPr>
        <w:t xml:space="preserve">5.3 </w:t>
      </w:r>
      <w:r w:rsidR="00921453">
        <w:rPr>
          <w:rFonts w:hint="eastAsia"/>
        </w:rPr>
        <w:t xml:space="preserve">私人性的领域或保留给私人的领域（der den </w:t>
      </w:r>
      <w:proofErr w:type="spellStart"/>
      <w:r w:rsidR="00921453">
        <w:rPr>
          <w:rFonts w:hint="eastAsia"/>
        </w:rPr>
        <w:t>Privatleuten</w:t>
      </w:r>
      <w:proofErr w:type="spellEnd"/>
      <w:r w:rsidR="00921453">
        <w:rPr>
          <w:rFonts w:hint="eastAsia"/>
        </w:rPr>
        <w:t xml:space="preserve"> </w:t>
      </w:r>
      <w:proofErr w:type="spellStart"/>
      <w:r w:rsidR="00921453">
        <w:rPr>
          <w:rFonts w:hint="eastAsia"/>
        </w:rPr>
        <w:t>vorbehaltene</w:t>
      </w:r>
      <w:proofErr w:type="spellEnd"/>
      <w:r w:rsidR="00921453">
        <w:rPr>
          <w:rFonts w:hint="eastAsia"/>
        </w:rPr>
        <w:t xml:space="preserve"> </w:t>
      </w:r>
      <w:proofErr w:type="spellStart"/>
      <w:r w:rsidR="00921453">
        <w:rPr>
          <w:rFonts w:hint="eastAsia"/>
        </w:rPr>
        <w:t>Bereich</w:t>
      </w:r>
      <w:proofErr w:type="spellEnd"/>
      <w:r w:rsidR="00921453">
        <w:rPr>
          <w:rFonts w:hint="eastAsia"/>
        </w:rPr>
        <w:t>）包</w:t>
      </w:r>
      <w:r w:rsidR="00921453">
        <w:rPr>
          <w:rFonts w:hint="eastAsia"/>
        </w:rPr>
        <w:lastRenderedPageBreak/>
        <w:t>括“公共领域”（</w:t>
      </w:r>
      <w:proofErr w:type="spellStart"/>
      <w:r w:rsidR="00921453">
        <w:t>Öffentlichkeit</w:t>
      </w:r>
      <w:proofErr w:type="spellEnd"/>
      <w:r w:rsidR="00921453">
        <w:rPr>
          <w:rFonts w:hint="eastAsia"/>
        </w:rPr>
        <w:t>）和“私人领域”（</w:t>
      </w:r>
      <w:proofErr w:type="spellStart"/>
      <w:r w:rsidR="00921453">
        <w:rPr>
          <w:rFonts w:hint="eastAsia"/>
        </w:rPr>
        <w:t>Privat</w:t>
      </w:r>
      <w:r w:rsidR="00A01D4E">
        <w:t>sphäre</w:t>
      </w:r>
      <w:proofErr w:type="spellEnd"/>
      <w:r w:rsidR="00921453">
        <w:rPr>
          <w:rFonts w:hint="eastAsia"/>
        </w:rPr>
        <w:t>）</w:t>
      </w:r>
      <w:r w:rsidR="00A01D4E">
        <w:rPr>
          <w:rFonts w:hint="eastAsia"/>
        </w:rPr>
        <w:t>。私人领域包括（1）市民社会和（2）核心家庭</w:t>
      </w:r>
    </w:p>
    <w:p w14:paraId="6E1EC868" w14:textId="37318BB7" w:rsidR="002E3270" w:rsidRPr="00A01D4E" w:rsidRDefault="00A01D4E" w:rsidP="00921453">
      <w:pPr>
        <w:pStyle w:val="af6"/>
        <w:jc w:val="both"/>
        <w:rPr>
          <w:rFonts w:hint="eastAsia"/>
          <w:lang w:val="de-DE"/>
        </w:rPr>
      </w:pPr>
      <w:r>
        <w:rPr>
          <w:rFonts w:hint="eastAsia"/>
        </w:rPr>
        <w:t>【</w:t>
      </w:r>
      <w:bookmarkStart w:id="10" w:name="_Hlk191562227"/>
      <w:r>
        <w:rPr>
          <w:lang w:val="de-DE"/>
        </w:rPr>
        <w:t>Der fundamentale Unterschied ist der zwischen einem</w:t>
      </w:r>
      <w:r w:rsidRPr="005352D4">
        <w:rPr>
          <w:b/>
          <w:bCs/>
          <w:lang w:val="de-DE"/>
        </w:rPr>
        <w:t xml:space="preserve"> privaten Bereich</w:t>
      </w:r>
      <w:r>
        <w:rPr>
          <w:lang w:val="de-DE"/>
        </w:rPr>
        <w:t xml:space="preserve">, also dem Bereich der Privatleute und einem </w:t>
      </w:r>
      <w:r w:rsidRPr="005352D4">
        <w:rPr>
          <w:b/>
          <w:bCs/>
          <w:lang w:val="de-DE"/>
        </w:rPr>
        <w:t>öffentlichen Bereich</w:t>
      </w:r>
      <w:r>
        <w:rPr>
          <w:lang w:val="de-DE"/>
        </w:rPr>
        <w:t xml:space="preserve">, also dem Bereich der öffentlichen Gewalt. Innerhalb des privaten Bereichs ist die </w:t>
      </w:r>
      <w:r w:rsidRPr="005352D4">
        <w:rPr>
          <w:b/>
          <w:bCs/>
          <w:lang w:val="de-DE"/>
        </w:rPr>
        <w:t>Privatsphäre</w:t>
      </w:r>
      <w:r>
        <w:rPr>
          <w:lang w:val="de-DE"/>
        </w:rPr>
        <w:t xml:space="preserve"> im engeren S</w:t>
      </w:r>
      <w:r>
        <w:rPr>
          <w:rFonts w:hint="eastAsia"/>
          <w:lang w:val="de-DE"/>
        </w:rPr>
        <w:t>i</w:t>
      </w:r>
      <w:r>
        <w:rPr>
          <w:lang w:val="de-DE"/>
        </w:rPr>
        <w:t>nne von</w:t>
      </w:r>
      <w:r w:rsidR="005352D4">
        <w:rPr>
          <w:lang w:val="de-DE"/>
        </w:rPr>
        <w:t xml:space="preserve"> der </w:t>
      </w:r>
      <w:r w:rsidR="005352D4" w:rsidRPr="005352D4">
        <w:rPr>
          <w:b/>
          <w:bCs/>
          <w:lang w:val="de-DE"/>
        </w:rPr>
        <w:t>Öffentlichkeit</w:t>
      </w:r>
      <w:r w:rsidR="005352D4">
        <w:rPr>
          <w:lang w:val="de-DE"/>
        </w:rPr>
        <w:t xml:space="preserve"> zu unterscheiden.</w:t>
      </w:r>
      <w:bookmarkEnd w:id="10"/>
      <w:r>
        <w:rPr>
          <w:rFonts w:hint="eastAsia"/>
        </w:rPr>
        <w:t>】</w:t>
      </w:r>
    </w:p>
    <w:p w14:paraId="66A99180" w14:textId="77777777" w:rsidR="002E3270" w:rsidRPr="00A01D4E" w:rsidRDefault="002E3270" w:rsidP="00921453">
      <w:pPr>
        <w:pStyle w:val="af6"/>
        <w:jc w:val="both"/>
        <w:rPr>
          <w:rFonts w:hint="eastAsia"/>
          <w:lang w:val="de-DE"/>
        </w:rPr>
      </w:pPr>
    </w:p>
    <w:p w14:paraId="758ED9CB" w14:textId="4BFCC6F0" w:rsidR="00547E86" w:rsidRDefault="00535997" w:rsidP="00921453">
      <w:pPr>
        <w:pStyle w:val="af6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3B68D189" wp14:editId="6B795EA2">
            <wp:extent cx="5274310" cy="2282825"/>
            <wp:effectExtent l="0" t="0" r="2540" b="3175"/>
            <wp:docPr id="557392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2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C0CA" w14:textId="440B8EA1" w:rsidR="00921453" w:rsidRDefault="00921453" w:rsidP="00921453">
      <w:pPr>
        <w:pStyle w:val="af6"/>
        <w:jc w:val="both"/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Privatbereich</w:t>
      </w:r>
      <w:proofErr w:type="spellEnd"/>
      <w:r>
        <w:rPr>
          <w:rFonts w:hint="eastAsia"/>
        </w:rPr>
        <w:t xml:space="preserve">应为der private </w:t>
      </w:r>
      <w:proofErr w:type="spellStart"/>
      <w:r>
        <w:rPr>
          <w:rFonts w:hint="eastAsia"/>
        </w:rPr>
        <w:t>Bereich</w:t>
      </w:r>
      <w:proofErr w:type="spellEnd"/>
      <w:r>
        <w:rPr>
          <w:rFonts w:hint="eastAsia"/>
        </w:rPr>
        <w:t>】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59BE" w14:paraId="099ED2A2" w14:textId="77777777" w:rsidTr="00015B14">
        <w:tc>
          <w:tcPr>
            <w:tcW w:w="5530" w:type="dxa"/>
            <w:gridSpan w:val="2"/>
          </w:tcPr>
          <w:p w14:paraId="6065D44A" w14:textId="4BA54DFD" w:rsidR="005C59BE" w:rsidRDefault="005C59BE" w:rsidP="00921453">
            <w:pPr>
              <w:pStyle w:val="af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私人领域</w:t>
            </w:r>
          </w:p>
        </w:tc>
        <w:tc>
          <w:tcPr>
            <w:tcW w:w="2766" w:type="dxa"/>
          </w:tcPr>
          <w:p w14:paraId="3D8DF28D" w14:textId="7847A5E1" w:rsidR="005C59BE" w:rsidRDefault="005C59BE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公权力的领域</w:t>
            </w:r>
          </w:p>
        </w:tc>
      </w:tr>
      <w:tr w:rsidR="00535997" w14:paraId="34A7CC23" w14:textId="77777777" w:rsidTr="00535997">
        <w:tc>
          <w:tcPr>
            <w:tcW w:w="2765" w:type="dxa"/>
          </w:tcPr>
          <w:p w14:paraId="2D03484D" w14:textId="7458F676" w:rsidR="00535997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市民社会（商品来往和社会劳动的领域）</w:t>
            </w:r>
          </w:p>
        </w:tc>
        <w:tc>
          <w:tcPr>
            <w:tcW w:w="2765" w:type="dxa"/>
          </w:tcPr>
          <w:p w14:paraId="71F97555" w14:textId="2F2A3970" w:rsidR="00535997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政治公共领域和文学公共领域（俱乐部，报刊）</w:t>
            </w:r>
          </w:p>
        </w:tc>
        <w:tc>
          <w:tcPr>
            <w:tcW w:w="2766" w:type="dxa"/>
          </w:tcPr>
          <w:p w14:paraId="0A172309" w14:textId="322BD2DA" w:rsidR="00535997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国家（“警察/治安”的领域）</w:t>
            </w:r>
          </w:p>
        </w:tc>
      </w:tr>
      <w:tr w:rsidR="00535997" w14:paraId="42CB2FF6" w14:textId="77777777" w:rsidTr="00535997">
        <w:tc>
          <w:tcPr>
            <w:tcW w:w="2765" w:type="dxa"/>
          </w:tcPr>
          <w:p w14:paraId="244F3993" w14:textId="23D2CD34" w:rsidR="00535997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小型家庭的内在空间（市民阶层的知识分子）</w:t>
            </w:r>
          </w:p>
        </w:tc>
        <w:tc>
          <w:tcPr>
            <w:tcW w:w="2765" w:type="dxa"/>
          </w:tcPr>
          <w:p w14:paraId="69372C03" w14:textId="77777777" w:rsidR="005C59BE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（文化商品市场）</w:t>
            </w:r>
          </w:p>
          <w:p w14:paraId="0E609499" w14:textId="1FADCA50" w:rsidR="00535997" w:rsidRPr="00535997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“城市”</w:t>
            </w:r>
          </w:p>
        </w:tc>
        <w:tc>
          <w:tcPr>
            <w:tcW w:w="2766" w:type="dxa"/>
          </w:tcPr>
          <w:p w14:paraId="2A315D0B" w14:textId="776ED7A8" w:rsidR="00535997" w:rsidRDefault="00535997" w:rsidP="00921453">
            <w:pPr>
              <w:pStyle w:val="af6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宫廷（贵族-宫廷的社交圈）</w:t>
            </w:r>
          </w:p>
        </w:tc>
      </w:tr>
    </w:tbl>
    <w:p w14:paraId="1D7B935B" w14:textId="77777777" w:rsidR="00535997" w:rsidRPr="008B3609" w:rsidRDefault="00535997" w:rsidP="00921453">
      <w:pPr>
        <w:pStyle w:val="af6"/>
        <w:jc w:val="both"/>
        <w:rPr>
          <w:rFonts w:hint="eastAsia"/>
        </w:rPr>
      </w:pPr>
    </w:p>
    <w:sectPr w:rsidR="00535997" w:rsidRPr="008B3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68AAE" w14:textId="77777777" w:rsidR="001176EA" w:rsidRDefault="001176EA" w:rsidP="0004443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CA50BE3" w14:textId="77777777" w:rsidR="001176EA" w:rsidRDefault="001176EA" w:rsidP="0004443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 Medium">
    <w:altName w:val="微软雅黑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Regular">
    <w:altName w:val="微软雅黑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58B9C" w14:textId="77777777" w:rsidR="001176EA" w:rsidRDefault="001176EA" w:rsidP="0004443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7FC220" w14:textId="77777777" w:rsidR="001176EA" w:rsidRDefault="001176EA" w:rsidP="0004443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E81"/>
    <w:multiLevelType w:val="hybridMultilevel"/>
    <w:tmpl w:val="88E8D536"/>
    <w:lvl w:ilvl="0" w:tplc="D84EC3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6B7B4A"/>
    <w:multiLevelType w:val="multilevel"/>
    <w:tmpl w:val="ADE83B9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3735678">
    <w:abstractNumId w:val="1"/>
  </w:num>
  <w:num w:numId="2" w16cid:durableId="136467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0D"/>
    <w:rsid w:val="00044435"/>
    <w:rsid w:val="000569EF"/>
    <w:rsid w:val="000D48E2"/>
    <w:rsid w:val="00110BE8"/>
    <w:rsid w:val="00115DCB"/>
    <w:rsid w:val="001176EA"/>
    <w:rsid w:val="00165521"/>
    <w:rsid w:val="002E3270"/>
    <w:rsid w:val="003364CB"/>
    <w:rsid w:val="003466E9"/>
    <w:rsid w:val="0035563C"/>
    <w:rsid w:val="003F71A9"/>
    <w:rsid w:val="004D31B5"/>
    <w:rsid w:val="005225A7"/>
    <w:rsid w:val="005352D4"/>
    <w:rsid w:val="00535997"/>
    <w:rsid w:val="00547E86"/>
    <w:rsid w:val="00582818"/>
    <w:rsid w:val="005C59BE"/>
    <w:rsid w:val="006955B3"/>
    <w:rsid w:val="007F276F"/>
    <w:rsid w:val="007F6A5F"/>
    <w:rsid w:val="00825574"/>
    <w:rsid w:val="008B3609"/>
    <w:rsid w:val="00921453"/>
    <w:rsid w:val="00A01D4E"/>
    <w:rsid w:val="00A702C5"/>
    <w:rsid w:val="00BC132D"/>
    <w:rsid w:val="00C45773"/>
    <w:rsid w:val="00CD56E8"/>
    <w:rsid w:val="00E1053D"/>
    <w:rsid w:val="00E12B0D"/>
    <w:rsid w:val="00E85652"/>
    <w:rsid w:val="00FB46F1"/>
    <w:rsid w:val="00FC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28405"/>
  <w15:chartTrackingRefBased/>
  <w15:docId w15:val="{366AB07E-50F4-4044-A994-7454B6E4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12B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B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B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B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B0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B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B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B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部分标题"/>
    <w:basedOn w:val="a"/>
    <w:link w:val="a4"/>
    <w:qFormat/>
    <w:rsid w:val="00E85652"/>
    <w:pPr>
      <w:spacing w:after="0" w:line="240" w:lineRule="auto"/>
      <w:jc w:val="both"/>
    </w:pPr>
    <w:rPr>
      <w:rFonts w:ascii="Noto Sans CJK SC Medium" w:eastAsia="Noto Sans CJK SC Medium" w:hAnsi="Noto Sans CJK SC Medium"/>
      <w:sz w:val="30"/>
      <w:szCs w:val="30"/>
      <w14:ligatures w14:val="none"/>
    </w:rPr>
  </w:style>
  <w:style w:type="character" w:customStyle="1" w:styleId="a4">
    <w:name w:val="部分标题 字符"/>
    <w:basedOn w:val="a0"/>
    <w:link w:val="a3"/>
    <w:rsid w:val="00E85652"/>
    <w:rPr>
      <w:rFonts w:ascii="Noto Sans CJK SC Medium" w:eastAsia="Noto Sans CJK SC Medium" w:hAnsi="Noto Sans CJK SC Medium"/>
      <w:sz w:val="30"/>
      <w:szCs w:val="30"/>
      <w14:ligatures w14:val="none"/>
    </w:rPr>
  </w:style>
  <w:style w:type="paragraph" w:customStyle="1" w:styleId="a5">
    <w:name w:val="二级标题"/>
    <w:basedOn w:val="a"/>
    <w:link w:val="a6"/>
    <w:qFormat/>
    <w:rsid w:val="00E85652"/>
    <w:pPr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8"/>
      <w14:ligatures w14:val="none"/>
    </w:rPr>
  </w:style>
  <w:style w:type="character" w:customStyle="1" w:styleId="a6">
    <w:name w:val="二级标题 字符"/>
    <w:basedOn w:val="a0"/>
    <w:link w:val="a5"/>
    <w:rsid w:val="00E85652"/>
    <w:rPr>
      <w:rFonts w:ascii="Noto Sans CJK SC Regular" w:eastAsia="Noto Sans CJK SC Regular" w:hAnsi="Noto Sans CJK SC Regular"/>
      <w:b/>
      <w:color w:val="000000" w:themeColor="text1"/>
      <w:sz w:val="28"/>
      <w14:ligatures w14:val="none"/>
    </w:rPr>
  </w:style>
  <w:style w:type="paragraph" w:customStyle="1" w:styleId="a7">
    <w:name w:val="三级标题"/>
    <w:basedOn w:val="a"/>
    <w:link w:val="a8"/>
    <w:qFormat/>
    <w:rsid w:val="00E85652"/>
    <w:pPr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4"/>
      <w:szCs w:val="21"/>
      <w14:ligatures w14:val="none"/>
    </w:rPr>
  </w:style>
  <w:style w:type="character" w:customStyle="1" w:styleId="a8">
    <w:name w:val="三级标题 字符"/>
    <w:basedOn w:val="a0"/>
    <w:link w:val="a7"/>
    <w:rsid w:val="00E85652"/>
    <w:rPr>
      <w:rFonts w:ascii="Noto Sans CJK SC Regular" w:eastAsia="Noto Sans CJK SC Regular" w:hAnsi="Noto Sans CJK SC Regular"/>
      <w:b/>
      <w:color w:val="000000" w:themeColor="text1"/>
      <w:sz w:val="24"/>
      <w:szCs w:val="21"/>
      <w14:ligatures w14:val="none"/>
    </w:rPr>
  </w:style>
  <w:style w:type="paragraph" w:customStyle="1" w:styleId="a9">
    <w:name w:val="四级标题"/>
    <w:basedOn w:val="a"/>
    <w:link w:val="aa"/>
    <w:qFormat/>
    <w:rsid w:val="00E85652"/>
    <w:pPr>
      <w:tabs>
        <w:tab w:val="left" w:pos="6195"/>
      </w:tabs>
      <w:spacing w:after="0" w:line="240" w:lineRule="auto"/>
      <w:jc w:val="both"/>
    </w:pPr>
    <w:rPr>
      <w:rFonts w:ascii="Noto Sans CJK SC Regular" w:eastAsia="Noto Sans CJK SC Regular" w:hAnsi="Noto Sans CJK SC Regular"/>
      <w:b/>
      <w:color w:val="000000" w:themeColor="text1"/>
      <w:sz w:val="21"/>
      <w:szCs w:val="21"/>
      <w14:ligatures w14:val="none"/>
    </w:rPr>
  </w:style>
  <w:style w:type="character" w:customStyle="1" w:styleId="aa">
    <w:name w:val="四级标题 字符"/>
    <w:basedOn w:val="a0"/>
    <w:link w:val="a9"/>
    <w:rsid w:val="00E85652"/>
    <w:rPr>
      <w:rFonts w:ascii="Noto Sans CJK SC Regular" w:eastAsia="Noto Sans CJK SC Regular" w:hAnsi="Noto Sans CJK SC Regular"/>
      <w:b/>
      <w:color w:val="000000" w:themeColor="text1"/>
      <w:sz w:val="21"/>
      <w:szCs w:val="21"/>
      <w14:ligatures w14:val="none"/>
    </w:rPr>
  </w:style>
  <w:style w:type="character" w:customStyle="1" w:styleId="10">
    <w:name w:val="标题 1 字符"/>
    <w:basedOn w:val="a0"/>
    <w:link w:val="1"/>
    <w:uiPriority w:val="9"/>
    <w:rsid w:val="00E12B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2B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2B0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12B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2B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2B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2B0D"/>
    <w:rPr>
      <w:rFonts w:eastAsiaTheme="majorEastAsia" w:cstheme="majorBidi"/>
      <w:color w:val="595959" w:themeColor="text1" w:themeTint="A6"/>
    </w:rPr>
  </w:style>
  <w:style w:type="paragraph" w:styleId="ab">
    <w:name w:val="Title"/>
    <w:basedOn w:val="a"/>
    <w:next w:val="a"/>
    <w:link w:val="ac"/>
    <w:uiPriority w:val="10"/>
    <w:qFormat/>
    <w:rsid w:val="00E12B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E1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E12B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E12B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">
    <w:name w:val="Quote"/>
    <w:basedOn w:val="a"/>
    <w:next w:val="a"/>
    <w:link w:val="af0"/>
    <w:uiPriority w:val="29"/>
    <w:qFormat/>
    <w:rsid w:val="00E1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E12B0D"/>
    <w:rPr>
      <w:i/>
      <w:iCs/>
      <w:color w:val="404040" w:themeColor="text1" w:themeTint="BF"/>
    </w:rPr>
  </w:style>
  <w:style w:type="paragraph" w:styleId="af1">
    <w:name w:val="List Paragraph"/>
    <w:basedOn w:val="a"/>
    <w:uiPriority w:val="34"/>
    <w:qFormat/>
    <w:rsid w:val="00E12B0D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E12B0D"/>
    <w:rPr>
      <w:i/>
      <w:iCs/>
      <w:color w:val="0F4761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E1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4">
    <w:name w:val="明显引用 字符"/>
    <w:basedOn w:val="a0"/>
    <w:link w:val="af3"/>
    <w:uiPriority w:val="30"/>
    <w:rsid w:val="00E12B0D"/>
    <w:rPr>
      <w:i/>
      <w:iCs/>
      <w:color w:val="0F4761" w:themeColor="accent1" w:themeShade="BF"/>
    </w:rPr>
  </w:style>
  <w:style w:type="character" w:styleId="af5">
    <w:name w:val="Intense Reference"/>
    <w:basedOn w:val="a0"/>
    <w:uiPriority w:val="32"/>
    <w:qFormat/>
    <w:rsid w:val="00E12B0D"/>
    <w:rPr>
      <w:b/>
      <w:bCs/>
      <w:smallCaps/>
      <w:color w:val="0F4761" w:themeColor="accent1" w:themeShade="BF"/>
      <w:spacing w:val="5"/>
    </w:rPr>
  </w:style>
  <w:style w:type="paragraph" w:styleId="af6">
    <w:name w:val="No Spacing"/>
    <w:uiPriority w:val="1"/>
    <w:qFormat/>
    <w:rsid w:val="00110BE8"/>
    <w:pPr>
      <w:widowControl w:val="0"/>
      <w:spacing w:after="0" w:line="240" w:lineRule="auto"/>
    </w:pPr>
  </w:style>
  <w:style w:type="table" w:styleId="af7">
    <w:name w:val="Table Grid"/>
    <w:basedOn w:val="a1"/>
    <w:uiPriority w:val="39"/>
    <w:rsid w:val="0053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04443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04443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444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044435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04443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044435"/>
    <w:pPr>
      <w:ind w:leftChars="600" w:left="1260"/>
    </w:pPr>
  </w:style>
  <w:style w:type="character" w:styleId="afc">
    <w:name w:val="Hyperlink"/>
    <w:basedOn w:val="a0"/>
    <w:uiPriority w:val="99"/>
    <w:unhideWhenUsed/>
    <w:rsid w:val="0004443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B9BCC-FE5C-4C91-B7CC-D6FBAC95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471745640@qq.com</dc:creator>
  <cp:keywords/>
  <dc:description/>
  <cp:lastModifiedBy>471745640@qq.com</cp:lastModifiedBy>
  <cp:revision>24</cp:revision>
  <dcterms:created xsi:type="dcterms:W3CDTF">2025-02-04T04:27:00Z</dcterms:created>
  <dcterms:modified xsi:type="dcterms:W3CDTF">2025-02-27T07:55:00Z</dcterms:modified>
</cp:coreProperties>
</file>