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Data Collection and Baseline Backtesting</w:t>
      </w:r>
    </w:p>
    <w:p>
      <w:pPr>
        <w:pStyle w:val="Heading1"/>
        <w:widowControl/>
      </w:pPr>
      <w:r>
        <w:t>1 Data Collection and Cleaning</w:t>
      </w:r>
    </w:p>
    <w:p>
      <w:pPr>
        <w:pStyle w:val="Heading2"/>
        <w:widowControl/>
      </w:pPr>
      <w:r>
        <w:t>1.1 Sources and sample</w:t>
      </w:r>
    </w:p>
    <w:p>
      <w:pPr>
        <w:widowControl/>
      </w:pPr>
      <w:r>
        <w:t>We construct a restricted-sample comparison of institutional and retail flow strategies using SGX reports released from 1 January 2019 to 30 September 2026 [1]. We consistently extract the four Weekly Top 10 tables: institutional buying, institutional selling, retail buying and retail selling. The collection contains 399 reports, 15,960 signal observations and 236 historical stock codes. An absent security is unreported, rather than assigned a zero flow.</w:t>
      </w:r>
    </w:p>
    <w:p>
      <w:pPr>
        <w:widowControl/>
      </w:pPr>
      <w:r>
        <w:t>All 399 raw reports, URLs and checksums are retained. Checks cover table completeness, duplicate keys, flow signs and week labels. Three reports have displayed publication dates preceding their derived observation-week ends; we exclude these reports without inventing release dates, leaving 396 reports and 15,840 signals. Five natural weeks have no located report; holdings continue until the next usable release. Archive metadata do not independently establish original publication timing or exclude subsequent revisions.</w:t>
      </w:r>
    </w:p>
    <w:p>
      <w:pPr>
        <w:widowControl/>
      </w:pPr>
      <w:r>
        <w:t>Daily prices, adjusted prices and volume are obtained from Yahoo chart responses for 2016 to September 2026, with earlier observations retained for risk estimation [2]. Historical SGX codes are matched to candidate vendor symbols. Official announcements support S51 to 5E2 and J91U to 9A4U code relations [4, 5]. Other mappings remain candidates; source name/code conflicts are logged, with source codes retained rather than corrected speculatively.</w:t>
      </w:r>
    </w:p>
    <w:p>
      <w:pPr>
        <w:pStyle w:val="Heading2"/>
        <w:widowControl/>
      </w:pPr>
      <w:r>
        <w:t>1.2 Missing histories and corporate actions</w:t>
      </w:r>
    </w:p>
    <w:p>
      <w:pPr>
        <w:widowControl/>
      </w:pPr>
      <w:r>
        <w:t>Candidate histories exist for 170 of the 236 source codes, corresponding to 168 canonical histories; 66 codes have no matching history. To provide a common initial risk history, eligibility is fixed using observations strictly before 1 January 2019: a history must contain at least 500 valid aligned daily returns and no absolute daily return above 50% during that pre-period. Thirty histories fail the length criterion and 13 trigger the return flag, leaving 125 canonical histories covering 127 source codes. These rules are common to both strategies and are not optimised on full-period performance. Later listings are not admitted to this fixed starting sample.</w:t>
      </w:r>
    </w:p>
    <w:p>
      <w:pPr>
        <w:widowControl/>
      </w:pPr>
      <w:r>
        <w:t>Unavailable or ineligible signals retain their intended allocation as cash, without increasing other positions. No pre-listing prices or missing returns are backfilled. Missing returns on existing holdings stop the backtest; neither suspension losses nor delisting settlements are fabricated. A later gap in a held asset’s 500-day risk window is disclosed separately rather than silently filled. Post-2018 absolute daily returns above 50% remain review flags; they do not retrospectively change eligibility or trigger automatic clipping.</w:t>
      </w:r>
    </w:p>
    <w:p>
      <w:pPr>
        <w:widowControl/>
      </w:pPr>
      <w:r>
        <w:t>The pre-period screen is a conservative data-eligibility heuristic: a large return can be genuine, so its exclusion can remove volatile securities. The fixed starting universe also excludes later listings, while missing retired or renamed securities create availability and survivorship bias. The rule uses no post-2018 returns, but today’s downloaded histories do not establish what the vendor supplied in 2018. Results describe this restricted sample, not an unbiased full-universe or live-trading comparison.</w:t>
      </w:r>
    </w:p>
    <w:p>
      <w:pPr>
        <w:pStyle w:val="Heading2"/>
        <w:widowControl/>
      </w:pPr>
      <w:r>
        <w:t>1.3 Currency and benchmark</w:t>
      </w:r>
    </w:p>
    <w:p>
      <w:pPr>
        <w:widowControl/>
      </w:pPr>
      <w:r>
        <w:t>All portfolio values are in SGD. USD-denominated series use a USD/SGD daily close labelled strictly before the stock date, no more than five calendar days old. This avoids using a same-date New York FX close at the Singapore close, but remains a daily-bar timing approximation. Vendor adjusted-price ratios represent total returns; the consistency of split-adjusted prices, volume and all corporate-action treatments is not independently certified.</w:t>
      </w:r>
    </w:p>
    <w:p>
      <w:pPr>
        <w:widowControl/>
      </w:pPr>
      <w:r>
        <w:t>The benchmark is an ES3 ETF NAV total-return proxy reconstructed from State Street historical NAV and 22 issuer distributions [3]. Each daily return equals current NAV plus the ex-date distribution, divided by previous NAV, less one. Distributions are assumed reinvested at ex-date closing NAV. The 2,698-date calendar matches valid STI price-index dates over 2016 to September 2026. Reconstructed 2026 return through September is 25.8364%, consistent with the issuer’s rounded 25.84%. This is an ETF NAV proxy, subject to expenses and tracking differences, rather than the official STI total-return index or an executable ETF price.</w:t>
      </w:r>
    </w:p>
    <w:p>
      <w:pPr>
        <w:pStyle w:val="Heading1"/>
        <w:widowControl/>
      </w:pPr>
      <w:r>
        <w:t>2 Baseline Backtesting</w:t>
      </w:r>
    </w:p>
    <w:p>
      <w:pPr>
        <w:pStyle w:val="Heading2"/>
        <w:widowControl/>
      </w:pPr>
      <w:r>
        <w:t>2.1 Signals and portfolio construction</w:t>
      </w:r>
    </w:p>
    <w:p>
      <w:pPr>
        <w:widowControl/>
      </w:pPr>
      <w:r>
        <w:t>Smart Retail Flow FT5009 follows retail buy and sell lists; Smart Insti Flow FT5009 follows institutional lists. Each starts with S$1,000,000 and uses the same calendar, data rules, execution convention and costs. Buy signals create long positions and sell signals create shorts. Flow magnitude does not scale positions: each reported list receives equal target allocations before execution exclusions.</w:t>
      </w:r>
    </w:p>
    <w:p>
      <w:pPr>
        <w:widowControl/>
      </w:pPr>
      <w:r>
        <w:t>At each usable release, target long and short notionals are each 49% of pre-transaction-cost NAV, leaving implementation headroom. Each name receives 49% divided by the original number of names on its side, capped at 10% of NAV; with ten names, the allocation is 4.9%. Target gross exposure is therefore 98%, with target net exposure zero when all signals execute. Missing slots reduce exposure. These limits apply to target sizing; price drift, fees and blocked trades can change realised exposures.</w:t>
      </w:r>
    </w:p>
    <w:p>
      <w:pPr>
        <w:pStyle w:val="Heading2"/>
        <w:widowControl/>
      </w:pPr>
      <w:r>
        <w:t>2.2 Timing holding and exit rules</w:t>
      </w:r>
    </w:p>
    <w:p>
      <w:pPr>
        <w:widowControl/>
      </w:pPr>
      <w:r>
        <w:t>Rebalancing occurs at the first benchmark-session close strictly after the displayed publication date. Existing holdings receive that day’s return before new trades are entered, so newly acquired positions earn returns only subsequently. Fractional synthetic total-return units are held between releases, allowing weights to drift. Positions absent from the next signal are closed, and continuing positions are resized, subject to execution eligibility. Final holdings are marked at 30 September 2026 without forced liquidation.</w:t>
      </w:r>
    </w:p>
    <w:p>
      <w:pPr>
        <w:widowControl/>
      </w:pPr>
      <w:r>
        <w:t>New trades require a valid quote, positive volume and, for shorts, assumed borrowing availability. An existing holding with zero execution volume is frozen and marked using available vendor quotes, which may be stale, rather than treated as sold. Its exposure reserves the side’s budget before other targets are sized; adjustment is retried at the next report. Frozen positions can prevent compliance with target limits. All excluded orders and blocked rebalances are logged.</w:t>
      </w:r>
    </w:p>
    <w:p>
      <w:pPr>
        <w:pStyle w:val="Heading2"/>
        <w:widowControl/>
      </w:pPr>
      <w:r>
        <w:t>2.3 Costs collateral and feasibility assumptions</w:t>
      </w:r>
    </w:p>
    <w:p>
      <w:pPr>
        <w:widowControl/>
      </w:pPr>
      <w:r>
        <w:t>We run three paths for each strategy. Gross returns exclude transaction and borrowing costs. Net returns charge 20 basis points on absolute traded notional and annual borrowing costs of 3% on prior short notional, accrued using elapsed calendar days divided by 365. The doubled-transaction-cost path uses 40 basis points with the same borrowing rate. Each path recomputes its own NAV and subsequent position sizes.</w:t>
      </w:r>
    </w:p>
    <w:p>
      <w:pPr>
        <w:widowControl/>
      </w:pPr>
      <w:r>
        <w:t>Cash includes short-sale proceeds and earns zero interest; proceeds are not used to increase exposure beyond the common targets. No separate margin calls, borrowing recalls or collateral haircuts are modelled, and all securities are assumed borrowable rather than historically verified as available. Fractional units avoid board-lot rounding; market impact and order-size constraints are not modelled. Turnover is absolute traded notional divided by pre-trade NAV. Volume participation is traded notional divided by vendor close times volume, a proxy whose price/volume adjustment basis remains unverified.</w:t>
      </w:r>
    </w:p>
    <w:p>
      <w:pPr>
        <w:pStyle w:val="Heading2"/>
        <w:widowControl/>
      </w:pPr>
      <w:r>
        <w:t>2.4 Implementation checks and reproducibility</w:t>
      </w:r>
    </w:p>
    <w:p>
      <w:pPr>
        <w:widowControl/>
      </w:pPr>
      <w:r>
        <w:t>The offline pipeline reproduces six paths, each with 1,945 daily observations. Independent checks reconcile NAV, signed holdings, returns, cash and fees; ten tests cover execution and pre-period eligibility. For VaR, a separate input quarantines 29 unverified extreme asset returns as missing while preserving the original series. Consequently, 82 retail and 46 institutional forecast dates lack a complete 500-return window for current holdings. These forecasts must remain unavailable unless the source returns are verified; neither dropping historical days nor filling zero is appropriate. Daily returns, holdings, trades, exclusions and coverage logs support subsequent evaluation. Arithmetic checks do not certify all vendor data.</w:t>
      </w:r>
    </w:p>
    <w:p>
      <w:pPr>
        <w:pStyle w:val="Heading1"/>
        <w:widowControl/>
      </w:pPr>
      <w:r>
        <w:t>References</w:t>
      </w:r>
    </w:p>
    <w:p>
      <w:pPr>
        <w:widowControl/>
        <w:spacing w:after="60"/>
      </w:pPr>
      <w:r>
        <w:rPr>
          <w:sz w:val="18"/>
        </w:rPr>
        <w:t xml:space="preserve">[1] Singapore Exchange. Data Reports and individual Weekly Top 10 reports. Source URLs and download records are retained with the submitted data. </w:t>
      </w:r>
      <w:hyperlink r:id="rId9">
        <w:r>
          <w:rPr>
            <w:sz w:val="18"/>
          </w:rPr>
          <w:t>Source</w:t>
        </w:r>
      </w:hyperlink>
    </w:p>
    <w:p>
      <w:pPr>
        <w:widowControl/>
        <w:spacing w:after="60"/>
      </w:pPr>
      <w:r>
        <w:rPr>
          <w:sz w:val="18"/>
        </w:rPr>
        <w:t xml:space="preserve">[2] Yahoo Finance. Historical chart responses and adjusted-close documentation. Per-symbol URLs and retrieval receipts are retained with the submitted data. </w:t>
      </w:r>
      <w:hyperlink r:id="rId10">
        <w:r>
          <w:rPr>
            <w:sz w:val="18"/>
          </w:rPr>
          <w:t>Source</w:t>
        </w:r>
      </w:hyperlink>
    </w:p>
    <w:p>
      <w:pPr>
        <w:widowControl/>
        <w:spacing w:after="60"/>
      </w:pPr>
      <w:r>
        <w:rPr>
          <w:sz w:val="18"/>
        </w:rPr>
        <w:t xml:space="preserve">[3] State Street. SPDR Straits Times Index ETF ES3 fund page, historical NAV and distribution records. </w:t>
      </w:r>
      <w:hyperlink r:id="rId11">
        <w:r>
          <w:rPr>
            <w:sz w:val="18"/>
          </w:rPr>
          <w:t>Source</w:t>
        </w:r>
      </w:hyperlink>
    </w:p>
    <w:p>
      <w:pPr>
        <w:widowControl/>
        <w:spacing w:after="60"/>
      </w:pPr>
      <w:r>
        <w:rPr>
          <w:sz w:val="18"/>
        </w:rPr>
        <w:t xml:space="preserve">[4] Seatrium. Share consolidation completion announcement, 9 May 2024. </w:t>
      </w:r>
      <w:hyperlink r:id="rId12">
        <w:r>
          <w:rPr>
            <w:sz w:val="18"/>
          </w:rPr>
          <w:t>Source</w:t>
        </w:r>
      </w:hyperlink>
    </w:p>
    <w:p>
      <w:pPr>
        <w:widowControl/>
        <w:spacing w:after="60"/>
      </w:pPr>
      <w:r>
        <w:rPr>
          <w:sz w:val="18"/>
        </w:rPr>
        <w:t xml:space="preserve">[5] ESR REIT. Unit consolidation completion announcement, 5 May 2025. </w:t>
      </w:r>
      <w:hyperlink r:id="rId13">
        <w:r>
          <w:rPr>
            <w:sz w:val="18"/>
          </w:rPr>
          <w:t>Source</w:t>
        </w:r>
      </w:hyperlink>
    </w:p>
    <w:p>
      <w:pPr>
        <w:widowControl/>
      </w:pPr>
      <w:r>
        <w:t>AI assistance: ChatGPT assisted with data collection, code development, source-quality review and drafting. The authors remain responsible for verification and interpretation.</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gx.com/stock-exchange/data-reports?reportType=203" TargetMode="External"/><Relationship Id="rId10" Type="http://schemas.openxmlformats.org/officeDocument/2006/relationships/hyperlink" Target="https://help.yahoo.com/kb/SLN28256.html" TargetMode="External"/><Relationship Id="rId11" Type="http://schemas.openxmlformats.org/officeDocument/2006/relationships/hyperlink" Target="https://www.ssga.com/sg/en/institutional/etfs/state-street-spdr-straits-times-index-etf-es3" TargetMode="External"/><Relationship Id="rId12" Type="http://schemas.openxmlformats.org/officeDocument/2006/relationships/hyperlink" Target="https://investors.seatrium.com/newsroom/20240509_212538_5E2_JWAVWHTZLDL0LJ8G.1.pdf" TargetMode="External"/><Relationship Id="rId13" Type="http://schemas.openxmlformats.org/officeDocument/2006/relationships/hyperlink" Target="https://links.sgx.com/1.0.0/corporate-announcements/9FUJ1NOQ62GVZ502/844436_ESR-REIT%20-%20Completion%20Announcement_5%20May%202025_v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FT5009 Data Collection and Baseline Backtesting</dc:title>
  <dc:subject/>
  <dc:creator>Liu Yuzhao</dc:creator>
  <cp:keywords/>
  <dc:description>generated by python-docx</dc:description>
  <cp:lastModifiedBy/>
  <cp:revision>1</cp:revision>
  <dcterms:created xsi:type="dcterms:W3CDTF">2013-12-23T23:15:00Z</dcterms:created>
  <dcterms:modified xsi:type="dcterms:W3CDTF">2013-12-23T23:15:00Z</dcterms:modified>
  <cp:category/>
</cp:coreProperties>
</file>