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b/>
          <w:bCs/>
          <w:sz w:val="30"/>
          <w:szCs w:val="30"/>
        </w:rPr>
        <w:t xml:space="preserve">Quality filtering as environmental sampling bias in species distribution models: a diagnostic and decision framework</w:t>
      </w:r>
    </w:p>
    <w:p>
      <w:pPr>
        <w:spacing w:after="120" w:line="480"/>
      </w:pPr>
      <w:r>
        <w:rPr>
          <w:i/>
          <w:iCs/>
          <w:color w:val="666666"/>
        </w:rPr>
        <w:t xml:space="preserve">Anonymized main document for double-blind review. A separate title page with authors, affiliations, acknowledgements, author contributions, data-availability statement and data sources should accompany submission (per MEE guidelines). Working draft — Methods and Results drafted; Introduction draft; Discussion in outline for co-author prose. Species names to be italicized and references added at a later pass.</w:t>
      </w:r>
    </w:p>
    <w:p>
      <w:pPr>
        <w:pStyle w:val="Heading1"/>
        <w:spacing w:after="120" w:before="280" w:line="480"/>
      </w:pPr>
      <w:r>
        <w:t xml:space="preserve">Abstract</w:t>
      </w:r>
    </w:p>
    <w:p>
      <w:pPr>
        <w:spacing w:after="60" w:line="480"/>
      </w:pPr>
      <w:r>
        <w:rPr>
          <w:b/>
          <w:bCs/>
        </w:rPr>
        <w:t xml:space="preserve">1.  </w:t>
      </w:r>
      <w:r>
        <w:t xml:space="preserve">Occurrence records are routinely filtered by spatial accuracy or coordinate uncertainty before species distribution modelling (SDM), under the implicit assumption that data quality is random with respect to the environment. When quality is instead environmentally structured, filtering removes records non-randomly across environmental space and can itself act as a sampling-bias mechanism, displacing the environmental distribution the model learns from.</w:t>
      </w:r>
    </w:p>
    <w:p>
      <w:pPr>
        <w:spacing w:after="60" w:line="480"/>
      </w:pPr>
      <w:r>
        <w:rPr>
          <w:b/>
          <w:bCs/>
        </w:rPr>
        <w:t xml:space="preserve">2.  </w:t>
      </w:r>
      <w:r>
        <w:t xml:space="preserve">We formalise quality filtering as a covariate-shift problem and introduce a workflow that (a) diagnoses, without ground truth, whether and along which environmental axes filtering shifts the occurrence distribution; (b) separates genuinely environmental quality structure from metadata confounding and quantifies overlap (positivity) limits through inverse-propensity weights; and (c) compares hard filtering, trust weighting and inverse-propensity weighting. We validate the framework on a two-parameter simulation in which the coupling between quality and environment, and the directedness of coordinate error, are independently controlled, and apply it to 113,907 globally distributed freshwater crayfish records.</w:t>
      </w:r>
    </w:p>
    <w:p>
      <w:pPr>
        <w:spacing w:after="60" w:line="480"/>
      </w:pPr>
      <w:r>
        <w:rPr>
          <w:b/>
          <w:bCs/>
        </w:rPr>
        <w:t xml:space="preserve">3.  </w:t>
      </w:r>
      <w:r>
        <w:t xml:space="preserve">In simulation, no single strategy is universally best: the strength of quality–environment coupling governs when hard filtering biases the niche, the directedness of coordinate error governs when retaining all records does, and inverse-propensity weighting recovers the true niche only up to a positivity ceiling. In the crayfish data, filtering shifts the occurrence distribution significantly and coherently along climatic axes (energy-distance permutation p = 0.005; standardized mean differences ≈ 0.16), with a moderate, spatially robust environmental component beyond record status and year (incremental cross-validated AUC of +0.075 under basin-level partitioning). The resulting change in predicted suitability is modest and uniform across species (top-decile overlap 0.76–0.92), yet hard filtering and inverse-propensity weighting move predictions in opposite directions in environmental space, and the spread between them is irreducible because the coordinate-error structure is not identifiable from data alone.</w:t>
      </w:r>
    </w:p>
    <w:p>
      <w:pPr>
        <w:spacing w:after="60" w:line="480"/>
      </w:pPr>
      <w:r>
        <w:rPr>
          <w:b/>
          <w:bCs/>
        </w:rPr>
        <w:t xml:space="preserve">4.  </w:t>
      </w:r>
      <w:r>
        <w:t xml:space="preserve">Quality filtering is frequently benign but not reliably so. We provide a diagnostic that indicates when filtering is likely to bias an SDM, a principled weighting alternative with explicit overlap diagnostics, and a simulation-grounded map of when each treatment is least-bad. We recommend that filtering decisions be reported as a sensitivity analysis rather than treated as neutral data hygiene.</w:t>
      </w:r>
    </w:p>
    <w:p>
      <w:pPr>
        <w:pStyle w:val="Heading1"/>
        <w:spacing w:after="120" w:before="280" w:line="480"/>
      </w:pPr>
      <w:r>
        <w:t xml:space="preserve">Keywords</w:t>
      </w:r>
    </w:p>
    <w:p>
      <w:pPr>
        <w:spacing w:after="0" w:line="480"/>
      </w:pPr>
      <w:r>
        <w:t xml:space="preserve">species distribution models; occurrence data quality; sampling bias; inverse-propensity weighting; covariate shift; spatial accuracy; data filtering; freshwater crayfish</w:t>
      </w:r>
    </w:p>
    <w:p>
      <w:pPr>
        <w:pStyle w:val="Heading1"/>
        <w:spacing w:after="120" w:before="280" w:line="480"/>
      </w:pPr>
      <w:r>
        <w:t xml:space="preserve">Data and code for peer review</w:t>
      </w:r>
    </w:p>
    <w:p>
      <w:pPr>
        <w:spacing w:after="0" w:line="480"/>
      </w:pPr>
      <w:r>
        <w:t xml:space="preserve">All code (simulation, diagnostic and consequence analyses) and derived summary tables will be deposited in an anonymized repository for review; the occurrence dataset is third-party and will be referenced with access conditions on the title page.</w:t>
      </w:r>
    </w:p>
    <w:p>
      <w:pPr>
        <w:pStyle w:val="Heading1"/>
        <w:spacing w:after="120" w:before="280" w:line="480"/>
      </w:pPr>
      <w:r>
        <w:t xml:space="preserve">1  Introduction</w:t>
      </w:r>
    </w:p>
    <w:p>
      <w:pPr>
        <w:spacing w:after="0" w:line="480"/>
        <w:ind w:firstLine="360"/>
      </w:pPr>
      <w:r>
        <w:t xml:space="preserve">Species distribution models infer environmental associations from where a species has been recorded, and are only as trustworthy as the coordinates of those records. Because positional error degrades the environmental values attached to an occurrence, a near-universal step in SDM workflows is to filter records by their spatial accuracy or reported coordinate uncertainty, discarding those judged too imprecise. This step is generally treated as neutral data hygiene: removing untrustworthy points is assumed to improve the dataset without otherwise altering it.</w:t>
      </w:r>
    </w:p>
    <w:p>
      <w:pPr>
        <w:spacing w:after="0" w:line="480"/>
        <w:ind w:firstLine="360"/>
      </w:pPr>
      <w:r>
        <w:t xml:space="preserve">That assumption holds only if data quality is random with respect to the environment. In practice it rarely is. The accuracy of a record is tied to how and when it was collected — GPS versus gazetteer or grid-centroid georeferencing, recent versus historical surveys, professional versus opportunistic effort — and to the accessibility of the terrain. Remote, rugged or sparsely populated areas tend to be both undersampled and more coarsely georeferenced. Because these drivers are spatially autocorrelated, and because the environment is itself spatially structured, record quality becomes environmentally structured: low-quality records are not a random environmental subsample but are concentrated in particular regions of environmental space.</w:t>
      </w:r>
    </w:p>
    <w:p>
      <w:pPr>
        <w:spacing w:after="0" w:line="480"/>
        <w:ind w:firstLine="360"/>
      </w:pPr>
      <w:r>
        <w:t xml:space="preserve">When that is the case, filtering by quality is not neutral. Removing low-quality records removes them non-randomly across the environment, shifting the environmental distribution of the retained occurrences and, with it, the niche the model learns. Filtering then trades one problem — positional error in individual records — for another — sampling bias in the retained set. This is the same class of problem that the SDM literature has long recognised for survey effort and addressed through background design and bias correction, but it has not been examined for the quality-filtering step itself, even though that step is performed almost reflexively.</w:t>
      </w:r>
    </w:p>
    <w:p>
      <w:pPr>
        <w:spacing w:after="0" w:line="480"/>
        <w:ind w:firstLine="360"/>
      </w:pPr>
      <w:r>
        <w:t xml:space="preserve">Current practice offers little guidance on when the trade is worth making. Accuracy thresholds are typically fixed and arbitrary; the consequences of a given threshold for the fitted model are seldom examined; and weighting alternatives to hard thresholds are rarely used. More fundamentally, there is no framework that distinguishes the two failure modes at stake — bias introduced by removing records (which depends on how strongly quality is coupled to the environment) versus bias introduced by retaining records whose coordinates are wrong (which depends on how systematically that positional error is directed) — or that tells a practitioner which regime a given dataset is in.</w:t>
      </w:r>
    </w:p>
    <w:p>
      <w:pPr>
        <w:spacing w:after="0" w:line="480"/>
        <w:ind w:firstLine="360"/>
      </w:pPr>
      <w:r>
        <w:t xml:space="preserve">We address this gap with three components. First, a diagnostic that operates on a flat occurrence table without any ground truth and quantifies whether, and along which environmental axes, filtering shifts the occurrence distribution; it separates genuinely environmental quality structure from metadata confounding using spatially blocked cross-validation, and it measures the overlap (positivity) that any weighting correction would rely on. Second, a simulation in which the coupling between quality and environment and the directedness of coordinate error are controlled independently, allowing the behaviour of competing strategies to be evaluated against a known truth. Third, a set of filtering and weighting strategies whose divergence on real data measures the practical consequence of the filtering decision. We develop the framework and then apply it to a large global dataset of freshwater crayfish occurrences.</w:t>
      </w:r>
    </w:p>
    <w:p>
      <w:pPr>
        <w:pStyle w:val="Heading1"/>
        <w:spacing w:after="120" w:before="280" w:line="480"/>
      </w:pPr>
      <w:r>
        <w:t xml:space="preserve">2  Materials and Methods</w:t>
      </w:r>
    </w:p>
    <w:p>
      <w:pPr>
        <w:pStyle w:val="Heading2"/>
        <w:spacing w:after="80" w:before="200" w:line="480"/>
      </w:pPr>
      <w:r>
        <w:t xml:space="preserve">2.1  Filtering as a covariate-shift problem</w:t>
      </w:r>
    </w:p>
    <w:p>
      <w:pPr>
        <w:spacing w:after="0" w:line="480"/>
        <w:ind w:firstLine="360"/>
      </w:pPr>
      <w:r>
        <w:t xml:space="preserve">Let each occurrence carry a binary quality label r, with r = 1 for records retained by filtering (high quality) and r = 0 for records discarded (low quality). The environmental distribution that an SDM should ideally learn from is that of correctly located occurrences, which we denote p_true. Hard filtering replaces this with p_high, the environmental distribution of the high-quality records. Because high-quality records are a quality-conditioned subset of all occurrences, p_high is related to p_true by the retention propensity P(r = 1 | e):</w:t>
      </w:r>
    </w:p>
    <w:p>
      <w:pPr>
        <w:spacing w:after="0" w:line="480"/>
      </w:pPr>
      <w:r>
        <w:t xml:space="preserve">    p_high(e)  ∝  p_true(e) · P(r = 1 | e),</w:t>
      </w:r>
    </w:p>
    <w:p>
      <w:pPr>
        <w:spacing w:after="0" w:line="480"/>
        <w:ind w:firstLine="360"/>
      </w:pPr>
      <w:r>
        <w:t xml:space="preserve">so that filtering reweights environmental space by the propensity, and is neutral only when P(r = 1 | e) is constant in e. Whenever the propensity varies with the environment, filtering displaces the learned niche. Rearranging gives p_true(e) ∝ p_high(e) / P(r = 1 | e), which shows that inverse-propensity weights w = 1 / P(r = 1 | e), applied to the high-quality records, reconstruct the unbiased environmental distribution in the limit of a correct propensity model. This identity motivates both the diagnostic and the weighting strategy below. Crucially, the question of interest is distributional — whether the retained occurrences occupy a biased region of environmental space — and not merely whether quality is predictable from the environment; the former can have practical consequences even where the latter is weak.</w:t>
      </w:r>
    </w:p>
    <w:p>
      <w:pPr>
        <w:pStyle w:val="Heading2"/>
        <w:spacing w:after="80" w:before="200" w:line="480"/>
      </w:pPr>
      <w:r>
        <w:t xml:space="preserve">2.2  Diagnostic (observable half)</w:t>
      </w:r>
    </w:p>
    <w:p>
      <w:pPr>
        <w:spacing w:after="0" w:line="480"/>
        <w:ind w:firstLine="360"/>
      </w:pPr>
      <w:r>
        <w:t xml:space="preserve">The diagnostic requires only environmental values at each occurrence, a binary (or thresholded continuous) quality label, and optional metadata; it uses no ground truth, no rasters and no background. It reports three quantities.</w:t>
      </w:r>
    </w:p>
    <w:p>
      <w:pPr>
        <w:spacing w:after="0" w:line="480"/>
        <w:ind w:firstLine="360"/>
      </w:pPr>
      <w:r>
        <w:t xml:space="preserve">Per-axis shift. For each environmental variable we compute the standardized mean difference between all occurrences and the high-quality subset, together with the Kolmogorov–Smirnov distance between high- and low-quality records. These identify which environmental axes filtering moves, and in which direction.</w:t>
      </w:r>
    </w:p>
    <w:p>
      <w:pPr>
        <w:spacing w:after="0" w:line="480"/>
        <w:ind w:firstLine="360"/>
      </w:pPr>
      <w:r>
        <w:t xml:space="preserve">Multivariate shift magnitude. We compute the energy distance between the standardized environmental vectors of all occurrences and of the high-quality subset, with significance assessed by a permutation test (records subsampled to a common size to bound the pairwise-distance computation). This provides a single, model-free test of whether filtering is environmentally non-neutral.</w:t>
      </w:r>
    </w:p>
    <w:p>
      <w:pPr>
        <w:spacing w:after="0" w:line="480"/>
        <w:ind w:firstLine="360"/>
      </w:pPr>
      <w:r>
        <w:t xml:space="preserve">Propensity, confounding and positivity. We fit a model of P(r = 1 | e) (logistic regression with linear and quadratic environmental terms, the environmental block optionally reduced by principal components when predictors are numerous and collinear) and obtain its discrimination as an out-of-fold area under the ROC curve. To separate genuinely environmental structure from metadata artefacts, we fit the same model on metadata alone and on environment-plus-metadata, and report the incremental discrimination of environment over metadata. Throughout, cross-validation is blocked by a spatial grouping variable so that discrimination is not inflated by spatial autocorrelation. From the high-quality records we form the inverse-propensity weights, summarise their distribution, and compute the effective sample size as a fraction of the high-quality count; a low value indicates regions of environmental space with few or no high-quality records, where no reweighting can reconstruct the niche.</w:t>
      </w:r>
    </w:p>
    <w:p>
      <w:pPr>
        <w:pStyle w:val="Heading2"/>
        <w:spacing w:after="80" w:before="200" w:line="480"/>
      </w:pPr>
      <w:r>
        <w:t xml:space="preserve">2.3  Simulation (validation half)</w:t>
      </w:r>
    </w:p>
    <w:p>
      <w:pPr>
        <w:spacing w:after="0" w:line="480"/>
        <w:ind w:firstLine="360"/>
      </w:pPr>
      <w:r>
        <w:t xml:space="preserve">To evaluate the strategies against a known truth we generate data from a controlled process. Two spatially autocorrelated environmental layers are produced over a grid; a Gaussian niche defines true suitability; and true occurrences are drawn as an inhomogeneous point process with intensity proportional to suitability. Record quality is assigned by P(r = 1 | e) = σ(α + β u(e)), where u(e) is a standardized environmental axis and α is calibrated so that the marginal retention rate is fixed; β is therefore a pure coupling parameter, independent of the overall filtering fraction. High-quality records keep their true coordinates (and are thus environmentally selected), whereas low-quality records are displaced by g_obs = g_true + δ, with δ = ρ D v + (1 − ρ) D ε: ρ sets the directedness of the positional error (from isotropic to systematic), D its magnitude, and v a fixed environmental direction (records snapped toward more accessible terrain). The presence-background SDM uses a quality-independent background.</w:t>
      </w:r>
    </w:p>
    <w:p>
      <w:pPr>
        <w:spacing w:after="0" w:line="480"/>
        <w:ind w:firstLine="360"/>
      </w:pPr>
      <w:r>
        <w:t xml:space="preserve">The learner is a logistic model with linear and quadratic environmental terms. Because the log-intensity of a Gaussian niche is quadratic in the environment, this learner is correctly specified, so that under no coupling and no positional error it recovers the true niche and any residual error is attributable to sampling bias rather than to model misspecification. We compare predicted and true suitability surfaces using Schoener's D, Warren's I and the Spearman correlation over the grid.</w:t>
      </w:r>
    </w:p>
    <w:p>
      <w:pPr>
        <w:pStyle w:val="Heading2"/>
        <w:spacing w:after="80" w:before="200" w:line="480"/>
      </w:pPr>
      <w:r>
        <w:t xml:space="preserve">2.4  Filtering and weighting strategies</w:t>
      </w:r>
    </w:p>
    <w:p>
      <w:pPr>
        <w:spacing w:after="0" w:line="480"/>
        <w:ind w:firstLine="360"/>
      </w:pPr>
      <w:r>
        <w:t xml:space="preserve">We compare five treatments of the presence records (the background is held fixed). ALL retains every record at its observed coordinates. FILTER retains only high-quality records. TRUST retains all records but downweights those likely to be mislocated, with weight 1 − P(r = 0 | e) clipped to a floor. IPW retains the high-quality records and weights them by 1 / P(r = 1 | e), with extreme weights trimmed and the weights mass-normalised to preserve the presence total. A stratified variant (Mondrian) trims the inverse-propensity weights within subgroups so that overlap is handled separately per stratum. A key structural property follows from the identity in 2.1: FILTER and TRUST move the niche in the same direction (both downweight environments where low-quality records concentrate), whereas IPW moves it in the opposite direction (it upweights the rare high-quality records in those same environments to undo the selection). The two corrections therefore bracket the unbiased niche from opposite sides, and which is appropriate depends on the directedness of coordinate error (ρ in 2.3), which is not identifiable from observed data.</w:t>
      </w:r>
    </w:p>
    <w:p>
      <w:pPr>
        <w:pStyle w:val="Heading2"/>
        <w:spacing w:after="80" w:before="200" w:line="480"/>
      </w:pPr>
      <w:r>
        <w:t xml:space="preserve">2.5  Empirical data and species distribution models</w:t>
      </w:r>
    </w:p>
    <w:p>
      <w:pPr>
        <w:spacing w:after="0" w:line="480"/>
        <w:ind w:firstLine="360"/>
      </w:pPr>
      <w:r>
        <w:t xml:space="preserve">We applied the framework to 113,907 globally distributed freshwater crayfish occurrence records carrying a curated High/Low spatial-accuracy label, a taxonomic identity, a biogeographic status (native, introduced, alien or type locality) and a record year. Each occurrence was annotated with a large set of local stream-segment environmental descriptors (climate, topography, soil and land-cover summaries). We used local descriptors only, because upstream-aggregated descriptors are undefined for headwater segments and would otherwise silently exclude a substantial fraction of records. Records lacking environmental values were removed.</w:t>
      </w:r>
    </w:p>
    <w:p>
      <w:pPr>
        <w:spacing w:after="0" w:line="480"/>
        <w:ind w:firstLine="360"/>
      </w:pPr>
      <w:r>
        <w:t xml:space="preserve">Single-species SDMs were fitted in a target-group-background design: presence records were those of the focal species and background records a sample of the occurrences of all other species, so that survey effort is partially controlled. Models were random forests with median imputation and class balancing. The accuracy-risk propensity P(r = 0 | e) was estimated out-of-fold on the same local descriptors and attached to each record, so that no cross-dataset join was required. For each of seven species spanning native and non-native status we fitted the five strategies of 2.4 and compared their predicted suitability over the background environment using the Spearman correlation, the top-decile and top-5% overlap (Jaccard index), and the mean and 95th-percentile absolute difference in predicted suitability. Because no ground truth exists for the real data, these quantities measure the divergence between strategies — the practical consequence of the filtering decision — and not the correctness of any one strategy, which only the simulation can assess.</w:t>
      </w:r>
    </w:p>
    <w:p>
      <w:pPr>
        <w:pStyle w:val="Heading1"/>
        <w:spacing w:after="120" w:before="280" w:line="480"/>
      </w:pPr>
      <w:r>
        <w:t xml:space="preserve">3  Results</w:t>
      </w:r>
    </w:p>
    <w:p>
      <w:pPr>
        <w:pStyle w:val="Heading2"/>
        <w:spacing w:after="80" w:before="200" w:line="480"/>
      </w:pPr>
      <w:r>
        <w:t xml:space="preserve">3.1  No strategy dominates across regimes (simulation)</w:t>
      </w:r>
    </w:p>
    <w:p>
      <w:pPr>
        <w:spacing w:after="0" w:line="480"/>
        <w:ind w:firstLine="360"/>
      </w:pPr>
      <w:r>
        <w:t xml:space="preserve">Recovery of the true niche depended jointly on the coupling between quality and environment (β) and on the directedness of positional error (ρ). With no coupling, all strategies recovered the true suitability surface almost perfectly, and filtering merely reduced sample size. With coupling but isotropic positional error, hard filtering biased the niche (Spearman with truth falling from near unity to about 0.86) while retaining all records remained accurate; inverse-propensity weighting corrected most of the filtering bias but only up to a positivity ceiling (about 0.97), because environments with vanishing retention probability contained no high-quality records to reweight. With directed positional error, retaining all records became biased even in the absence of coupling, as systematically mislocated records imported the wrong environment. The best strategy therefore flipped with the regime: coupling determines when filtering is harmful, and the directedness of coordinate error determines when retaining everything is harmful. The propensity discrimination and the effective sample size — both observable on real data — track these axes and locate a dataset on the resulting map.</w:t>
      </w:r>
    </w:p>
    <w:p>
      <w:pPr>
        <w:pStyle w:val="Heading2"/>
        <w:spacing w:after="80" w:before="200" w:line="480"/>
      </w:pPr>
      <w:r>
        <w:t xml:space="preserve">3.2  Filtering shifts the crayfish niche along climatic axes (diagnostic)</w:t>
      </w:r>
    </w:p>
    <w:p>
      <w:pPr>
        <w:spacing w:after="0" w:line="480"/>
        <w:ind w:firstLine="360"/>
      </w:pPr>
      <w:r>
        <w:t xml:space="preserve">Of 113,907 records, 72.6% carried a high-accuracy label. Filtering shifted the occurrence distribution significantly in environmental space (energy-distance permutation p = 0.005). The shift was coherent and concentrated on climatic axes: high-accuracy records over-represented a band of climate descriptors (standardized mean differences ≈ 0.16 across many correlated climate variables) and under-represented a subset of soil descriptors, while topographic axes shifted less. Under basin-blocked cross-validation the propensity to be high-accuracy was moderately predictable from the local environment (AUC = 0.722), more so than from record status and year alone (AUC = 0.688); environment and metadata were partly redundant (combined AUC = 0.763), leaving a moderate but spatially robust environmental component beyond status and year (incremental AUC +0.075). We note that this estimate is conservative — the propensity used a reduced-rank environmental representation — and that source- or batch-level metadata were not available, so the residual environmental component is conditional on status and year but not on collection batch.</w:t>
      </w:r>
    </w:p>
    <w:p>
      <w:pPr>
        <w:pStyle w:val="Heading2"/>
        <w:spacing w:after="80" w:before="200" w:line="480"/>
      </w:pPr>
      <w:r>
        <w:t xml:space="preserve">3.3  The consequence is modest but the corrections diverge (SDM)</w:t>
      </w:r>
    </w:p>
    <w:p>
      <w:pPr>
        <w:spacing w:after="0" w:line="480"/>
        <w:ind w:firstLine="360"/>
      </w:pPr>
      <w:r>
        <w:t xml:space="preserve">Across seven species, hard filtering changed predicted suitability only modestly: the mean absolute change in predicted suitability between using all records and filtering to high accuracy was 0.03–0.05, and the overlap of the top-decile suitable area was high (Jaccard 0.76–0.92). The magnitude of this change did not differ systematically with biogeographic status, and was not explained by sample size or by per-species positivity (effective sample sizes were generally healthy, 63–88%). However, the direction of the correction mattered: as predicted, hard filtering and inverse-propensity weighting moved predictions in opposite directions in environmental space, so that the divergence between these two defensible treatments — rather than the change from filtering alone — is the quantity a practitioner cannot resolve from the data. One secondary, purely methodological pattern emerged: the sensitivity of predictions to inverse-propensity reweighting was larger for species with broader, background-overlapping distributions and smaller for environmental specialists, consistent with reweighting having more leverage where the presence–background contrast is weaker. This is a property of the weighting operation and carries no biogeographic interpretation.</w:t>
      </w:r>
    </w:p>
    <w:p>
      <w:pPr>
        <w:pStyle w:val="Heading1"/>
        <w:spacing w:after="120" w:before="280" w:line="480"/>
      </w:pPr>
      <w:r>
        <w:t xml:space="preserve">4  Discussion (outline for drafting)</w:t>
      </w:r>
    </w:p>
    <w:p>
      <w:pPr>
        <w:spacing w:after="120" w:line="480"/>
      </w:pPr>
      <w:r>
        <w:rPr>
          <w:i/>
          <w:iCs/>
          <w:color w:val="666666"/>
        </w:rPr>
        <w:t xml:space="preserve">Structured points for prose; to be expanded with literature and ecological framing by co-authors.</w:t>
      </w:r>
    </w:p>
    <w:p>
      <w:pPr>
        <w:pStyle w:val="ListParagraph"/>
        <w:numPr>
          <w:ilvl w:val="0"/>
          <w:numId w:val="2"/>
        </w:numPr>
        <w:spacing w:after="60" w:line="480"/>
      </w:pPr>
      <w:r>
        <w:t xml:space="preserve">Headline: quality filtering is frequently benign but not reliably so; the contribution is a way to know which case applies, not a claim that filtering is generally dangerous. State the modest, uniform empirical effect honestly as the typical case, with the diagnostic flagging the exceptions.</w:t>
      </w:r>
    </w:p>
    <w:p>
      <w:pPr>
        <w:pStyle w:val="ListParagraph"/>
        <w:numPr>
          <w:ilvl w:val="0"/>
          <w:numId w:val="2"/>
        </w:numPr>
        <w:spacing w:after="60" w:line="480"/>
      </w:pPr>
      <w:r>
        <w:t xml:space="preserve">The two failure modes and the decision map: coupling (β) governs filtering bias; directedness of coordinate error (ρ) governs the cost of retaining everything. The propensity AUC and ESS are the observable coordinates; ρ is not identifiable from data, hence the recommendation to report a sensitivity analysis spanning FILTER and IPW.</w:t>
      </w:r>
    </w:p>
    <w:p>
      <w:pPr>
        <w:pStyle w:val="ListParagraph"/>
        <w:numPr>
          <w:ilvl w:val="0"/>
          <w:numId w:val="2"/>
        </w:numPr>
        <w:spacing w:after="60" w:line="480"/>
      </w:pPr>
      <w:r>
        <w:t xml:space="preserve">The opposite-direction result: FILTER/TRUST and IPW bracket the unbiased niche from opposite sides; the spread between them is the irreducible uncertainty of the filtering decision. This reframes the practical question from ‘which threshold’ to ‘how far apart are the defensible corrections, and is my conclusion robust across them’.</w:t>
      </w:r>
    </w:p>
    <w:p>
      <w:pPr>
        <w:pStyle w:val="ListParagraph"/>
        <w:numPr>
          <w:ilvl w:val="0"/>
          <w:numId w:val="2"/>
        </w:numPr>
        <w:spacing w:after="60" w:line="480"/>
      </w:pPr>
      <w:r>
        <w:t xml:space="preserve">Positivity as a practical limit: IPW reconstructs the niche only where high-quality records exist; global propensity audits reveal the stress, per-species fits were mostly adequate here. Stratified (Mondrian) weighting as the response when positivity fails within identifiable subgroups.</w:t>
      </w:r>
    </w:p>
    <w:p>
      <w:pPr>
        <w:pStyle w:val="ListParagraph"/>
        <w:numPr>
          <w:ilvl w:val="0"/>
          <w:numId w:val="2"/>
        </w:numPr>
        <w:spacing w:after="60" w:line="480"/>
      </w:pPr>
      <w:r>
        <w:t xml:space="preserve">Methodological observation (no ecological claim): reweighting sensitivity scales with niche breadth / background overlap. Useful for practitioners deciding where weighting will most change results; explicitly not an invasion-ecology finding.</w:t>
      </w:r>
    </w:p>
    <w:p>
      <w:pPr>
        <w:pStyle w:val="ListParagraph"/>
        <w:numPr>
          <w:ilvl w:val="0"/>
          <w:numId w:val="2"/>
        </w:numPr>
        <w:spacing w:after="60" w:line="480"/>
      </w:pPr>
      <w:r>
        <w:t xml:space="preserve">Relationship to existing sampling-bias and background-design literature: quality filtering is a previously unexamined instance of a familiar problem; connect to target-group background and effort correction.</w:t>
      </w:r>
    </w:p>
    <w:p>
      <w:pPr>
        <w:pStyle w:val="ListParagraph"/>
        <w:numPr>
          <w:ilvl w:val="0"/>
          <w:numId w:val="2"/>
        </w:numPr>
        <w:spacing w:after="60" w:line="480"/>
      </w:pPr>
      <w:r>
        <w:t xml:space="preserve">Limitations: (i) a single taxon — generality across taxa and systems is the principal open question, and continuous coordinate-uncertainty datasets (e.g. GBIF) are the natural next system and a cleaner demonstration of thresholding versus weighting, with the caveat that such uncertainty is sparse and non-randomly missing; (ii) source/batch confounders were unavailable, so the residual environmental component is conditional on status and year only; (iii) the magnitude of the SDM consequence is learner-dependent and may be larger for models more sensitive to reweighting than the random forests used here.</w:t>
      </w:r>
    </w:p>
    <w:p>
      <w:pPr>
        <w:pStyle w:val="ListParagraph"/>
        <w:numPr>
          <w:ilvl w:val="0"/>
          <w:numId w:val="2"/>
        </w:numPr>
        <w:spacing w:after="60" w:line="480"/>
      </w:pPr>
      <w:r>
        <w:t xml:space="preserve">Recommendations for practice: treat accuracy filtering as a modelling decision, not data hygiene; run the diagnostic to check whether quality is environmentally structured; if it is, report predictions under hard filtering and inverse-propensity weighting as a sensitivity analysis with overlap diagnostics, rather than committing silently to a single threshold.</w:t>
      </w:r>
    </w:p>
    <w:p>
      <w:pPr>
        <w:pStyle w:val="Heading1"/>
        <w:spacing w:after="120" w:before="280" w:line="480"/>
      </w:pPr>
      <w:r>
        <w:t xml:space="preserve">Figure and table captions</w:t>
      </w:r>
    </w:p>
    <w:p>
      <w:pPr>
        <w:spacing w:after="0" w:line="480"/>
        <w:ind w:firstLine="360"/>
      </w:pPr>
      <w:r>
        <w:rPr>
          <w:i w:val="false"/>
          <w:iCs w:val="false"/>
        </w:rPr>
        <w:t xml:space="preserve"/>
      </w:r>
      <w:r>
        <w:rPr>
          <w:i/>
          <w:iCs/>
        </w:rPr>
        <w:t xml:space="preserve">Figure 1.</w:t>
      </w:r>
      <w:r>
        <w:rPr>
          <w:i w:val="false"/>
          <w:iCs w:val="false"/>
        </w:rPr>
        <w:t xml:space="preserve"> Simulation decision map. Recovery of the true suitability surface (Spearman) for each strategy across the coupling (β) and error-directedness (ρ) regimes, showing that no strategy dominates and that inverse-propensity weighting is bounded by positivity.</w:t>
      </w:r>
    </w:p>
    <w:p>
      <w:pPr>
        <w:spacing w:after="0" w:line="480"/>
        <w:ind w:firstLine="360"/>
      </w:pPr>
      <w:r>
        <w:rPr>
          <w:i w:val="false"/>
          <w:iCs w:val="false"/>
        </w:rPr>
        <w:t xml:space="preserve"/>
      </w:r>
      <w:r>
        <w:rPr>
          <w:i/>
          <w:iCs/>
        </w:rPr>
        <w:t xml:space="preserve">Figure 2.</w:t>
      </w:r>
      <w:r>
        <w:rPr>
          <w:i w:val="false"/>
          <w:iCs w:val="false"/>
        </w:rPr>
        <w:t xml:space="preserve"> Crayfish diagnostic. Per-axis standardized mean differences between all and high-accuracy occurrences, with the multivariate energy-distance shift and the propensity/positivity summary.</w:t>
      </w:r>
    </w:p>
    <w:p>
      <w:pPr>
        <w:spacing w:after="0" w:line="480"/>
        <w:ind w:firstLine="360"/>
      </w:pPr>
      <w:r>
        <w:rPr>
          <w:i w:val="false"/>
          <w:iCs w:val="false"/>
        </w:rPr>
        <w:t xml:space="preserve"/>
      </w:r>
      <w:r>
        <w:rPr>
          <w:i/>
          <w:iCs/>
        </w:rPr>
        <w:t xml:space="preserve">Figure 3.</w:t>
      </w:r>
      <w:r>
        <w:rPr>
          <w:i w:val="false"/>
          <w:iCs w:val="false"/>
        </w:rPr>
        <w:t xml:space="preserve"> Consequence and divergence. Predicted-suitability divergence between strategies across species (top-decile overlap and absolute differences), highlighting the opposite-direction movement of hard filtering and inverse-propensity weighting.</w:t>
      </w:r>
    </w:p>
    <w:p>
      <w:pPr>
        <w:spacing w:after="0" w:line="480"/>
        <w:ind w:firstLine="360"/>
      </w:pPr>
      <w:r>
        <w:rPr>
          <w:i w:val="false"/>
          <w:iCs w:val="false"/>
        </w:rPr>
        <w:t xml:space="preserve"/>
      </w:r>
      <w:r>
        <w:rPr>
          <w:i/>
          <w:iCs/>
        </w:rPr>
        <w:t xml:space="preserve">Table 1.</w:t>
      </w:r>
      <w:r>
        <w:rPr>
          <w:i w:val="false"/>
          <w:iCs w:val="false"/>
        </w:rPr>
        <w:t xml:space="preserve"> Strategy definitions and the environmental-space direction each induces.</w:t>
      </w:r>
    </w:p>
    <w:p>
      <w:pPr>
        <w:spacing w:after="0" w:line="480"/>
        <w:ind w:firstLine="360"/>
      </w:pPr>
      <w:r>
        <w:rPr>
          <w:i w:val="false"/>
          <w:iCs w:val="false"/>
        </w:rPr>
        <w:t xml:space="preserve"/>
      </w:r>
      <w:r>
        <w:rPr>
          <w:i/>
          <w:iCs/>
        </w:rPr>
        <w:t xml:space="preserve">Table 2.</w:t>
      </w:r>
      <w:r>
        <w:rPr>
          <w:i w:val="false"/>
          <w:iCs w:val="false"/>
        </w:rPr>
        <w:t xml:space="preserve"> Per-species summary: sample size, high-accuracy rate, propensity discrimination, effective sample size, and between-strategy divergence.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2026-06-27T13:54:38.701Z</dcterms:created>
  <dcterms:modified xsi:type="dcterms:W3CDTF">2026-06-27T13:54:38.702Z</dcterms:modified>
</cp:coreProperties>
</file>

<file path=docProps/custom.xml><?xml version="1.0" encoding="utf-8"?>
<Properties xmlns="http://schemas.openxmlformats.org/officeDocument/2006/custom-properties" xmlns:vt="http://schemas.openxmlformats.org/officeDocument/2006/docPropsVTypes"/>
</file>