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Lineage-level ecological differentiation in the Austropotamobius torrentium complex</w:t>
      </w:r>
    </w:p>
    <w:p>
      <w:pPr>
        <w:jc w:val="center"/>
        <w:pBdr>
          <w:bottom w:val="single" w:sz="6" w:space="1" w:color="B0B0B0"/>
        </w:pBdr>
      </w:pPr>
      <w:r>
        <w:rPr>
          <w:i/>
          <w:color w:val="5A5A5A"/>
          <w:sz w:val="21"/>
        </w:rPr>
        <w:t>Methods and results summary for manuscript drafting</w:t>
      </w:r>
    </w:p>
    <w:p>
      <w:pPr>
        <w:jc w:val="both"/>
      </w:pPr>
      <w:r>
        <w:rPr>
          <w:b/>
        </w:rPr>
        <w:t xml:space="preserve">Scope. </w:t>
      </w:r>
      <w:r>
        <w:t xml:space="preserve">This document summarizes the analytical workflow and current results for the lineage-focused paper based on </w:t>
      </w:r>
      <w:r>
        <w:rPr>
          <w:i/>
        </w:rPr>
        <w:t>master_lineage.xlsx</w:t>
      </w:r>
      <w:r>
        <w:t>. The text is written in scientific-paper style so it can be adapted directly into the manuscript draft.</w:t>
      </w:r>
    </w:p>
    <w:p>
      <w:pPr>
        <w:pStyle w:val="Heading1"/>
      </w:pPr>
      <w:r>
        <w:t>Methodology</w:t>
      </w:r>
    </w:p>
    <w:p>
      <w:pPr>
        <w:spacing w:after="120"/>
        <w:jc w:val="both"/>
      </w:pPr>
      <w:r>
        <w:t>All analyses were based on the lineage-level GeoTraits derivative table (master_lineage.xlsx), which contains hydrologically resolved environmental predictors together with lineage labels and haplogroup information. The response variable for the main classification analyses was the LABEL field, with four ecological groups retained: A. torrentium - CSE, A. torrentium - SB, A. torrentium - NCD, and A. bihariensis.</w:t>
      </w:r>
    </w:p>
    <w:p>
      <w:pPr>
        <w:spacing w:after="120"/>
        <w:jc w:val="both"/>
      </w:pPr>
      <w:r>
        <w:t>To ensure consistency with the previous niche-reorganisation studies, records were filtered to retain only High-accuracy observations with snapping distance ≤ 1000 m. Duplicate occurrences were then removed at the level of LABEL × subc_id so that repeated observations within the same river-network unit did not inflate discrimination performance. Starting from 2,869 records, filtering retained 1,368 high-quality records, and deduplication yielded 786 unique lineage-group records for analysis.</w:t>
      </w:r>
    </w:p>
    <w:p>
      <w:pPr>
        <w:spacing w:after="120"/>
        <w:jc w:val="both"/>
      </w:pPr>
      <w:r>
        <w:t>Environmental predictors were extracted using the same variable families used in the earlier crayfish niche studies: local and upstream climate, topography, land cover, and soil variables. Variables with excessive missingness were excluded using a 30% threshold, remaining missing values were imputed by the median, constant variables were removed, and highly correlated variables were filtered at |r| &gt; 0.98. This yielded 270 retained predictors for the lineage-level models.</w:t>
      </w:r>
    </w:p>
    <w:p>
      <w:pPr>
        <w:spacing w:after="120"/>
        <w:jc w:val="both"/>
      </w:pPr>
      <w:r>
        <w:t>For supervised classification, a multiclass decision tree and a multiclass random forest were fitted using the four LABEL groups as target classes. The decision tree used balanced class weights and maximum depth 5. The random forest used 1,000 trees, balanced class weights, and sqrt feature subsampling. Performance was evaluated with 5-fold stratified cross-validation using accuracy, macro-averaged F1, and weighted F1. Cross-validated predictions were also used to derive class-wise precision, recall, and F1 scores.</w:t>
      </w:r>
    </w:p>
    <w:p>
      <w:pPr>
        <w:spacing w:after="120"/>
        <w:jc w:val="both"/>
      </w:pPr>
      <w:r>
        <w:t>To interpret environmental drivers, raw feature importances were aggregated by variable family (climate, topography, soil, land cover). This allowed direct comparison of the relative role of broad ecological domains rather than focusing only on single variables.</w:t>
      </w:r>
    </w:p>
    <w:p>
      <w:pPr>
        <w:spacing w:after="120"/>
        <w:jc w:val="both"/>
      </w:pPr>
      <w:r>
        <w:t>To visualize ecological differentiation in reduced environmental space, principal component analysis (PCA) was performed on the filtered and standardized predictor matrix. PCA was first applied to all four lineage groups together, and centroid positions were computed for each group in the PC1–PC2 space. Pairwise Euclidean distances between centroids were then used as a compact measure of ecological separation among groups.</w:t>
      </w:r>
    </w:p>
    <w:p>
      <w:pPr>
        <w:spacing w:after="120"/>
        <w:jc w:val="both"/>
      </w:pPr>
      <w:r>
        <w:t>Because Lucian specifically requested visualization of possible substructure within A. torrentium - NCD, a second exploratory PCA was performed on the NCD subset alone. In the full-group PCA plot, NCD records were displayed using haplogroup-specific marker symbols while retaining one shared color for the NCD lineage group. In the NCD-only PCA, haplogroups were displayed as distinct categories to assess whether exploratory structure was visible within this merged lineage complex. Given the small sample sizes for several haplogroups, this part of the analysis was treated as descriptive rather than inferential.</w:t>
      </w:r>
    </w:p>
    <w:p>
      <w:pPr>
        <w:pStyle w:val="Heading2"/>
      </w:pPr>
      <w:r>
        <w:t>Filtered sample sizes</w:t>
      </w:r>
    </w:p>
    <w:tbl>
      <w:tblPr>
        <w:tblStyle w:val="TableGrid"/>
        <w:tblW w:type="auto" w:w="0"/>
        <w:jc w:val="center"/>
        <w:tblLook w:firstColumn="1" w:firstRow="1" w:lastColumn="0" w:lastRow="0" w:noHBand="0" w:noVBand="1" w:val="04A0"/>
      </w:tblPr>
      <w:tblGrid>
        <w:gridCol w:w="4816"/>
        <w:gridCol w:w="4816"/>
      </w:tblGrid>
      <w:tr>
        <w:tc>
          <w:tcPr>
            <w:tcW w:type="dxa" w:w="4816"/>
            <w:shd w:fill="D9EAF7"/>
            <w:vAlign w:val="center"/>
            <w:tcMar>
              <w:top w:w="80" w:type="dxa"/>
              <w:start w:w="100" w:type="dxa"/>
              <w:bottom w:w="80" w:type="dxa"/>
              <w:end w:w="100" w:type="dxa"/>
            </w:tcMar>
          </w:tcPr>
          <w:p>
            <w:pPr>
              <w:jc w:val="center"/>
            </w:pPr>
            <w:r>
              <w:rPr>
                <w:b/>
              </w:rPr>
              <w:t>Group</w:t>
            </w:r>
          </w:p>
        </w:tc>
        <w:tc>
          <w:tcPr>
            <w:tcW w:type="dxa" w:w="4816"/>
            <w:shd w:fill="D9EAF7"/>
            <w:vAlign w:val="center"/>
            <w:tcMar>
              <w:top w:w="80" w:type="dxa"/>
              <w:start w:w="100" w:type="dxa"/>
              <w:bottom w:w="80" w:type="dxa"/>
              <w:end w:w="100" w:type="dxa"/>
            </w:tcMar>
          </w:tcPr>
          <w:p>
            <w:pPr>
              <w:jc w:val="center"/>
            </w:pPr>
            <w:r>
              <w:rPr>
                <w:b/>
              </w:rPr>
              <w:t>n</w:t>
            </w:r>
          </w:p>
        </w:tc>
      </w:tr>
      <w:tr>
        <w:tc>
          <w:tcPr>
            <w:tcW w:type="dxa" w:w="4816"/>
            <w:vAlign w:val="center"/>
            <w:tcMar>
              <w:top w:w="80" w:type="dxa"/>
              <w:start w:w="100" w:type="dxa"/>
              <w:bottom w:w="80" w:type="dxa"/>
              <w:end w:w="100" w:type="dxa"/>
            </w:tcMar>
          </w:tcPr>
          <w:p>
            <w:r>
              <w:t>A. torrentium - CSE</w:t>
            </w:r>
          </w:p>
        </w:tc>
        <w:tc>
          <w:tcPr>
            <w:tcW w:type="dxa" w:w="4816"/>
            <w:vAlign w:val="center"/>
            <w:tcMar>
              <w:top w:w="80" w:type="dxa"/>
              <w:start w:w="100" w:type="dxa"/>
              <w:bottom w:w="80" w:type="dxa"/>
              <w:end w:w="100" w:type="dxa"/>
            </w:tcMar>
          </w:tcPr>
          <w:p>
            <w:pPr>
              <w:jc w:val="center"/>
            </w:pPr>
            <w:r>
              <w:t>433</w:t>
            </w:r>
          </w:p>
        </w:tc>
      </w:tr>
      <w:tr>
        <w:tc>
          <w:tcPr>
            <w:tcW w:type="dxa" w:w="4816"/>
            <w:vAlign w:val="center"/>
            <w:tcMar>
              <w:top w:w="80" w:type="dxa"/>
              <w:start w:w="100" w:type="dxa"/>
              <w:bottom w:w="80" w:type="dxa"/>
              <w:end w:w="100" w:type="dxa"/>
            </w:tcMar>
          </w:tcPr>
          <w:p>
            <w:r>
              <w:t>A. torrentium - SB</w:t>
            </w:r>
          </w:p>
        </w:tc>
        <w:tc>
          <w:tcPr>
            <w:tcW w:type="dxa" w:w="4816"/>
            <w:vAlign w:val="center"/>
            <w:tcMar>
              <w:top w:w="80" w:type="dxa"/>
              <w:start w:w="100" w:type="dxa"/>
              <w:bottom w:w="80" w:type="dxa"/>
              <w:end w:w="100" w:type="dxa"/>
            </w:tcMar>
          </w:tcPr>
          <w:p>
            <w:pPr>
              <w:jc w:val="center"/>
            </w:pPr>
            <w:r>
              <w:t>230</w:t>
            </w:r>
          </w:p>
        </w:tc>
      </w:tr>
      <w:tr>
        <w:tc>
          <w:tcPr>
            <w:tcW w:type="dxa" w:w="4816"/>
            <w:vAlign w:val="center"/>
            <w:tcMar>
              <w:top w:w="80" w:type="dxa"/>
              <w:start w:w="100" w:type="dxa"/>
              <w:bottom w:w="80" w:type="dxa"/>
              <w:end w:w="100" w:type="dxa"/>
            </w:tcMar>
          </w:tcPr>
          <w:p>
            <w:r>
              <w:t>A. torrentium - NCD</w:t>
            </w:r>
          </w:p>
        </w:tc>
        <w:tc>
          <w:tcPr>
            <w:tcW w:type="dxa" w:w="4816"/>
            <w:vAlign w:val="center"/>
            <w:tcMar>
              <w:top w:w="80" w:type="dxa"/>
              <w:start w:w="100" w:type="dxa"/>
              <w:bottom w:w="80" w:type="dxa"/>
              <w:end w:w="100" w:type="dxa"/>
            </w:tcMar>
          </w:tcPr>
          <w:p>
            <w:pPr>
              <w:jc w:val="center"/>
            </w:pPr>
            <w:r>
              <w:t>64</w:t>
            </w:r>
          </w:p>
        </w:tc>
      </w:tr>
      <w:tr>
        <w:tc>
          <w:tcPr>
            <w:tcW w:type="dxa" w:w="4816"/>
            <w:vAlign w:val="center"/>
            <w:tcMar>
              <w:top w:w="80" w:type="dxa"/>
              <w:start w:w="100" w:type="dxa"/>
              <w:bottom w:w="80" w:type="dxa"/>
              <w:end w:w="100" w:type="dxa"/>
            </w:tcMar>
          </w:tcPr>
          <w:p>
            <w:r>
              <w:t>A. bihariensis</w:t>
            </w:r>
          </w:p>
        </w:tc>
        <w:tc>
          <w:tcPr>
            <w:tcW w:type="dxa" w:w="4816"/>
            <w:vAlign w:val="center"/>
            <w:tcMar>
              <w:top w:w="80" w:type="dxa"/>
              <w:start w:w="100" w:type="dxa"/>
              <w:bottom w:w="80" w:type="dxa"/>
              <w:end w:w="100" w:type="dxa"/>
            </w:tcMar>
          </w:tcPr>
          <w:p>
            <w:pPr>
              <w:jc w:val="center"/>
            </w:pPr>
            <w:r>
              <w:t>59</w:t>
            </w:r>
          </w:p>
        </w:tc>
      </w:tr>
    </w:tbl>
    <w:p>
      <w:pPr>
        <w:pStyle w:val="Heading1"/>
      </w:pPr>
      <w:r>
        <w:t>Results</w:t>
      </w:r>
    </w:p>
    <w:p>
      <w:pPr>
        <w:spacing w:after="120"/>
        <w:jc w:val="both"/>
      </w:pPr>
      <w:r>
        <w:t>The multiclass decision tree showed moderate-to-strong ecological separability among the four lineage-level groups. Cross-validated accuracy was 0.803 ± 0.017, with macro-F1 of 0.743 ± 0.027 and weighted F1 of 0.810 ± 0.017. Classification performance was best for A. torrentium - SB and A. torrentium - CSE, whereas A. torrentium - NCD was the most difficult class to distinguish. For NCD, precision was 0.469, recall 0.719, and F1 0.568, indicating that many NCD occurrences were predicted as belonging to other groups despite reasonably good recovery of true NCD records.</w:t>
      </w:r>
    </w:p>
    <w:p>
      <w:pPr>
        <w:spacing w:after="120"/>
        <w:jc w:val="both"/>
      </w:pPr>
      <w:r>
        <w:t>Decision-tree feature importance was dominated by climate variables (65.0%), followed by topography (19.9%) and soil (15.1%), while land cover contributed negligibly. The leading individual predictors were l_CLI5, l_CLI29, l_TOP109, l_CLI21, and l_SOL23. This pattern indicates that broad climatic structure is the primary axis of lineage-level ecological differentiation, with topographic and edaphic context contributing secondarily.</w:t>
      </w:r>
    </w:p>
    <w:p>
      <w:pPr>
        <w:spacing w:after="120"/>
        <w:jc w:val="both"/>
      </w:pPr>
      <w:r>
        <w:t>The multiclass random forest provided a robustness check and improved discrimination relative to the single tree. Cross-validated accuracy increased to 0.849 ± 0.034, macro-F1 was 0.752 ± 0.061, and weighted F1 was 0.841 ± 0.036. A. torrentium - SB and A. torrentium - CSE again showed the strongest classification performance, whereas A. torrentium - NCD remained the most difficult class, with precision 0.619, recall 0.406, and F1 0.491. Thus, the finding that NCD is the least cleanly separable group is not an artifact of tree topology.</w:t>
      </w:r>
    </w:p>
    <w:p>
      <w:pPr>
        <w:spacing w:after="120"/>
        <w:jc w:val="both"/>
      </w:pPr>
      <w:r>
        <w:t>Random-forest importance was more broadly distributed than decision-tree importance, but it preserved the same overall ecological ranking of driver types. Climate remained the most important variable family (48.5%), followed by topography (27.9%), soil (21.9%), and land cover (1.6%). In other words, the ensemble model weakened the dominance of climate but still supported a climate-first ecological differentiation framework.</w:t>
      </w:r>
    </w:p>
    <w:p>
      <w:pPr>
        <w:spacing w:after="120"/>
        <w:jc w:val="both"/>
      </w:pPr>
      <w:r>
        <w:t>PCA of all four groups showed that PC1 explained 14.30% of total standardized environmental variance and PC2 explained 8.14%, for a combined two-axis representation of 22.44%. In this reduced niche space, A. torrentium - SB occupied the most distinct position. The largest centroid distance was observed between NCD and SB (7.36), followed by CSE versus SB (5.52) and A. bihariensis versus SB (5.23). By contrast, the smallest centroid distance was between CSE and NCD (1.97), with A. bihariensis also relatively close to CSE (2.30). The PCA therefore converged with the classification models: SB is the most ecologically distinctive lineage group, whereas NCD and CSE are the most overlapping pair.</w:t>
      </w:r>
    </w:p>
    <w:p>
      <w:pPr>
        <w:spacing w:after="120"/>
        <w:jc w:val="both"/>
      </w:pPr>
      <w:r>
        <w:t>The full-group PCA plot with haplogroup-specific symbols for NCD records suggested that NCD does not form a single compact ecological cloud. Instead, the group appears internally heterogeneous, although overlap among haplogroups remains substantial. This justified a second, NCD-only exploratory PCA.</w:t>
      </w:r>
    </w:p>
    <w:p>
      <w:pPr>
        <w:spacing w:after="120"/>
        <w:jc w:val="both"/>
      </w:pPr>
      <w:r>
        <w:t>In the NCD-only PCA, PC1 explained 19.91% and PC2 explained 13.49% of variance, giving a combined 33.40% representation on the first two axes. Haplogroup centroids suggested partial internal structuring. BAN and KOR tended toward positive PC1 values, GK toward negative PC1 values, LD occupied a more central position with somewhat elevated PC2, and ZPB remained relatively diffuse and overlapping. VOJ appeared strongly separated from the other haplogroups; however, this pattern was based on only two retained records and should therefore be interpreted very cautiously. ZV was represented by a single retained record and is descriptive only. Overall, the NCD-only ordination supports cautious discussion of partial haplogroup-level ecological structure, but not strong claims of fully discrete subclusters.</w:t>
      </w:r>
    </w:p>
    <w:p>
      <w:pPr>
        <w:pStyle w:val="Heading2"/>
      </w:pPr>
      <w:r>
        <w:t>Summary of quantitative results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shd w:fill="D9EAF7"/>
            <w:vAlign w:val="center"/>
            <w:tcMar>
              <w:top w:w="80" w:type="dxa"/>
              <w:start w:w="100" w:type="dxa"/>
              <w:bottom w:w="80" w:type="dxa"/>
              <w:end w:w="100" w:type="dxa"/>
            </w:tcMar>
          </w:tcPr>
          <w:p>
            <w:pPr>
              <w:jc w:val="center"/>
            </w:pPr>
            <w:r>
              <w:rPr>
                <w:b/>
              </w:rPr>
              <w:t>Analysis</w:t>
            </w:r>
          </w:p>
        </w:tc>
        <w:tc>
          <w:tcPr>
            <w:tcW w:type="dxa" w:w="2408"/>
            <w:shd w:fill="D9EAF7"/>
            <w:vAlign w:val="center"/>
            <w:tcMar>
              <w:top w:w="80" w:type="dxa"/>
              <w:start w:w="100" w:type="dxa"/>
              <w:bottom w:w="80" w:type="dxa"/>
              <w:end w:w="100" w:type="dxa"/>
            </w:tcMar>
          </w:tcPr>
          <w:p>
            <w:pPr>
              <w:jc w:val="center"/>
            </w:pPr>
            <w:r>
              <w:rPr>
                <w:b/>
              </w:rPr>
              <w:t>Metric</w:t>
            </w:r>
          </w:p>
        </w:tc>
        <w:tc>
          <w:tcPr>
            <w:tcW w:type="dxa" w:w="2408"/>
            <w:shd w:fill="D9EAF7"/>
            <w:vAlign w:val="center"/>
            <w:tcMar>
              <w:top w:w="80" w:type="dxa"/>
              <w:start w:w="100" w:type="dxa"/>
              <w:bottom w:w="80" w:type="dxa"/>
              <w:end w:w="100" w:type="dxa"/>
            </w:tcMar>
          </w:tcPr>
          <w:p>
            <w:pPr>
              <w:jc w:val="center"/>
            </w:pPr>
            <w:r>
              <w:rPr>
                <w:b/>
              </w:rPr>
              <w:t>Value</w:t>
            </w:r>
          </w:p>
        </w:tc>
        <w:tc>
          <w:tcPr>
            <w:tcW w:type="dxa" w:w="2408"/>
            <w:shd w:fill="D9EAF7"/>
            <w:vAlign w:val="center"/>
            <w:tcMar>
              <w:top w:w="80" w:type="dxa"/>
              <w:start w:w="100" w:type="dxa"/>
              <w:bottom w:w="80" w:type="dxa"/>
              <w:end w:w="100" w:type="dxa"/>
            </w:tcMar>
          </w:tcPr>
          <w:p>
            <w:pPr>
              <w:jc w:val="center"/>
            </w:pPr>
            <w:r>
              <w:rPr>
                <w:b/>
              </w:rPr>
              <w:t>Interpretation</w:t>
            </w:r>
          </w:p>
        </w:tc>
      </w:tr>
      <w:tr>
        <w:tc>
          <w:tcPr>
            <w:tcW w:type="dxa" w:w="2408"/>
            <w:vAlign w:val="center"/>
            <w:tcMar>
              <w:top w:w="80" w:type="dxa"/>
              <w:start w:w="100" w:type="dxa"/>
              <w:bottom w:w="80" w:type="dxa"/>
              <w:end w:w="100" w:type="dxa"/>
            </w:tcMar>
          </w:tcPr>
          <w:p>
            <w:r>
              <w:t>Decision tree</w:t>
            </w:r>
          </w:p>
        </w:tc>
        <w:tc>
          <w:tcPr>
            <w:tcW w:type="dxa" w:w="2408"/>
            <w:vAlign w:val="center"/>
            <w:tcMar>
              <w:top w:w="80" w:type="dxa"/>
              <w:start w:w="100" w:type="dxa"/>
              <w:bottom w:w="80" w:type="dxa"/>
              <w:end w:w="100" w:type="dxa"/>
            </w:tcMar>
          </w:tcPr>
          <w:p>
            <w:pPr>
              <w:jc w:val="center"/>
            </w:pPr>
            <w:r>
              <w:t>CV accuracy</w:t>
            </w:r>
          </w:p>
        </w:tc>
        <w:tc>
          <w:tcPr>
            <w:tcW w:type="dxa" w:w="2408"/>
            <w:vAlign w:val="center"/>
            <w:tcMar>
              <w:top w:w="80" w:type="dxa"/>
              <w:start w:w="100" w:type="dxa"/>
              <w:bottom w:w="80" w:type="dxa"/>
              <w:end w:w="100" w:type="dxa"/>
            </w:tcMar>
          </w:tcPr>
          <w:p>
            <w:pPr>
              <w:jc w:val="center"/>
            </w:pPr>
            <w:r>
              <w:t>0.803 ± 0.017</w:t>
            </w:r>
          </w:p>
        </w:tc>
        <w:tc>
          <w:tcPr>
            <w:tcW w:type="dxa" w:w="2408"/>
            <w:vAlign w:val="center"/>
            <w:tcMar>
              <w:top w:w="80" w:type="dxa"/>
              <w:start w:w="100" w:type="dxa"/>
              <w:bottom w:w="80" w:type="dxa"/>
              <w:end w:w="100" w:type="dxa"/>
            </w:tcMar>
          </w:tcPr>
          <w:p>
            <w:r>
              <w:t>Moderate-to-strong four-class separation</w:t>
            </w:r>
          </w:p>
        </w:tc>
      </w:tr>
      <w:tr>
        <w:tc>
          <w:tcPr>
            <w:tcW w:type="dxa" w:w="2408"/>
            <w:vAlign w:val="center"/>
            <w:tcMar>
              <w:top w:w="80" w:type="dxa"/>
              <w:start w:w="100" w:type="dxa"/>
              <w:bottom w:w="80" w:type="dxa"/>
              <w:end w:w="100" w:type="dxa"/>
            </w:tcMar>
          </w:tcPr>
          <w:p>
            <w:r>
              <w:t>Decision tree</w:t>
            </w:r>
          </w:p>
        </w:tc>
        <w:tc>
          <w:tcPr>
            <w:tcW w:type="dxa" w:w="2408"/>
            <w:vAlign w:val="center"/>
            <w:tcMar>
              <w:top w:w="80" w:type="dxa"/>
              <w:start w:w="100" w:type="dxa"/>
              <w:bottom w:w="80" w:type="dxa"/>
              <w:end w:w="100" w:type="dxa"/>
            </w:tcMar>
          </w:tcPr>
          <w:p>
            <w:pPr>
              <w:jc w:val="center"/>
            </w:pPr>
            <w:r>
              <w:t>Macro-F1</w:t>
            </w:r>
          </w:p>
        </w:tc>
        <w:tc>
          <w:tcPr>
            <w:tcW w:type="dxa" w:w="2408"/>
            <w:vAlign w:val="center"/>
            <w:tcMar>
              <w:top w:w="80" w:type="dxa"/>
              <w:start w:w="100" w:type="dxa"/>
              <w:bottom w:w="80" w:type="dxa"/>
              <w:end w:w="100" w:type="dxa"/>
            </w:tcMar>
          </w:tcPr>
          <w:p>
            <w:pPr>
              <w:jc w:val="center"/>
            </w:pPr>
            <w:r>
              <w:t>0.743 ± 0.027</w:t>
            </w:r>
          </w:p>
        </w:tc>
        <w:tc>
          <w:tcPr>
            <w:tcW w:type="dxa" w:w="2408"/>
            <w:vAlign w:val="center"/>
            <w:tcMar>
              <w:top w:w="80" w:type="dxa"/>
              <w:start w:w="100" w:type="dxa"/>
              <w:bottom w:w="80" w:type="dxa"/>
              <w:end w:w="100" w:type="dxa"/>
            </w:tcMar>
          </w:tcPr>
          <w:p>
            <w:r>
              <w:t>Performance reduced mainly by NCD</w:t>
            </w:r>
          </w:p>
        </w:tc>
      </w:tr>
      <w:tr>
        <w:tc>
          <w:tcPr>
            <w:tcW w:type="dxa" w:w="2408"/>
            <w:vAlign w:val="center"/>
            <w:tcMar>
              <w:top w:w="80" w:type="dxa"/>
              <w:start w:w="100" w:type="dxa"/>
              <w:bottom w:w="80" w:type="dxa"/>
              <w:end w:w="100" w:type="dxa"/>
            </w:tcMar>
          </w:tcPr>
          <w:p>
            <w:r>
              <w:t>Decision tree</w:t>
            </w:r>
          </w:p>
        </w:tc>
        <w:tc>
          <w:tcPr>
            <w:tcW w:type="dxa" w:w="2408"/>
            <w:vAlign w:val="center"/>
            <w:tcMar>
              <w:top w:w="80" w:type="dxa"/>
              <w:start w:w="100" w:type="dxa"/>
              <w:bottom w:w="80" w:type="dxa"/>
              <w:end w:w="100" w:type="dxa"/>
            </w:tcMar>
          </w:tcPr>
          <w:p>
            <w:pPr>
              <w:jc w:val="center"/>
            </w:pPr>
            <w:r>
              <w:t>Driver composition</w:t>
            </w:r>
          </w:p>
        </w:tc>
        <w:tc>
          <w:tcPr>
            <w:tcW w:type="dxa" w:w="2408"/>
            <w:vAlign w:val="center"/>
            <w:tcMar>
              <w:top w:w="80" w:type="dxa"/>
              <w:start w:w="100" w:type="dxa"/>
              <w:bottom w:w="80" w:type="dxa"/>
              <w:end w:w="100" w:type="dxa"/>
            </w:tcMar>
          </w:tcPr>
          <w:p>
            <w:pPr>
              <w:jc w:val="center"/>
            </w:pPr>
            <w:r>
              <w:t>Climate 65.0%; Topography 19.9%; Soil 15.1%</w:t>
            </w:r>
          </w:p>
        </w:tc>
        <w:tc>
          <w:tcPr>
            <w:tcW w:type="dxa" w:w="2408"/>
            <w:vAlign w:val="center"/>
            <w:tcMar>
              <w:top w:w="80" w:type="dxa"/>
              <w:start w:w="100" w:type="dxa"/>
              <w:bottom w:w="80" w:type="dxa"/>
              <w:end w:w="100" w:type="dxa"/>
            </w:tcMar>
          </w:tcPr>
          <w:p>
            <w:r>
              <w:t>Climate-dominated split</w:t>
            </w:r>
          </w:p>
        </w:tc>
      </w:tr>
      <w:tr>
        <w:tc>
          <w:tcPr>
            <w:tcW w:type="dxa" w:w="2408"/>
            <w:vAlign w:val="center"/>
            <w:tcMar>
              <w:top w:w="80" w:type="dxa"/>
              <w:start w:w="100" w:type="dxa"/>
              <w:bottom w:w="80" w:type="dxa"/>
              <w:end w:w="100" w:type="dxa"/>
            </w:tcMar>
          </w:tcPr>
          <w:p>
            <w:r>
              <w:t>Random forest</w:t>
            </w:r>
          </w:p>
        </w:tc>
        <w:tc>
          <w:tcPr>
            <w:tcW w:type="dxa" w:w="2408"/>
            <w:vAlign w:val="center"/>
            <w:tcMar>
              <w:top w:w="80" w:type="dxa"/>
              <w:start w:w="100" w:type="dxa"/>
              <w:bottom w:w="80" w:type="dxa"/>
              <w:end w:w="100" w:type="dxa"/>
            </w:tcMar>
          </w:tcPr>
          <w:p>
            <w:pPr>
              <w:jc w:val="center"/>
            </w:pPr>
            <w:r>
              <w:t>CV accuracy</w:t>
            </w:r>
          </w:p>
        </w:tc>
        <w:tc>
          <w:tcPr>
            <w:tcW w:type="dxa" w:w="2408"/>
            <w:vAlign w:val="center"/>
            <w:tcMar>
              <w:top w:w="80" w:type="dxa"/>
              <w:start w:w="100" w:type="dxa"/>
              <w:bottom w:w="80" w:type="dxa"/>
              <w:end w:w="100" w:type="dxa"/>
            </w:tcMar>
          </w:tcPr>
          <w:p>
            <w:pPr>
              <w:jc w:val="center"/>
            </w:pPr>
            <w:r>
              <w:t>0.849 ± 0.034</w:t>
            </w:r>
          </w:p>
        </w:tc>
        <w:tc>
          <w:tcPr>
            <w:tcW w:type="dxa" w:w="2408"/>
            <w:vAlign w:val="center"/>
            <w:tcMar>
              <w:top w:w="80" w:type="dxa"/>
              <w:start w:w="100" w:type="dxa"/>
              <w:bottom w:w="80" w:type="dxa"/>
              <w:end w:w="100" w:type="dxa"/>
            </w:tcMar>
          </w:tcPr>
          <w:p>
            <w:r>
              <w:t>Improved robustness over single tree</w:t>
            </w:r>
          </w:p>
        </w:tc>
      </w:tr>
      <w:tr>
        <w:tc>
          <w:tcPr>
            <w:tcW w:type="dxa" w:w="2408"/>
            <w:vAlign w:val="center"/>
            <w:tcMar>
              <w:top w:w="80" w:type="dxa"/>
              <w:start w:w="100" w:type="dxa"/>
              <w:bottom w:w="80" w:type="dxa"/>
              <w:end w:w="100" w:type="dxa"/>
            </w:tcMar>
          </w:tcPr>
          <w:p>
            <w:r>
              <w:t>Random forest</w:t>
            </w:r>
          </w:p>
        </w:tc>
        <w:tc>
          <w:tcPr>
            <w:tcW w:type="dxa" w:w="2408"/>
            <w:vAlign w:val="center"/>
            <w:tcMar>
              <w:top w:w="80" w:type="dxa"/>
              <w:start w:w="100" w:type="dxa"/>
              <w:bottom w:w="80" w:type="dxa"/>
              <w:end w:w="100" w:type="dxa"/>
            </w:tcMar>
          </w:tcPr>
          <w:p>
            <w:pPr>
              <w:jc w:val="center"/>
            </w:pPr>
            <w:r>
              <w:t>Macro-F1</w:t>
            </w:r>
          </w:p>
        </w:tc>
        <w:tc>
          <w:tcPr>
            <w:tcW w:type="dxa" w:w="2408"/>
            <w:vAlign w:val="center"/>
            <w:tcMar>
              <w:top w:w="80" w:type="dxa"/>
              <w:start w:w="100" w:type="dxa"/>
              <w:bottom w:w="80" w:type="dxa"/>
              <w:end w:w="100" w:type="dxa"/>
            </w:tcMar>
          </w:tcPr>
          <w:p>
            <w:pPr>
              <w:jc w:val="center"/>
            </w:pPr>
            <w:r>
              <w:t>0.752 ± 0.061</w:t>
            </w:r>
          </w:p>
        </w:tc>
        <w:tc>
          <w:tcPr>
            <w:tcW w:type="dxa" w:w="2408"/>
            <w:vAlign w:val="center"/>
            <w:tcMar>
              <w:top w:w="80" w:type="dxa"/>
              <w:start w:w="100" w:type="dxa"/>
              <w:bottom w:w="80" w:type="dxa"/>
              <w:end w:w="100" w:type="dxa"/>
            </w:tcMar>
          </w:tcPr>
          <w:p>
            <w:r>
              <w:t>Same qualitative ranking of groups</w:t>
            </w:r>
          </w:p>
        </w:tc>
      </w:tr>
      <w:tr>
        <w:tc>
          <w:tcPr>
            <w:tcW w:type="dxa" w:w="2408"/>
            <w:vAlign w:val="center"/>
            <w:tcMar>
              <w:top w:w="80" w:type="dxa"/>
              <w:start w:w="100" w:type="dxa"/>
              <w:bottom w:w="80" w:type="dxa"/>
              <w:end w:w="100" w:type="dxa"/>
            </w:tcMar>
          </w:tcPr>
          <w:p>
            <w:r>
              <w:t>Random forest</w:t>
            </w:r>
          </w:p>
        </w:tc>
        <w:tc>
          <w:tcPr>
            <w:tcW w:type="dxa" w:w="2408"/>
            <w:vAlign w:val="center"/>
            <w:tcMar>
              <w:top w:w="80" w:type="dxa"/>
              <w:start w:w="100" w:type="dxa"/>
              <w:bottom w:w="80" w:type="dxa"/>
              <w:end w:w="100" w:type="dxa"/>
            </w:tcMar>
          </w:tcPr>
          <w:p>
            <w:pPr>
              <w:jc w:val="center"/>
            </w:pPr>
            <w:r>
              <w:t>Driver composition</w:t>
            </w:r>
          </w:p>
        </w:tc>
        <w:tc>
          <w:tcPr>
            <w:tcW w:type="dxa" w:w="2408"/>
            <w:vAlign w:val="center"/>
            <w:tcMar>
              <w:top w:w="80" w:type="dxa"/>
              <w:start w:w="100" w:type="dxa"/>
              <w:bottom w:w="80" w:type="dxa"/>
              <w:end w:w="100" w:type="dxa"/>
            </w:tcMar>
          </w:tcPr>
          <w:p>
            <w:pPr>
              <w:jc w:val="center"/>
            </w:pPr>
            <w:r>
              <w:t>Climate 48.5%; Topography 27.9%; Soil 21.9%; Land cover 1.6%</w:t>
            </w:r>
          </w:p>
        </w:tc>
        <w:tc>
          <w:tcPr>
            <w:tcW w:type="dxa" w:w="2408"/>
            <w:vAlign w:val="center"/>
            <w:tcMar>
              <w:top w:w="80" w:type="dxa"/>
              <w:start w:w="100" w:type="dxa"/>
              <w:bottom w:w="80" w:type="dxa"/>
              <w:end w:w="100" w:type="dxa"/>
            </w:tcMar>
          </w:tcPr>
          <w:p>
            <w:r>
              <w:t>Climate still first, but broader support from topography and soil</w:t>
            </w:r>
          </w:p>
        </w:tc>
      </w:tr>
      <w:tr>
        <w:tc>
          <w:tcPr>
            <w:tcW w:type="dxa" w:w="2408"/>
            <w:vAlign w:val="center"/>
            <w:tcMar>
              <w:top w:w="80" w:type="dxa"/>
              <w:start w:w="100" w:type="dxa"/>
              <w:bottom w:w="80" w:type="dxa"/>
              <w:end w:w="100" w:type="dxa"/>
            </w:tcMar>
          </w:tcPr>
          <w:p>
            <w:r>
              <w:t>PCA (all groups)</w:t>
            </w:r>
          </w:p>
        </w:tc>
        <w:tc>
          <w:tcPr>
            <w:tcW w:type="dxa" w:w="2408"/>
            <w:vAlign w:val="center"/>
            <w:tcMar>
              <w:top w:w="80" w:type="dxa"/>
              <w:start w:w="100" w:type="dxa"/>
              <w:bottom w:w="80" w:type="dxa"/>
              <w:end w:w="100" w:type="dxa"/>
            </w:tcMar>
          </w:tcPr>
          <w:p>
            <w:pPr>
              <w:jc w:val="center"/>
            </w:pPr>
            <w:r>
              <w:t>PC1 + PC2 variance</w:t>
            </w:r>
          </w:p>
        </w:tc>
        <w:tc>
          <w:tcPr>
            <w:tcW w:type="dxa" w:w="2408"/>
            <w:vAlign w:val="center"/>
            <w:tcMar>
              <w:top w:w="80" w:type="dxa"/>
              <w:start w:w="100" w:type="dxa"/>
              <w:bottom w:w="80" w:type="dxa"/>
              <w:end w:w="100" w:type="dxa"/>
            </w:tcMar>
          </w:tcPr>
          <w:p>
            <w:pPr>
              <w:jc w:val="center"/>
            </w:pPr>
            <w:r>
              <w:t>22.44%</w:t>
            </w:r>
          </w:p>
        </w:tc>
        <w:tc>
          <w:tcPr>
            <w:tcW w:type="dxa" w:w="2408"/>
            <w:vAlign w:val="center"/>
            <w:tcMar>
              <w:top w:w="80" w:type="dxa"/>
              <w:start w:w="100" w:type="dxa"/>
              <w:bottom w:w="80" w:type="dxa"/>
              <w:end w:w="100" w:type="dxa"/>
            </w:tcMar>
          </w:tcPr>
          <w:p>
            <w:r>
              <w:t>Useful low-dimensional ecological summary</w:t>
            </w:r>
          </w:p>
        </w:tc>
      </w:tr>
      <w:tr>
        <w:tc>
          <w:tcPr>
            <w:tcW w:type="dxa" w:w="2408"/>
            <w:vAlign w:val="center"/>
            <w:tcMar>
              <w:top w:w="80" w:type="dxa"/>
              <w:start w:w="100" w:type="dxa"/>
              <w:bottom w:w="80" w:type="dxa"/>
              <w:end w:w="100" w:type="dxa"/>
            </w:tcMar>
          </w:tcPr>
          <w:p>
            <w:r>
              <w:t>PCA (all groups)</w:t>
            </w:r>
          </w:p>
        </w:tc>
        <w:tc>
          <w:tcPr>
            <w:tcW w:type="dxa" w:w="2408"/>
            <w:vAlign w:val="center"/>
            <w:tcMar>
              <w:top w:w="80" w:type="dxa"/>
              <w:start w:w="100" w:type="dxa"/>
              <w:bottom w:w="80" w:type="dxa"/>
              <w:end w:w="100" w:type="dxa"/>
            </w:tcMar>
          </w:tcPr>
          <w:p>
            <w:pPr>
              <w:jc w:val="center"/>
            </w:pPr>
            <w:r>
              <w:t>Smallest centroid distance</w:t>
            </w:r>
          </w:p>
        </w:tc>
        <w:tc>
          <w:tcPr>
            <w:tcW w:type="dxa" w:w="2408"/>
            <w:vAlign w:val="center"/>
            <w:tcMar>
              <w:top w:w="80" w:type="dxa"/>
              <w:start w:w="100" w:type="dxa"/>
              <w:bottom w:w="80" w:type="dxa"/>
              <w:end w:w="100" w:type="dxa"/>
            </w:tcMar>
          </w:tcPr>
          <w:p>
            <w:pPr>
              <w:jc w:val="center"/>
            </w:pPr>
            <w:r>
              <w:t>CSE vs NCD = 1.97</w:t>
            </w:r>
          </w:p>
        </w:tc>
        <w:tc>
          <w:tcPr>
            <w:tcW w:type="dxa" w:w="2408"/>
            <w:vAlign w:val="center"/>
            <w:tcMar>
              <w:top w:w="80" w:type="dxa"/>
              <w:start w:w="100" w:type="dxa"/>
              <w:bottom w:w="80" w:type="dxa"/>
              <w:end w:w="100" w:type="dxa"/>
            </w:tcMar>
          </w:tcPr>
          <w:p>
            <w:r>
              <w:t>Most overlapping pair</w:t>
            </w:r>
          </w:p>
        </w:tc>
      </w:tr>
      <w:tr>
        <w:tc>
          <w:tcPr>
            <w:tcW w:type="dxa" w:w="2408"/>
            <w:vAlign w:val="center"/>
            <w:tcMar>
              <w:top w:w="80" w:type="dxa"/>
              <w:start w:w="100" w:type="dxa"/>
              <w:bottom w:w="80" w:type="dxa"/>
              <w:end w:w="100" w:type="dxa"/>
            </w:tcMar>
          </w:tcPr>
          <w:p>
            <w:r>
              <w:t>PCA (all groups)</w:t>
            </w:r>
          </w:p>
        </w:tc>
        <w:tc>
          <w:tcPr>
            <w:tcW w:type="dxa" w:w="2408"/>
            <w:vAlign w:val="center"/>
            <w:tcMar>
              <w:top w:w="80" w:type="dxa"/>
              <w:start w:w="100" w:type="dxa"/>
              <w:bottom w:w="80" w:type="dxa"/>
              <w:end w:w="100" w:type="dxa"/>
            </w:tcMar>
          </w:tcPr>
          <w:p>
            <w:pPr>
              <w:jc w:val="center"/>
            </w:pPr>
            <w:r>
              <w:t>Largest centroid distance</w:t>
            </w:r>
          </w:p>
        </w:tc>
        <w:tc>
          <w:tcPr>
            <w:tcW w:type="dxa" w:w="2408"/>
            <w:vAlign w:val="center"/>
            <w:tcMar>
              <w:top w:w="80" w:type="dxa"/>
              <w:start w:w="100" w:type="dxa"/>
              <w:bottom w:w="80" w:type="dxa"/>
              <w:end w:w="100" w:type="dxa"/>
            </w:tcMar>
          </w:tcPr>
          <w:p>
            <w:pPr>
              <w:jc w:val="center"/>
            </w:pPr>
            <w:r>
              <w:t>NCD vs SB = 7.36</w:t>
            </w:r>
          </w:p>
        </w:tc>
        <w:tc>
          <w:tcPr>
            <w:tcW w:type="dxa" w:w="2408"/>
            <w:vAlign w:val="center"/>
            <w:tcMar>
              <w:top w:w="80" w:type="dxa"/>
              <w:start w:w="100" w:type="dxa"/>
              <w:bottom w:w="80" w:type="dxa"/>
              <w:end w:w="100" w:type="dxa"/>
            </w:tcMar>
          </w:tcPr>
          <w:p>
            <w:r>
              <w:t>Most distinct pair</w:t>
            </w:r>
          </w:p>
        </w:tc>
      </w:tr>
      <w:tr>
        <w:tc>
          <w:tcPr>
            <w:tcW w:type="dxa" w:w="2408"/>
            <w:vAlign w:val="center"/>
            <w:tcMar>
              <w:top w:w="80" w:type="dxa"/>
              <w:start w:w="100" w:type="dxa"/>
              <w:bottom w:w="80" w:type="dxa"/>
              <w:end w:w="100" w:type="dxa"/>
            </w:tcMar>
          </w:tcPr>
          <w:p>
            <w:r>
              <w:t>PCA (NCD only)</w:t>
            </w:r>
          </w:p>
        </w:tc>
        <w:tc>
          <w:tcPr>
            <w:tcW w:type="dxa" w:w="2408"/>
            <w:vAlign w:val="center"/>
            <w:tcMar>
              <w:top w:w="80" w:type="dxa"/>
              <w:start w:w="100" w:type="dxa"/>
              <w:bottom w:w="80" w:type="dxa"/>
              <w:end w:w="100" w:type="dxa"/>
            </w:tcMar>
          </w:tcPr>
          <w:p>
            <w:pPr>
              <w:jc w:val="center"/>
            </w:pPr>
            <w:r>
              <w:t>PC1 + PC2 variance</w:t>
            </w:r>
          </w:p>
        </w:tc>
        <w:tc>
          <w:tcPr>
            <w:tcW w:type="dxa" w:w="2408"/>
            <w:vAlign w:val="center"/>
            <w:tcMar>
              <w:top w:w="80" w:type="dxa"/>
              <w:start w:w="100" w:type="dxa"/>
              <w:bottom w:w="80" w:type="dxa"/>
              <w:end w:w="100" w:type="dxa"/>
            </w:tcMar>
          </w:tcPr>
          <w:p>
            <w:pPr>
              <w:jc w:val="center"/>
            </w:pPr>
            <w:r>
              <w:t>33.40%</w:t>
            </w:r>
          </w:p>
        </w:tc>
        <w:tc>
          <w:tcPr>
            <w:tcW w:type="dxa" w:w="2408"/>
            <w:vAlign w:val="center"/>
            <w:tcMar>
              <w:top w:w="80" w:type="dxa"/>
              <w:start w:w="100" w:type="dxa"/>
              <w:bottom w:w="80" w:type="dxa"/>
              <w:end w:w="100" w:type="dxa"/>
            </w:tcMar>
          </w:tcPr>
          <w:p>
            <w:r>
              <w:t>Moderate internal structure visible</w:t>
            </w:r>
          </w:p>
        </w:tc>
      </w:tr>
      <w:tr>
        <w:tc>
          <w:tcPr>
            <w:tcW w:type="dxa" w:w="2408"/>
            <w:vAlign w:val="center"/>
            <w:tcMar>
              <w:top w:w="80" w:type="dxa"/>
              <w:start w:w="100" w:type="dxa"/>
              <w:bottom w:w="80" w:type="dxa"/>
              <w:end w:w="100" w:type="dxa"/>
            </w:tcMar>
          </w:tcPr>
          <w:p>
            <w:r>
              <w:t>PCA (NCD only)</w:t>
            </w:r>
          </w:p>
        </w:tc>
        <w:tc>
          <w:tcPr>
            <w:tcW w:type="dxa" w:w="2408"/>
            <w:vAlign w:val="center"/>
            <w:tcMar>
              <w:top w:w="80" w:type="dxa"/>
              <w:start w:w="100" w:type="dxa"/>
              <w:bottom w:w="80" w:type="dxa"/>
              <w:end w:w="100" w:type="dxa"/>
            </w:tcMar>
          </w:tcPr>
          <w:p>
            <w:pPr>
              <w:jc w:val="center"/>
            </w:pPr>
            <w:r>
              <w:t>Notable pattern</w:t>
            </w:r>
          </w:p>
        </w:tc>
        <w:tc>
          <w:tcPr>
            <w:tcW w:type="dxa" w:w="2408"/>
            <w:vAlign w:val="center"/>
            <w:tcMar>
              <w:top w:w="80" w:type="dxa"/>
              <w:start w:w="100" w:type="dxa"/>
              <w:bottom w:w="80" w:type="dxa"/>
              <w:end w:w="100" w:type="dxa"/>
            </w:tcMar>
          </w:tcPr>
          <w:p>
            <w:pPr>
              <w:jc w:val="center"/>
            </w:pPr>
            <w:r>
              <w:t>VOJ separated, but n = 2</w:t>
            </w:r>
          </w:p>
        </w:tc>
        <w:tc>
          <w:tcPr>
            <w:tcW w:type="dxa" w:w="2408"/>
            <w:vAlign w:val="center"/>
            <w:tcMar>
              <w:top w:w="80" w:type="dxa"/>
              <w:start w:w="100" w:type="dxa"/>
              <w:bottom w:w="80" w:type="dxa"/>
              <w:end w:w="100" w:type="dxa"/>
            </w:tcMar>
          </w:tcPr>
          <w:p>
            <w:r>
              <w:t>Descriptive only; avoid strong inference</w:t>
            </w:r>
          </w:p>
        </w:tc>
      </w:tr>
    </w:tbl>
    <w:p/>
    <w:p>
      <w:pPr>
        <w:jc w:val="both"/>
      </w:pPr>
      <w:r>
        <w:rPr>
          <w:b/>
        </w:rPr>
        <w:t xml:space="preserve">Practical conclusion. </w:t>
      </w:r>
      <w:r>
        <w:t>The current results are already sufficient for manuscript drafting. The strongest, most stable findings are that SB is the most ecologically distinct lineage group, CSE and NCD are the most overlapping pair, and NCD shows partial but not cleanly discrete haplogroup-level substructure.</w:t>
      </w:r>
    </w:p>
    <w:sectPr w:rsidR="00FC693F" w:rsidRPr="0006063C" w:rsidSect="00034616">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48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20487A"/>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