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Methods and Results Memo for Lucian</w:t>
      </w:r>
    </w:p>
    <w:p>
      <w:pPr>
        <w:jc w:val="center"/>
      </w:pPr>
      <w:r>
        <w:rPr>
          <w:i/>
          <w:color w:val="4F4F4F"/>
          <w:sz w:val="28"/>
        </w:rPr>
        <w:t>Niche reorganisation in invasive freshwater crayfish</w:t>
        <w:br/>
      </w:r>
      <w:r>
        <w:rPr>
          <w:sz w:val="22"/>
        </w:rPr>
        <w:br/>
        <w:t>Status after decision-tree, separate-niche, and random-forest/SHAP analyses</w:t>
      </w:r>
    </w:p>
    <w:tbl>
      <w:tblPr>
        <w:tblW w:type="auto" w:w="0"/>
        <w:jc w:val="center"/>
        <w:tblLayout w:type="fixed"/>
        <w:tblLook w:firstColumn="1" w:firstRow="1" w:lastColumn="0" w:lastRow="0" w:noHBand="0" w:noVBand="1" w:val="04A0"/>
      </w:tblPr>
      <w:tblGrid>
        <w:gridCol w:w="4968"/>
        <w:gridCol w:w="4968"/>
      </w:tblGrid>
      <w:tr>
        <w:tc>
          <w:tcPr>
            <w:tcW w:type="dxa" w:w="2880"/>
            <w:vAlign w:val="center"/>
            <w:tcMar>
              <w:top w:w="90" w:type="dxa"/>
              <w:start w:w="100" w:type="dxa"/>
              <w:bottom w:w="90" w:type="dxa"/>
              <w:end w:w="100" w:type="dxa"/>
            </w:tcMar>
            <w:shd w:fill="D9EAF7"/>
          </w:tcPr>
          <w:p>
            <w:r>
              <w:t>Prepared for</w:t>
            </w:r>
          </w:p>
        </w:tc>
        <w:tc>
          <w:tcPr>
            <w:tcW w:type="dxa" w:w="7056"/>
            <w:vAlign w:val="center"/>
            <w:tcMar>
              <w:top w:w="90" w:type="dxa"/>
              <w:start w:w="100" w:type="dxa"/>
              <w:bottom w:w="90" w:type="dxa"/>
              <w:end w:w="100" w:type="dxa"/>
            </w:tcMar>
            <w:shd w:fill="F7FBFE"/>
          </w:tcPr>
          <w:p>
            <w:r>
              <w:t>Lucian</w:t>
            </w:r>
          </w:p>
        </w:tc>
      </w:tr>
      <w:tr>
        <w:tc>
          <w:tcPr>
            <w:tcW w:type="dxa" w:w="2880"/>
            <w:vAlign w:val="center"/>
            <w:tcMar>
              <w:top w:w="90" w:type="dxa"/>
              <w:start w:w="100" w:type="dxa"/>
              <w:bottom w:w="90" w:type="dxa"/>
              <w:end w:w="100" w:type="dxa"/>
            </w:tcMar>
            <w:shd w:fill="D9EAF7"/>
          </w:tcPr>
          <w:p>
            <w:r>
              <w:t>Prepared by</w:t>
            </w:r>
          </w:p>
        </w:tc>
        <w:tc>
          <w:tcPr>
            <w:tcW w:type="dxa" w:w="7056"/>
            <w:vAlign w:val="center"/>
            <w:tcMar>
              <w:top w:w="90" w:type="dxa"/>
              <w:start w:w="100" w:type="dxa"/>
              <w:bottom w:w="90" w:type="dxa"/>
              <w:end w:w="100" w:type="dxa"/>
            </w:tcMar>
          </w:tcPr>
          <w:p>
            <w:r>
              <w:t>Kristian Miok</w:t>
            </w:r>
          </w:p>
        </w:tc>
      </w:tr>
      <w:tr>
        <w:tc>
          <w:tcPr>
            <w:tcW w:type="dxa" w:w="2880"/>
            <w:vAlign w:val="center"/>
            <w:tcMar>
              <w:top w:w="90" w:type="dxa"/>
              <w:start w:w="100" w:type="dxa"/>
              <w:bottom w:w="90" w:type="dxa"/>
              <w:end w:w="100" w:type="dxa"/>
            </w:tcMar>
            <w:shd w:fill="D9EAF7"/>
          </w:tcPr>
          <w:p>
            <w:r>
              <w:t>Date</w:t>
            </w:r>
          </w:p>
        </w:tc>
        <w:tc>
          <w:tcPr>
            <w:tcW w:type="dxa" w:w="7056"/>
            <w:vAlign w:val="center"/>
            <w:tcMar>
              <w:top w:w="90" w:type="dxa"/>
              <w:start w:w="100" w:type="dxa"/>
              <w:bottom w:w="90" w:type="dxa"/>
              <w:end w:w="100" w:type="dxa"/>
            </w:tcMar>
            <w:shd w:fill="F7FBFE"/>
          </w:tcPr>
          <w:p>
            <w:r>
              <w:t>3 April 2026</w:t>
            </w:r>
          </w:p>
        </w:tc>
      </w:tr>
      <w:tr>
        <w:tc>
          <w:tcPr>
            <w:tcW w:type="dxa" w:w="2880"/>
            <w:vAlign w:val="center"/>
            <w:tcMar>
              <w:top w:w="90" w:type="dxa"/>
              <w:start w:w="100" w:type="dxa"/>
              <w:bottom w:w="90" w:type="dxa"/>
              <w:end w:w="100" w:type="dxa"/>
            </w:tcMar>
            <w:shd w:fill="D9EAF7"/>
          </w:tcPr>
          <w:p>
            <w:r>
              <w:t>Purpose</w:t>
            </w:r>
          </w:p>
        </w:tc>
        <w:tc>
          <w:tcPr>
            <w:tcW w:type="dxa" w:w="7056"/>
            <w:vAlign w:val="center"/>
            <w:tcMar>
              <w:top w:w="90" w:type="dxa"/>
              <w:start w:w="100" w:type="dxa"/>
              <w:bottom w:w="90" w:type="dxa"/>
              <w:end w:w="100" w:type="dxa"/>
            </w:tcMar>
          </w:tcPr>
          <w:p>
            <w:r>
              <w:t>Compact working memo summarising completed analyses, remaining tasks, and the exact outputs needed for manuscript writing.</w:t>
            </w:r>
          </w:p>
        </w:tc>
      </w:tr>
    </w:tbl>
    <w:p/>
    <w:tbl>
      <w:tblPr>
        <w:tblW w:type="auto" w:w="0"/>
        <w:jc w:val="center"/>
        <w:tblLook w:firstColumn="1" w:firstRow="1" w:lastColumn="0" w:lastRow="0" w:noHBand="0" w:noVBand="1" w:val="04A0"/>
      </w:tblPr>
      <w:tblGrid>
        <w:gridCol w:w="9936"/>
      </w:tblGrid>
      <w:tr>
        <w:tc>
          <w:tcPr>
            <w:tcW w:type="dxa" w:w="9936"/>
            <w:shd w:fill="EEF6FB"/>
            <w:tcMar>
              <w:top w:w="120" w:type="dxa"/>
              <w:start w:w="120" w:type="dxa"/>
              <w:bottom w:w="120" w:type="dxa"/>
              <w:end w:w="120" w:type="dxa"/>
            </w:tcMar>
            <w:vAlign w:val="center"/>
          </w:tcPr>
          <w:p>
            <w:r>
              <w:rPr>
                <w:b/>
              </w:rPr>
              <w:t xml:space="preserve">Executive summary. </w:t>
            </w:r>
            <w:r>
              <w:t>The decision-tree analysis, separate niche models, and random forest + SHAP robustness check all support the same broad result: intercontinental invaders are primarily separated by climatic variables, whereas the two within-continent invaders show a much stronger topographic/network-structure component. The strongest completed robustness item is Task 2 (RF + SHAP), which confirms the core qualitative pattern even though RF redistributes some importance from climate into soil and topography. Tasks 1, 3, 4, 5, 6, and 7 remain to be run.</w:t>
            </w:r>
          </w:p>
        </w:tc>
      </w:tr>
    </w:tbl>
    <w:p/>
    <w:p>
      <w:pPr>
        <w:pStyle w:val="Heading1"/>
      </w:pPr>
      <w:r>
        <w:t>1. Current status against Lucian's to-do list</w:t>
      </w:r>
    </w:p>
    <w:p>
      <w:r>
        <w:t xml:space="preserve">Status key: </w:t>
      </w:r>
      <w:r>
        <w:rPr>
          <w:b/>
        </w:rPr>
        <w:t>Completed</w:t>
      </w:r>
      <w:r>
        <w:t xml:space="preserve"> = already run; </w:t>
      </w:r>
      <w:r>
        <w:rPr>
          <w:b/>
        </w:rPr>
        <w:t>Pending</w:t>
      </w:r>
      <w:r>
        <w:t xml:space="preserve"> = analysis still to run; </w:t>
      </w:r>
      <w:r>
        <w:rPr>
          <w:b/>
        </w:rPr>
        <w:t>Planned output</w:t>
      </w:r>
      <w:r>
        <w:t xml:space="preserve"> = exact result that will be useful for the manuscript.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Pr>
          <w:p>
            <w:r>
              <w:t>Task</w:t>
            </w:r>
          </w:p>
        </w:tc>
        <w:tc>
          <w:tcPr>
            <w:tcW w:type="dxa" w:w="2484"/>
            <w:shd w:fill="D9EAF7"/>
            <w:vAlign w:val="center"/>
          </w:tcPr>
          <w:p>
            <w:r>
              <w:t>Status</w:t>
            </w:r>
          </w:p>
        </w:tc>
        <w:tc>
          <w:tcPr>
            <w:tcW w:type="dxa" w:w="2484"/>
            <w:shd w:fill="D9EAF7"/>
            <w:vAlign w:val="center"/>
          </w:tcPr>
          <w:p>
            <w:r>
              <w:t>What it addresses</w:t>
            </w:r>
          </w:p>
        </w:tc>
        <w:tc>
          <w:tcPr>
            <w:tcW w:type="dxa" w:w="2484"/>
            <w:shd w:fill="D9EAF7"/>
            <w:vAlign w:val="center"/>
          </w:tcPr>
          <w:p>
            <w:r>
              <w:t>Planned output for paper</w:t>
            </w:r>
          </w:p>
        </w:tc>
      </w:tr>
      <w:tr>
        <w:tc>
          <w:tcPr>
            <w:tcW w:type="dxa" w:w="2484"/>
            <w:vAlign w:val="center"/>
            <w:tcMar>
              <w:top w:w="80" w:type="dxa"/>
              <w:start w:w="80" w:type="dxa"/>
              <w:bottom w:w="80" w:type="dxa"/>
              <w:end w:w="80" w:type="dxa"/>
            </w:tcMar>
          </w:tcPr>
          <w:p>
            <w:r>
              <w:t>1. Null model for intercontinental vs. intracontinental dichotomy</w:t>
            </w:r>
          </w:p>
        </w:tc>
        <w:tc>
          <w:tcPr>
            <w:tcW w:type="dxa" w:w="2484"/>
            <w:vAlign w:val="center"/>
            <w:tcMar>
              <w:top w:w="80" w:type="dxa"/>
              <w:start w:w="80" w:type="dxa"/>
              <w:bottom w:w="80" w:type="dxa"/>
              <w:end w:w="80" w:type="dxa"/>
            </w:tcMar>
            <w:shd w:fill="FFF2CC"/>
          </w:tcPr>
          <w:p>
            <w:r>
              <w:t>Pending</w:t>
            </w:r>
          </w:p>
        </w:tc>
        <w:tc>
          <w:tcPr>
            <w:tcW w:type="dxa" w:w="2484"/>
            <w:vAlign w:val="center"/>
            <w:tcMar>
              <w:top w:w="80" w:type="dxa"/>
              <w:start w:w="80" w:type="dxa"/>
              <w:bottom w:w="80" w:type="dxa"/>
              <w:end w:w="80" w:type="dxa"/>
            </w:tcMar>
          </w:tcPr>
          <w:p>
            <w:r>
              <w:t>Tests whether the climate-vs-topography contrast is stronger than expected under random assignment of invasion type.</w:t>
            </w:r>
          </w:p>
        </w:tc>
        <w:tc>
          <w:tcPr>
            <w:tcW w:type="dxa" w:w="2484"/>
            <w:vAlign w:val="center"/>
            <w:tcMar>
              <w:top w:w="80" w:type="dxa"/>
              <w:start w:w="80" w:type="dxa"/>
              <w:bottom w:w="80" w:type="dxa"/>
              <w:end w:w="80" w:type="dxa"/>
            </w:tcMar>
          </w:tcPr>
          <w:p>
            <w:r>
              <w:t>Observed statistic, permutation distribution, exact/empirical P-value, short interpretation.</w:t>
            </w:r>
          </w:p>
        </w:tc>
      </w:tr>
      <w:tr>
        <w:tc>
          <w:tcPr>
            <w:tcW w:type="dxa" w:w="2484"/>
            <w:vAlign w:val="center"/>
            <w:tcMar>
              <w:top w:w="80" w:type="dxa"/>
              <w:start w:w="80" w:type="dxa"/>
              <w:bottom w:w="80" w:type="dxa"/>
              <w:end w:w="80" w:type="dxa"/>
            </w:tcMar>
          </w:tcPr>
          <w:p>
            <w:r>
              <w:t>2. Random forest + SHAP robustness check</w:t>
            </w:r>
          </w:p>
        </w:tc>
        <w:tc>
          <w:tcPr>
            <w:tcW w:type="dxa" w:w="2484"/>
            <w:vAlign w:val="center"/>
            <w:tcMar>
              <w:top w:w="80" w:type="dxa"/>
              <w:start w:w="80" w:type="dxa"/>
              <w:bottom w:w="80" w:type="dxa"/>
              <w:end w:w="80" w:type="dxa"/>
            </w:tcMar>
            <w:shd w:fill="E8F4EA"/>
          </w:tcPr>
          <w:p>
            <w:r>
              <w:t>Completed</w:t>
            </w:r>
          </w:p>
        </w:tc>
        <w:tc>
          <w:tcPr>
            <w:tcW w:type="dxa" w:w="2484"/>
            <w:vAlign w:val="center"/>
            <w:tcMar>
              <w:top w:w="80" w:type="dxa"/>
              <w:start w:w="80" w:type="dxa"/>
              <w:bottom w:w="80" w:type="dxa"/>
              <w:end w:w="80" w:type="dxa"/>
            </w:tcMar>
          </w:tcPr>
          <w:p>
            <w:r>
              <w:t>Checks whether the DT signal persists under an ensemble model.</w:t>
            </w:r>
          </w:p>
        </w:tc>
        <w:tc>
          <w:tcPr>
            <w:tcW w:type="dxa" w:w="2484"/>
            <w:vAlign w:val="center"/>
            <w:tcMar>
              <w:top w:w="80" w:type="dxa"/>
              <w:start w:w="80" w:type="dxa"/>
              <w:bottom w:w="80" w:type="dxa"/>
              <w:end w:w="80" w:type="dxa"/>
            </w:tcMar>
          </w:tcPr>
          <w:p>
            <w:r>
              <w:t>Cross-validated RF performance, Gini importances, SHAP importances, DT-vs-RF comparison figure.</w:t>
            </w:r>
          </w:p>
        </w:tc>
      </w:tr>
      <w:tr>
        <w:tc>
          <w:tcPr>
            <w:tcW w:type="dxa" w:w="2484"/>
            <w:vAlign w:val="center"/>
            <w:tcMar>
              <w:top w:w="80" w:type="dxa"/>
              <w:start w:w="80" w:type="dxa"/>
              <w:bottom w:w="80" w:type="dxa"/>
              <w:end w:w="80" w:type="dxa"/>
            </w:tcMar>
          </w:tcPr>
          <w:p>
            <w:r>
              <w:t>3. Niche overlap metrics (Schoener's D, Warren's I)</w:t>
            </w:r>
          </w:p>
        </w:tc>
        <w:tc>
          <w:tcPr>
            <w:tcW w:type="dxa" w:w="2484"/>
            <w:vAlign w:val="center"/>
            <w:tcMar>
              <w:top w:w="80" w:type="dxa"/>
              <w:start w:w="80" w:type="dxa"/>
              <w:bottom w:w="80" w:type="dxa"/>
              <w:end w:w="80" w:type="dxa"/>
            </w:tcMar>
            <w:shd w:fill="FFF2CC"/>
          </w:tcPr>
          <w:p>
            <w:r>
              <w:t>Pending</w:t>
            </w:r>
          </w:p>
        </w:tc>
        <w:tc>
          <w:tcPr>
            <w:tcW w:type="dxa" w:w="2484"/>
            <w:vAlign w:val="center"/>
            <w:tcMar>
              <w:top w:w="80" w:type="dxa"/>
              <w:start w:w="80" w:type="dxa"/>
              <w:bottom w:w="80" w:type="dxa"/>
              <w:end w:w="80" w:type="dxa"/>
            </w:tcMar>
          </w:tcPr>
          <w:p>
            <w:r>
              <w:t>Benchmarks our method against classical niche overlap summaries.</w:t>
            </w:r>
          </w:p>
        </w:tc>
        <w:tc>
          <w:tcPr>
            <w:tcW w:type="dxa" w:w="2484"/>
            <w:vAlign w:val="center"/>
            <w:tcMar>
              <w:top w:w="80" w:type="dxa"/>
              <w:start w:w="80" w:type="dxa"/>
              <w:bottom w:w="80" w:type="dxa"/>
              <w:end w:w="80" w:type="dxa"/>
            </w:tcMar>
          </w:tcPr>
          <w:p>
            <w:r>
              <w:t>Species-level D and I values, comparison paragraph against DT findings.</w:t>
            </w:r>
          </w:p>
        </w:tc>
      </w:tr>
      <w:tr>
        <w:tc>
          <w:tcPr>
            <w:tcW w:type="dxa" w:w="2484"/>
            <w:vAlign w:val="center"/>
            <w:tcMar>
              <w:top w:w="80" w:type="dxa"/>
              <w:start w:w="80" w:type="dxa"/>
              <w:bottom w:w="80" w:type="dxa"/>
              <w:end w:w="80" w:type="dxa"/>
            </w:tcMar>
          </w:tcPr>
          <w:p>
            <w:r>
              <w:t>4. Climate-change projection paragraph</w:t>
            </w:r>
          </w:p>
        </w:tc>
        <w:tc>
          <w:tcPr>
            <w:tcW w:type="dxa" w:w="2484"/>
            <w:vAlign w:val="center"/>
            <w:tcMar>
              <w:top w:w="80" w:type="dxa"/>
              <w:start w:w="80" w:type="dxa"/>
              <w:bottom w:w="80" w:type="dxa"/>
              <w:end w:w="80" w:type="dxa"/>
            </w:tcMar>
            <w:shd w:fill="FFF2CC"/>
          </w:tcPr>
          <w:p>
            <w:r>
              <w:t>Pending</w:t>
            </w:r>
          </w:p>
        </w:tc>
        <w:tc>
          <w:tcPr>
            <w:tcW w:type="dxa" w:w="2484"/>
            <w:vAlign w:val="center"/>
            <w:tcMar>
              <w:top w:w="80" w:type="dxa"/>
              <w:start w:w="80" w:type="dxa"/>
              <w:bottom w:w="80" w:type="dxa"/>
              <w:end w:w="80" w:type="dxa"/>
            </w:tcMar>
          </w:tcPr>
          <w:p>
            <w:r>
              <w:t>Links intercontinental climatic thresholds to future CHELSA scenarios.</w:t>
            </w:r>
          </w:p>
        </w:tc>
        <w:tc>
          <w:tcPr>
            <w:tcW w:type="dxa" w:w="2484"/>
            <w:vAlign w:val="center"/>
            <w:tcMar>
              <w:top w:w="80" w:type="dxa"/>
              <w:start w:w="80" w:type="dxa"/>
              <w:bottom w:w="80" w:type="dxa"/>
              <w:end w:w="80" w:type="dxa"/>
            </w:tcMar>
          </w:tcPr>
          <w:p>
            <w:r>
              <w:t>Simple threshold-based exposure estimates for Europe under one or two SSP scenarios.</w:t>
            </w:r>
          </w:p>
        </w:tc>
      </w:tr>
      <w:tr>
        <w:tc>
          <w:tcPr>
            <w:tcW w:type="dxa" w:w="2484"/>
            <w:vAlign w:val="center"/>
            <w:tcMar>
              <w:top w:w="80" w:type="dxa"/>
              <w:start w:w="80" w:type="dxa"/>
              <w:bottom w:w="80" w:type="dxa"/>
              <w:end w:w="80" w:type="dxa"/>
            </w:tcMar>
          </w:tcPr>
          <w:p>
            <w:r>
              <w:t>5. Pseudo-absence sensitivity for separate niche models</w:t>
            </w:r>
          </w:p>
        </w:tc>
        <w:tc>
          <w:tcPr>
            <w:tcW w:type="dxa" w:w="2484"/>
            <w:vAlign w:val="center"/>
            <w:tcMar>
              <w:top w:w="80" w:type="dxa"/>
              <w:start w:w="80" w:type="dxa"/>
              <w:bottom w:w="80" w:type="dxa"/>
              <w:end w:w="80" w:type="dxa"/>
            </w:tcMar>
            <w:shd w:fill="FFF2CC"/>
          </w:tcPr>
          <w:p>
            <w:r>
              <w:t>Pending</w:t>
            </w:r>
          </w:p>
        </w:tc>
        <w:tc>
          <w:tcPr>
            <w:tcW w:type="dxa" w:w="2484"/>
            <w:vAlign w:val="center"/>
            <w:tcMar>
              <w:top w:w="80" w:type="dxa"/>
              <w:start w:w="80" w:type="dxa"/>
              <w:bottom w:w="80" w:type="dxa"/>
              <w:end w:w="80" w:type="dxa"/>
            </w:tcMar>
          </w:tcPr>
          <w:p>
            <w:r>
              <w:t>Checks whether Analysis 2 depends on the current background definition.</w:t>
            </w:r>
          </w:p>
        </w:tc>
        <w:tc>
          <w:tcPr>
            <w:tcW w:type="dxa" w:w="2484"/>
            <w:vAlign w:val="center"/>
            <w:tcMar>
              <w:top w:w="80" w:type="dxa"/>
              <w:start w:w="80" w:type="dxa"/>
              <w:bottom w:w="80" w:type="dxa"/>
              <w:end w:w="80" w:type="dxa"/>
            </w:tcMar>
          </w:tcPr>
          <w:p>
            <w:r>
              <w:t>Side-by-side comparison of native and invasive niche-model outputs under two background strategies.</w:t>
            </w:r>
          </w:p>
        </w:tc>
      </w:tr>
      <w:tr>
        <w:tc>
          <w:tcPr>
            <w:tcW w:type="dxa" w:w="2484"/>
            <w:vAlign w:val="center"/>
            <w:tcMar>
              <w:top w:w="80" w:type="dxa"/>
              <w:start w:w="80" w:type="dxa"/>
              <w:bottom w:w="80" w:type="dxa"/>
              <w:end w:w="80" w:type="dxa"/>
            </w:tcMar>
          </w:tcPr>
          <w:p>
            <w:r>
              <w:t>6. Variable-importance stability across CV folds</w:t>
            </w:r>
          </w:p>
        </w:tc>
        <w:tc>
          <w:tcPr>
            <w:tcW w:type="dxa" w:w="2484"/>
            <w:vAlign w:val="center"/>
            <w:tcMar>
              <w:top w:w="80" w:type="dxa"/>
              <w:start w:w="80" w:type="dxa"/>
              <w:bottom w:w="80" w:type="dxa"/>
              <w:end w:w="80" w:type="dxa"/>
            </w:tcMar>
            <w:shd w:fill="FFF2CC"/>
          </w:tcPr>
          <w:p>
            <w:r>
              <w:t>Pending</w:t>
            </w:r>
          </w:p>
        </w:tc>
        <w:tc>
          <w:tcPr>
            <w:tcW w:type="dxa" w:w="2484"/>
            <w:vAlign w:val="center"/>
            <w:tcMar>
              <w:top w:w="80" w:type="dxa"/>
              <w:start w:w="80" w:type="dxa"/>
              <w:bottom w:w="80" w:type="dxa"/>
              <w:end w:w="80" w:type="dxa"/>
            </w:tcMar>
          </w:tcPr>
          <w:p>
            <w:r>
              <w:t>Shows that key drivers are stable across resampling.</w:t>
            </w:r>
          </w:p>
        </w:tc>
        <w:tc>
          <w:tcPr>
            <w:tcW w:type="dxa" w:w="2484"/>
            <w:vAlign w:val="center"/>
            <w:tcMar>
              <w:top w:w="80" w:type="dxa"/>
              <w:start w:w="80" w:type="dxa"/>
              <w:bottom w:w="80" w:type="dxa"/>
              <w:end w:w="80" w:type="dxa"/>
            </w:tcMar>
          </w:tcPr>
          <w:p>
            <w:r>
              <w:t>Per-feature mean ± SD/SE across folds, ideally for top variables or by variable type.</w:t>
            </w:r>
          </w:p>
        </w:tc>
      </w:tr>
      <w:tr>
        <w:tc>
          <w:tcPr>
            <w:tcW w:type="dxa" w:w="2484"/>
            <w:vAlign w:val="center"/>
            <w:tcMar>
              <w:top w:w="80" w:type="dxa"/>
              <w:start w:w="80" w:type="dxa"/>
              <w:bottom w:w="80" w:type="dxa"/>
              <w:end w:w="80" w:type="dxa"/>
            </w:tcMar>
          </w:tcPr>
          <w:p>
            <w:r>
              <w:t>7. Sample-size sensitivity</w:t>
            </w:r>
          </w:p>
        </w:tc>
        <w:tc>
          <w:tcPr>
            <w:tcW w:type="dxa" w:w="2484"/>
            <w:vAlign w:val="center"/>
            <w:tcMar>
              <w:top w:w="80" w:type="dxa"/>
              <w:start w:w="80" w:type="dxa"/>
              <w:bottom w:w="80" w:type="dxa"/>
              <w:end w:w="80" w:type="dxa"/>
            </w:tcMar>
            <w:shd w:fill="FFF2CC"/>
          </w:tcPr>
          <w:p>
            <w:r>
              <w:t>Pending</w:t>
            </w:r>
          </w:p>
        </w:tc>
        <w:tc>
          <w:tcPr>
            <w:tcW w:type="dxa" w:w="2484"/>
            <w:vAlign w:val="center"/>
            <w:tcMar>
              <w:top w:w="80" w:type="dxa"/>
              <w:start w:w="80" w:type="dxa"/>
              <w:bottom w:w="80" w:type="dxa"/>
              <w:end w:w="80" w:type="dxa"/>
            </w:tcMar>
          </w:tcPr>
          <w:p>
            <w:r>
              <w:t>Checks whether the P. leniusculus native sample size explains the result pattern.</w:t>
            </w:r>
          </w:p>
        </w:tc>
        <w:tc>
          <w:tcPr>
            <w:tcW w:type="dxa" w:w="2484"/>
            <w:vAlign w:val="center"/>
            <w:tcMar>
              <w:top w:w="80" w:type="dxa"/>
              <w:start w:w="80" w:type="dxa"/>
              <w:bottom w:w="80" w:type="dxa"/>
              <w:end w:w="80" w:type="dxa"/>
            </w:tcMar>
          </w:tcPr>
          <w:p>
            <w:r>
              <w:t>Repeated subsampling experiment for P. clarkii native records down to 117, with rank stability of top features.</w:t>
            </w:r>
          </w:p>
        </w:tc>
      </w:tr>
    </w:tbl>
    <w:p/>
    <w:p>
      <w:pPr>
        <w:pStyle w:val="Heading1"/>
      </w:pPr>
      <w:r>
        <w:t>2. Data and preprocessing used in all completed analyses</w:t>
      </w:r>
    </w:p>
    <w:p>
      <w:pPr>
        <w:pStyle w:val="ListBullet"/>
      </w:pPr>
      <w:r>
        <w:t>Input dataset: combined_data_true_master.csv with 115,191 raw records and 419 columns.</w:t>
      </w:r>
    </w:p>
    <w:p>
      <w:pPr>
        <w:pStyle w:val="ListBullet"/>
      </w:pPr>
      <w:r>
        <w:t>Filtering pipeline applied before modelling: keep only Native and Alien records; keep High-accuracy records; retain records snapped within 1 km; deduplicate by species × status × subcatchment/segment.</w:t>
      </w:r>
    </w:p>
    <w:p>
      <w:pPr>
        <w:pStyle w:val="ListBullet"/>
      </w:pPr>
      <w:r>
        <w:t>After filtering and deduplication, 64,737 records remained. This corresponds to 50,454 records removed from the raw dataset.</w:t>
      </w:r>
    </w:p>
    <w:p>
      <w:pPr>
        <w:pStyle w:val="ListBullet"/>
      </w:pPr>
      <w:r>
        <w:t>Five focal species were retained for modelling because they had sufficient numbers of native and alien records after filtering: Procambarus clarkii, Faxonius limosus, Pacifastacus leniusculus, Faxonius virilis, and Faxonius rusticus.</w:t>
      </w:r>
    </w:p>
    <w:p>
      <w:pPr>
        <w:pStyle w:val="ListBullet"/>
      </w:pPr>
      <w:r>
        <w:t>Environmental predictors were then cleaned species-by-species by dropping variables with excessive missingness, imputing remaining missing values by median, removing constant variables, and removing highly correlated variables (r &gt; 0.98).</w:t>
      </w:r>
    </w:p>
    <w:p>
      <w:pPr>
        <w:pStyle w:val="Heading1"/>
      </w:pPr>
      <w:r>
        <w:t>3. Completed result: Task 2 - Random forest + SHAP robustness check</w:t>
      </w:r>
    </w:p>
    <w:p>
      <w:r>
        <w:t>Objective. To test whether the main decision-tree result remains visible under an ensemble method, I fitted random forests for the same native-vs-invasive classification problem for each species. Decision trees remain the interpretability core of the study; random forest + SHAP is treated as a robustness analysis.</w:t>
      </w:r>
    </w:p>
    <w:p>
      <w:pPr>
        <w:pStyle w:val="Heading2"/>
      </w:pPr>
      <w:r>
        <w:t>3.1 Methods used for the RF robustness analysis</w:t>
      </w:r>
    </w:p>
    <w:p>
      <w:pPr>
        <w:pStyle w:val="ListBullet"/>
      </w:pPr>
      <w:r>
        <w:t>Model: Random forest classifier with 500 trees (as implemented in the project script random_forest_shap.py).</w:t>
      </w:r>
    </w:p>
    <w:p>
      <w:pPr>
        <w:pStyle w:val="ListBullet"/>
      </w:pPr>
      <w:r>
        <w:t>Prediction task: binary classification of native vs. invasive occurrences for each focal species.</w:t>
      </w:r>
    </w:p>
    <w:p>
      <w:pPr>
        <w:pStyle w:val="ListBullet"/>
      </w:pPr>
      <w:r>
        <w:t>Validation: 5-fold cross-validation, reporting accuracy, F1, and ROC AUC.</w:t>
      </w:r>
    </w:p>
    <w:p>
      <w:pPr>
        <w:pStyle w:val="ListBullet"/>
      </w:pPr>
      <w:r>
        <w:t>Explainability outputs: (i) Gini feature importances from the fitted RF model; (ii) SHAP values for the same model, summarised as mean absolute SHAP value per feature; (iii) aggregation of importance by thematic variable type (Climate, Topography, Soil, Land Cover).</w:t>
      </w:r>
    </w:p>
    <w:p>
      <w:pPr>
        <w:pStyle w:val="ListBullet"/>
      </w:pPr>
      <w:r>
        <w:t>Interpretation target: verify whether intercontinental invaders remain climate-dominated and whether within-continent invaders retain a stronger topographic/network signature.</w:t>
      </w:r>
    </w:p>
    <w:p>
      <w:pPr>
        <w:pStyle w:val="Heading2"/>
      </w:pPr>
      <w:r>
        <w:t>3.2 Random forest performance and thematic importance structure</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shd w:fill="D9EAF7"/>
          </w:tcPr>
          <w:p>
            <w:r>
              <w:t>Species</w:t>
            </w:r>
          </w:p>
        </w:tc>
        <w:tc>
          <w:tcPr>
            <w:tcW w:type="dxa" w:w="1104"/>
            <w:shd w:fill="D9EAF7"/>
          </w:tcPr>
          <w:p>
            <w:r>
              <w:t>Native n</w:t>
            </w:r>
          </w:p>
        </w:tc>
        <w:tc>
          <w:tcPr>
            <w:tcW w:type="dxa" w:w="1104"/>
            <w:shd w:fill="D9EAF7"/>
          </w:tcPr>
          <w:p>
            <w:r>
              <w:t>Alien n</w:t>
            </w:r>
          </w:p>
        </w:tc>
        <w:tc>
          <w:tcPr>
            <w:tcW w:type="dxa" w:w="1104"/>
            <w:shd w:fill="D9EAF7"/>
          </w:tcPr>
          <w:p>
            <w:r>
              <w:t>RF Acc</w:t>
            </w:r>
          </w:p>
        </w:tc>
        <w:tc>
          <w:tcPr>
            <w:tcW w:type="dxa" w:w="1104"/>
            <w:shd w:fill="D9EAF7"/>
          </w:tcPr>
          <w:p>
            <w:r>
              <w:t>RF AUC</w:t>
            </w:r>
          </w:p>
        </w:tc>
        <w:tc>
          <w:tcPr>
            <w:tcW w:type="dxa" w:w="1104"/>
            <w:shd w:fill="D9EAF7"/>
          </w:tcPr>
          <w:p>
            <w:r>
              <w:t>RF Climate %</w:t>
            </w:r>
          </w:p>
        </w:tc>
        <w:tc>
          <w:tcPr>
            <w:tcW w:type="dxa" w:w="1104"/>
            <w:shd w:fill="D9EAF7"/>
          </w:tcPr>
          <w:p>
            <w:r>
              <w:t>RF Topography %</w:t>
            </w:r>
          </w:p>
        </w:tc>
        <w:tc>
          <w:tcPr>
            <w:tcW w:type="dxa" w:w="1104"/>
            <w:shd w:fill="D9EAF7"/>
          </w:tcPr>
          <w:p>
            <w:r>
              <w:t>DT Climate %</w:t>
            </w:r>
          </w:p>
        </w:tc>
        <w:tc>
          <w:tcPr>
            <w:tcW w:type="dxa" w:w="1104"/>
            <w:shd w:fill="D9EAF7"/>
          </w:tcPr>
          <w:p>
            <w:r>
              <w:t>DT Topography %</w:t>
            </w:r>
          </w:p>
        </w:tc>
      </w:tr>
      <w:tr>
        <w:tc>
          <w:tcPr>
            <w:tcW w:type="dxa" w:w="1104"/>
            <w:tcMar>
              <w:top w:w="70" w:type="dxa"/>
              <w:start w:w="70" w:type="dxa"/>
              <w:bottom w:w="70" w:type="dxa"/>
              <w:end w:w="70" w:type="dxa"/>
            </w:tcMar>
          </w:tcPr>
          <w:p>
            <w:r>
              <w:t>P. clarkii</w:t>
            </w:r>
          </w:p>
        </w:tc>
        <w:tc>
          <w:tcPr>
            <w:tcW w:type="dxa" w:w="1104"/>
            <w:tcMar>
              <w:top w:w="70" w:type="dxa"/>
              <w:start w:w="70" w:type="dxa"/>
              <w:bottom w:w="70" w:type="dxa"/>
              <w:end w:w="70" w:type="dxa"/>
            </w:tcMar>
          </w:tcPr>
          <w:p>
            <w:r>
              <w:t>2208</w:t>
            </w:r>
          </w:p>
        </w:tc>
        <w:tc>
          <w:tcPr>
            <w:tcW w:type="dxa" w:w="1104"/>
            <w:tcMar>
              <w:top w:w="70" w:type="dxa"/>
              <w:start w:w="70" w:type="dxa"/>
              <w:bottom w:w="70" w:type="dxa"/>
              <w:end w:w="70" w:type="dxa"/>
            </w:tcMar>
          </w:tcPr>
          <w:p>
            <w:r>
              <w:t>8527</w:t>
            </w:r>
          </w:p>
        </w:tc>
        <w:tc>
          <w:tcPr>
            <w:tcW w:type="dxa" w:w="1104"/>
            <w:tcMar>
              <w:top w:w="70" w:type="dxa"/>
              <w:start w:w="70" w:type="dxa"/>
              <w:bottom w:w="70" w:type="dxa"/>
              <w:end w:w="70" w:type="dxa"/>
            </w:tcMar>
          </w:tcPr>
          <w:p>
            <w:r>
              <w:t>0.990</w:t>
            </w:r>
          </w:p>
        </w:tc>
        <w:tc>
          <w:tcPr>
            <w:tcW w:type="dxa" w:w="1104"/>
            <w:tcMar>
              <w:top w:w="70" w:type="dxa"/>
              <w:start w:w="70" w:type="dxa"/>
              <w:bottom w:w="70" w:type="dxa"/>
              <w:end w:w="70" w:type="dxa"/>
            </w:tcMar>
          </w:tcPr>
          <w:p>
            <w:r>
              <w:t>0.999</w:t>
            </w:r>
          </w:p>
        </w:tc>
        <w:tc>
          <w:tcPr>
            <w:tcW w:type="dxa" w:w="1104"/>
            <w:tcMar>
              <w:top w:w="70" w:type="dxa"/>
              <w:start w:w="70" w:type="dxa"/>
              <w:bottom w:w="70" w:type="dxa"/>
              <w:end w:w="70" w:type="dxa"/>
            </w:tcMar>
          </w:tcPr>
          <w:p>
            <w:r>
              <w:t>57.7</w:t>
            </w:r>
          </w:p>
        </w:tc>
        <w:tc>
          <w:tcPr>
            <w:tcW w:type="dxa" w:w="1104"/>
            <w:tcMar>
              <w:top w:w="70" w:type="dxa"/>
              <w:start w:w="70" w:type="dxa"/>
              <w:bottom w:w="70" w:type="dxa"/>
              <w:end w:w="70" w:type="dxa"/>
            </w:tcMar>
          </w:tcPr>
          <w:p>
            <w:r>
              <w:t>16.4</w:t>
            </w:r>
          </w:p>
        </w:tc>
        <w:tc>
          <w:tcPr>
            <w:tcW w:type="dxa" w:w="1104"/>
            <w:tcMar>
              <w:top w:w="70" w:type="dxa"/>
              <w:start w:w="70" w:type="dxa"/>
              <w:bottom w:w="70" w:type="dxa"/>
              <w:end w:w="70" w:type="dxa"/>
            </w:tcMar>
          </w:tcPr>
          <w:p>
            <w:r>
              <w:t>93.1</w:t>
            </w:r>
          </w:p>
        </w:tc>
        <w:tc>
          <w:tcPr>
            <w:tcW w:type="dxa" w:w="1104"/>
            <w:tcMar>
              <w:top w:w="70" w:type="dxa"/>
              <w:start w:w="70" w:type="dxa"/>
              <w:bottom w:w="70" w:type="dxa"/>
              <w:end w:w="70" w:type="dxa"/>
            </w:tcMar>
          </w:tcPr>
          <w:p>
            <w:r>
              <w:t>5.5</w:t>
            </w:r>
          </w:p>
        </w:tc>
      </w:tr>
      <w:tr>
        <w:tc>
          <w:tcPr>
            <w:tcW w:type="dxa" w:w="1104"/>
            <w:tcMar>
              <w:top w:w="70" w:type="dxa"/>
              <w:start w:w="70" w:type="dxa"/>
              <w:bottom w:w="70" w:type="dxa"/>
              <w:end w:w="70" w:type="dxa"/>
            </w:tcMar>
          </w:tcPr>
          <w:p>
            <w:r>
              <w:t>F. limosus</w:t>
            </w:r>
          </w:p>
        </w:tc>
        <w:tc>
          <w:tcPr>
            <w:tcW w:type="dxa" w:w="1104"/>
            <w:tcMar>
              <w:top w:w="70" w:type="dxa"/>
              <w:start w:w="70" w:type="dxa"/>
              <w:bottom w:w="70" w:type="dxa"/>
              <w:end w:w="70" w:type="dxa"/>
            </w:tcMar>
          </w:tcPr>
          <w:p>
            <w:r>
              <w:t>382</w:t>
            </w:r>
          </w:p>
        </w:tc>
        <w:tc>
          <w:tcPr>
            <w:tcW w:type="dxa" w:w="1104"/>
            <w:tcMar>
              <w:top w:w="70" w:type="dxa"/>
              <w:start w:w="70" w:type="dxa"/>
              <w:bottom w:w="70" w:type="dxa"/>
              <w:end w:w="70" w:type="dxa"/>
            </w:tcMar>
          </w:tcPr>
          <w:p>
            <w:r>
              <w:t>4089</w:t>
            </w:r>
          </w:p>
        </w:tc>
        <w:tc>
          <w:tcPr>
            <w:tcW w:type="dxa" w:w="1104"/>
            <w:tcMar>
              <w:top w:w="70" w:type="dxa"/>
              <w:start w:w="70" w:type="dxa"/>
              <w:bottom w:w="70" w:type="dxa"/>
              <w:end w:w="70" w:type="dxa"/>
            </w:tcMar>
          </w:tcPr>
          <w:p>
            <w:r>
              <w:t>0.999</w:t>
            </w:r>
          </w:p>
        </w:tc>
        <w:tc>
          <w:tcPr>
            <w:tcW w:type="dxa" w:w="1104"/>
            <w:tcMar>
              <w:top w:w="70" w:type="dxa"/>
              <w:start w:w="70" w:type="dxa"/>
              <w:bottom w:w="70" w:type="dxa"/>
              <w:end w:w="70" w:type="dxa"/>
            </w:tcMar>
          </w:tcPr>
          <w:p>
            <w:r>
              <w:t>1.000</w:t>
            </w:r>
          </w:p>
        </w:tc>
        <w:tc>
          <w:tcPr>
            <w:tcW w:type="dxa" w:w="1104"/>
            <w:tcMar>
              <w:top w:w="70" w:type="dxa"/>
              <w:start w:w="70" w:type="dxa"/>
              <w:bottom w:w="70" w:type="dxa"/>
              <w:end w:w="70" w:type="dxa"/>
            </w:tcMar>
          </w:tcPr>
          <w:p>
            <w:r>
              <w:t>76.2</w:t>
            </w:r>
          </w:p>
        </w:tc>
        <w:tc>
          <w:tcPr>
            <w:tcW w:type="dxa" w:w="1104"/>
            <w:tcMar>
              <w:top w:w="70" w:type="dxa"/>
              <w:start w:w="70" w:type="dxa"/>
              <w:bottom w:w="70" w:type="dxa"/>
              <w:end w:w="70" w:type="dxa"/>
            </w:tcMar>
          </w:tcPr>
          <w:p>
            <w:r>
              <w:t>15.3</w:t>
            </w:r>
          </w:p>
        </w:tc>
        <w:tc>
          <w:tcPr>
            <w:tcW w:type="dxa" w:w="1104"/>
            <w:tcMar>
              <w:top w:w="70" w:type="dxa"/>
              <w:start w:w="70" w:type="dxa"/>
              <w:bottom w:w="70" w:type="dxa"/>
              <w:end w:w="70" w:type="dxa"/>
            </w:tcMar>
          </w:tcPr>
          <w:p>
            <w:r>
              <w:t>91.2</w:t>
            </w:r>
          </w:p>
        </w:tc>
        <w:tc>
          <w:tcPr>
            <w:tcW w:type="dxa" w:w="1104"/>
            <w:tcMar>
              <w:top w:w="70" w:type="dxa"/>
              <w:start w:w="70" w:type="dxa"/>
              <w:bottom w:w="70" w:type="dxa"/>
              <w:end w:w="70" w:type="dxa"/>
            </w:tcMar>
          </w:tcPr>
          <w:p>
            <w:r>
              <w:t>8.8</w:t>
            </w:r>
          </w:p>
        </w:tc>
      </w:tr>
      <w:tr>
        <w:tc>
          <w:tcPr>
            <w:tcW w:type="dxa" w:w="1104"/>
            <w:tcMar>
              <w:top w:w="70" w:type="dxa"/>
              <w:start w:w="70" w:type="dxa"/>
              <w:bottom w:w="70" w:type="dxa"/>
              <w:end w:w="70" w:type="dxa"/>
            </w:tcMar>
          </w:tcPr>
          <w:p>
            <w:r>
              <w:t>P. leniusculus</w:t>
            </w:r>
          </w:p>
        </w:tc>
        <w:tc>
          <w:tcPr>
            <w:tcW w:type="dxa" w:w="1104"/>
            <w:tcMar>
              <w:top w:w="70" w:type="dxa"/>
              <w:start w:w="70" w:type="dxa"/>
              <w:bottom w:w="70" w:type="dxa"/>
              <w:end w:w="70" w:type="dxa"/>
            </w:tcMar>
          </w:tcPr>
          <w:p>
            <w:r>
              <w:t>117</w:t>
            </w:r>
          </w:p>
        </w:tc>
        <w:tc>
          <w:tcPr>
            <w:tcW w:type="dxa" w:w="1104"/>
            <w:tcMar>
              <w:top w:w="70" w:type="dxa"/>
              <w:start w:w="70" w:type="dxa"/>
              <w:bottom w:w="70" w:type="dxa"/>
              <w:end w:w="70" w:type="dxa"/>
            </w:tcMar>
          </w:tcPr>
          <w:p>
            <w:r>
              <w:t>4459</w:t>
            </w:r>
          </w:p>
        </w:tc>
        <w:tc>
          <w:tcPr>
            <w:tcW w:type="dxa" w:w="1104"/>
            <w:tcMar>
              <w:top w:w="70" w:type="dxa"/>
              <w:start w:w="70" w:type="dxa"/>
              <w:bottom w:w="70" w:type="dxa"/>
              <w:end w:w="70" w:type="dxa"/>
            </w:tcMar>
          </w:tcPr>
          <w:p>
            <w:r>
              <w:t>0.993</w:t>
            </w:r>
          </w:p>
        </w:tc>
        <w:tc>
          <w:tcPr>
            <w:tcW w:type="dxa" w:w="1104"/>
            <w:tcMar>
              <w:top w:w="70" w:type="dxa"/>
              <w:start w:w="70" w:type="dxa"/>
              <w:bottom w:w="70" w:type="dxa"/>
              <w:end w:w="70" w:type="dxa"/>
            </w:tcMar>
          </w:tcPr>
          <w:p>
            <w:r>
              <w:t>1.000</w:t>
            </w:r>
          </w:p>
        </w:tc>
        <w:tc>
          <w:tcPr>
            <w:tcW w:type="dxa" w:w="1104"/>
            <w:tcMar>
              <w:top w:w="70" w:type="dxa"/>
              <w:start w:w="70" w:type="dxa"/>
              <w:bottom w:w="70" w:type="dxa"/>
              <w:end w:w="70" w:type="dxa"/>
            </w:tcMar>
          </w:tcPr>
          <w:p>
            <w:r>
              <w:t>61.5</w:t>
            </w:r>
          </w:p>
        </w:tc>
        <w:tc>
          <w:tcPr>
            <w:tcW w:type="dxa" w:w="1104"/>
            <w:tcMar>
              <w:top w:w="70" w:type="dxa"/>
              <w:start w:w="70" w:type="dxa"/>
              <w:bottom w:w="70" w:type="dxa"/>
              <w:end w:w="70" w:type="dxa"/>
            </w:tcMar>
          </w:tcPr>
          <w:p>
            <w:r>
              <w:t>12.4</w:t>
            </w:r>
          </w:p>
        </w:tc>
        <w:tc>
          <w:tcPr>
            <w:tcW w:type="dxa" w:w="1104"/>
            <w:tcMar>
              <w:top w:w="70" w:type="dxa"/>
              <w:start w:w="70" w:type="dxa"/>
              <w:bottom w:w="70" w:type="dxa"/>
              <w:end w:w="70" w:type="dxa"/>
            </w:tcMar>
          </w:tcPr>
          <w:p>
            <w:r>
              <w:t>92.4</w:t>
            </w:r>
          </w:p>
        </w:tc>
        <w:tc>
          <w:tcPr>
            <w:tcW w:type="dxa" w:w="1104"/>
            <w:tcMar>
              <w:top w:w="70" w:type="dxa"/>
              <w:start w:w="70" w:type="dxa"/>
              <w:bottom w:w="70" w:type="dxa"/>
              <w:end w:w="70" w:type="dxa"/>
            </w:tcMar>
          </w:tcPr>
          <w:p>
            <w:r>
              <w:t>0.0</w:t>
            </w:r>
          </w:p>
        </w:tc>
      </w:tr>
      <w:tr>
        <w:tc>
          <w:tcPr>
            <w:tcW w:type="dxa" w:w="1104"/>
            <w:tcMar>
              <w:top w:w="70" w:type="dxa"/>
              <w:start w:w="70" w:type="dxa"/>
              <w:bottom w:w="70" w:type="dxa"/>
              <w:end w:w="70" w:type="dxa"/>
            </w:tcMar>
          </w:tcPr>
          <w:p>
            <w:r>
              <w:t>F. virilis</w:t>
            </w:r>
          </w:p>
        </w:tc>
        <w:tc>
          <w:tcPr>
            <w:tcW w:type="dxa" w:w="1104"/>
            <w:tcMar>
              <w:top w:w="70" w:type="dxa"/>
              <w:start w:w="70" w:type="dxa"/>
              <w:bottom w:w="70" w:type="dxa"/>
              <w:end w:w="70" w:type="dxa"/>
            </w:tcMar>
          </w:tcPr>
          <w:p>
            <w:r>
              <w:t>1856</w:t>
            </w:r>
          </w:p>
        </w:tc>
        <w:tc>
          <w:tcPr>
            <w:tcW w:type="dxa" w:w="1104"/>
            <w:tcMar>
              <w:top w:w="70" w:type="dxa"/>
              <w:start w:w="70" w:type="dxa"/>
              <w:bottom w:w="70" w:type="dxa"/>
              <w:end w:w="70" w:type="dxa"/>
            </w:tcMar>
          </w:tcPr>
          <w:p>
            <w:r>
              <w:t>500</w:t>
            </w:r>
          </w:p>
        </w:tc>
        <w:tc>
          <w:tcPr>
            <w:tcW w:type="dxa" w:w="1104"/>
            <w:tcMar>
              <w:top w:w="70" w:type="dxa"/>
              <w:start w:w="70" w:type="dxa"/>
              <w:bottom w:w="70" w:type="dxa"/>
              <w:end w:w="70" w:type="dxa"/>
            </w:tcMar>
          </w:tcPr>
          <w:p>
            <w:r>
              <w:t>0.992</w:t>
            </w:r>
          </w:p>
        </w:tc>
        <w:tc>
          <w:tcPr>
            <w:tcW w:type="dxa" w:w="1104"/>
            <w:tcMar>
              <w:top w:w="70" w:type="dxa"/>
              <w:start w:w="70" w:type="dxa"/>
              <w:bottom w:w="70" w:type="dxa"/>
              <w:end w:w="70" w:type="dxa"/>
            </w:tcMar>
          </w:tcPr>
          <w:p>
            <w:r>
              <w:t>0.999</w:t>
            </w:r>
          </w:p>
        </w:tc>
        <w:tc>
          <w:tcPr>
            <w:tcW w:type="dxa" w:w="1104"/>
            <w:tcMar>
              <w:top w:w="70" w:type="dxa"/>
              <w:start w:w="70" w:type="dxa"/>
              <w:bottom w:w="70" w:type="dxa"/>
              <w:end w:w="70" w:type="dxa"/>
            </w:tcMar>
          </w:tcPr>
          <w:p>
            <w:r>
              <w:t>41.5</w:t>
            </w:r>
          </w:p>
        </w:tc>
        <w:tc>
          <w:tcPr>
            <w:tcW w:type="dxa" w:w="1104"/>
            <w:tcMar>
              <w:top w:w="70" w:type="dxa"/>
              <w:start w:w="70" w:type="dxa"/>
              <w:bottom w:w="70" w:type="dxa"/>
              <w:end w:w="70" w:type="dxa"/>
            </w:tcMar>
          </w:tcPr>
          <w:p>
            <w:r>
              <w:t>31.9</w:t>
            </w:r>
          </w:p>
        </w:tc>
        <w:tc>
          <w:tcPr>
            <w:tcW w:type="dxa" w:w="1104"/>
            <w:tcMar>
              <w:top w:w="70" w:type="dxa"/>
              <w:start w:w="70" w:type="dxa"/>
              <w:bottom w:w="70" w:type="dxa"/>
              <w:end w:w="70" w:type="dxa"/>
            </w:tcMar>
          </w:tcPr>
          <w:p>
            <w:r>
              <w:t>34.6</w:t>
            </w:r>
          </w:p>
        </w:tc>
        <w:tc>
          <w:tcPr>
            <w:tcW w:type="dxa" w:w="1104"/>
            <w:tcMar>
              <w:top w:w="70" w:type="dxa"/>
              <w:start w:w="70" w:type="dxa"/>
              <w:bottom w:w="70" w:type="dxa"/>
              <w:end w:w="70" w:type="dxa"/>
            </w:tcMar>
          </w:tcPr>
          <w:p>
            <w:r>
              <w:t>64.4</w:t>
            </w:r>
          </w:p>
        </w:tc>
      </w:tr>
      <w:tr>
        <w:tc>
          <w:tcPr>
            <w:tcW w:type="dxa" w:w="1104"/>
            <w:tcMar>
              <w:top w:w="70" w:type="dxa"/>
              <w:start w:w="70" w:type="dxa"/>
              <w:bottom w:w="70" w:type="dxa"/>
              <w:end w:w="70" w:type="dxa"/>
            </w:tcMar>
          </w:tcPr>
          <w:p>
            <w:r>
              <w:t>F. rusticus</w:t>
            </w:r>
          </w:p>
        </w:tc>
        <w:tc>
          <w:tcPr>
            <w:tcW w:type="dxa" w:w="1104"/>
            <w:tcMar>
              <w:top w:w="70" w:type="dxa"/>
              <w:start w:w="70" w:type="dxa"/>
              <w:bottom w:w="70" w:type="dxa"/>
              <w:end w:w="70" w:type="dxa"/>
            </w:tcMar>
          </w:tcPr>
          <w:p>
            <w:r>
              <w:t>1223</w:t>
            </w:r>
          </w:p>
        </w:tc>
        <w:tc>
          <w:tcPr>
            <w:tcW w:type="dxa" w:w="1104"/>
            <w:tcMar>
              <w:top w:w="70" w:type="dxa"/>
              <w:start w:w="70" w:type="dxa"/>
              <w:bottom w:w="70" w:type="dxa"/>
              <w:end w:w="70" w:type="dxa"/>
            </w:tcMar>
          </w:tcPr>
          <w:p>
            <w:r>
              <w:t>670</w:t>
            </w:r>
          </w:p>
        </w:tc>
        <w:tc>
          <w:tcPr>
            <w:tcW w:type="dxa" w:w="1104"/>
            <w:tcMar>
              <w:top w:w="70" w:type="dxa"/>
              <w:start w:w="70" w:type="dxa"/>
              <w:bottom w:w="70" w:type="dxa"/>
              <w:end w:w="70" w:type="dxa"/>
            </w:tcMar>
          </w:tcPr>
          <w:p>
            <w:r>
              <w:t>0.979</w:t>
            </w:r>
          </w:p>
        </w:tc>
        <w:tc>
          <w:tcPr>
            <w:tcW w:type="dxa" w:w="1104"/>
            <w:tcMar>
              <w:top w:w="70" w:type="dxa"/>
              <w:start w:w="70" w:type="dxa"/>
              <w:bottom w:w="70" w:type="dxa"/>
              <w:end w:w="70" w:type="dxa"/>
            </w:tcMar>
          </w:tcPr>
          <w:p>
            <w:r>
              <w:t>0.997</w:t>
            </w:r>
          </w:p>
        </w:tc>
        <w:tc>
          <w:tcPr>
            <w:tcW w:type="dxa" w:w="1104"/>
            <w:tcMar>
              <w:top w:w="70" w:type="dxa"/>
              <w:start w:w="70" w:type="dxa"/>
              <w:bottom w:w="70" w:type="dxa"/>
              <w:end w:w="70" w:type="dxa"/>
            </w:tcMar>
          </w:tcPr>
          <w:p>
            <w:r>
              <w:t>42.4</w:t>
            </w:r>
          </w:p>
        </w:tc>
        <w:tc>
          <w:tcPr>
            <w:tcW w:type="dxa" w:w="1104"/>
            <w:tcMar>
              <w:top w:w="70" w:type="dxa"/>
              <w:start w:w="70" w:type="dxa"/>
              <w:bottom w:w="70" w:type="dxa"/>
              <w:end w:w="70" w:type="dxa"/>
            </w:tcMar>
          </w:tcPr>
          <w:p>
            <w:r>
              <w:t>33.5</w:t>
            </w:r>
          </w:p>
        </w:tc>
        <w:tc>
          <w:tcPr>
            <w:tcW w:type="dxa" w:w="1104"/>
            <w:tcMar>
              <w:top w:w="70" w:type="dxa"/>
              <w:start w:w="70" w:type="dxa"/>
              <w:bottom w:w="70" w:type="dxa"/>
              <w:end w:w="70" w:type="dxa"/>
            </w:tcMar>
          </w:tcPr>
          <w:p>
            <w:r>
              <w:t>52.3</w:t>
            </w:r>
          </w:p>
        </w:tc>
        <w:tc>
          <w:tcPr>
            <w:tcW w:type="dxa" w:w="1104"/>
            <w:tcMar>
              <w:top w:w="70" w:type="dxa"/>
              <w:start w:w="70" w:type="dxa"/>
              <w:bottom w:w="70" w:type="dxa"/>
              <w:end w:w="70" w:type="dxa"/>
            </w:tcMar>
          </w:tcPr>
          <w:p>
            <w:r>
              <w:t>43.0</w:t>
            </w:r>
          </w:p>
        </w:tc>
      </w:tr>
    </w:tbl>
    <w:p>
      <w:r>
        <w:t>Main interpretation. The RF results confirm the qualitative split already visible in the decision trees. The three intercontinental invaders (P. clarkii, F. limosus, P. leniusculus) remain clearly climate-dominated, whereas the two within-continent invaders (F. virilis, F. rusticus) show much larger topographic contributions and a more mixed climate-topography structure.</w:t>
      </w:r>
    </w:p>
    <w:p>
      <w:pPr>
        <w:pStyle w:val="Heading2"/>
      </w:pPr>
      <w:r>
        <w:t>3.3 Species-specific RF + SHAP results</w:t>
      </w:r>
    </w:p>
    <w:p>
      <w:r>
        <w:rPr>
          <w:b/>
        </w:rPr>
        <w:t xml:space="preserve">Procambarus clarkii. </w:t>
      </w:r>
      <w:r>
        <w:t>RF performance was extremely high (accuracy 0.990, AUC 0.999). The dominant variables were mainly climatic, led by mean temperature of the warmest quarter, annual mean air temperature, precipitation seasonality, and precipitation of the warmest quarter. SHAP showed the same core ranking, confirming that the invasive-vs-native distinction is driven primarily by thermal and precipitation differences, with secondary soil and stream-position effects.</w:t>
      </w:r>
    </w:p>
    <w:p>
      <w:r>
        <w:rPr>
          <w:b/>
        </w:rPr>
        <w:t xml:space="preserve">Faxonius limosus. </w:t>
      </w:r>
      <w:r>
        <w:t>This species showed near-perfect separability (accuracy 0.999, AUC 1.000). Both Gini and SHAP emphasised temperature seasonality, annual temperature range, and warm-quarter precipitation, again with only a modest topographic contribution. The ecological picture is therefore very stable across DT and RF: the invasive range occupies a strongly distinct climatic regime.</w:t>
      </w:r>
    </w:p>
    <w:p>
      <w:r>
        <w:rPr>
          <w:b/>
        </w:rPr>
        <w:t xml:space="preserve">Pacifastacus leniusculus. </w:t>
      </w:r>
      <w:r>
        <w:t>RF performance remained extremely high despite the small native sample (accuracy 0.993, AUC 1.000). The most important variables were mainly precipitation- and temperature-related, especially precipitation seasonality and warm-quarter precipitation. SHAP likewise highlighted a predominantly climatic signal, although land-cover and soil variables became somewhat more visible than in the DT model.</w:t>
      </w:r>
    </w:p>
    <w:p>
      <w:r>
        <w:rPr>
          <w:b/>
        </w:rPr>
        <w:t xml:space="preserve">Faxonius virilis. </w:t>
      </w:r>
      <w:r>
        <w:t>RF performance was also very high (accuracy 0.992, AUC 0.999), but the thematic pattern differed from the intercontinental species. The leading variables included topological dimension of streams and distance to basin outlet, together with temperature and precipitation seasonality. SHAP preserved this mixed pattern and confirmed that network position/topography remains central.</w:t>
      </w:r>
    </w:p>
    <w:p>
      <w:r>
        <w:rPr>
          <w:b/>
        </w:rPr>
        <w:t xml:space="preserve">Faxonius rusticus. </w:t>
      </w:r>
      <w:r>
        <w:t>This species had the lowest, but still excellent, RF performance (accuracy 0.979, AUC 0.997). The strongest features combined distance to basin outlet, topological dimension, minimum temperature of the coldest month, and annual temperature range. SHAP returned the same mixed climate-topography pattern, supporting a more balanced ecological shift rather than a purely climatic one.</w:t>
      </w:r>
    </w:p>
    <w:p>
      <w:pPr>
        <w:pStyle w:val="Heading2"/>
      </w:pPr>
      <w:r>
        <w:t>3.4 Conclusion from Task 2</w:t>
      </w:r>
    </w:p>
    <w:p>
      <w:r>
        <w:t>Task 2 should be considered completed. It materially strengthens the manuscript because the main ecological pattern is not an artefact of single-tree structure. The ensemble model confirms the same directional result while also showing that RF distributes some explanatory weight into soil and topography that the highly sparse DT solutions compressed into a few dominant splits.</w:t>
      </w:r>
    </w:p>
    <w:p>
      <w:pPr>
        <w:pStyle w:val="Heading1"/>
      </w:pPr>
      <w:r>
        <w:t>4. Previously completed results that remain relevant for the paper</w:t>
      </w:r>
    </w:p>
    <w:p>
      <w:pPr>
        <w:pStyle w:val="Heading2"/>
      </w:pPr>
      <w:r>
        <w:t>4.1 Decision-tree analysis (native vs. invasive classification)</w:t>
      </w:r>
    </w:p>
    <w:p>
      <w:pPr>
        <w:pStyle w:val="ListBullet"/>
      </w:pPr>
      <w:r>
        <w:t>All five species were classified with very high cross-validated performance (approximately 0.965–0.999 depending on species and depth), indicating strong ecological separability between native and invasive occurrences.</w:t>
      </w:r>
    </w:p>
    <w:p>
      <w:pPr>
        <w:pStyle w:val="ListBullet"/>
      </w:pPr>
      <w:r>
        <w:t>Depth-sensitivity checks suggested that max_depth = 5 provided the best trade-off between interpretability and performance. Deeper trees added complexity with little performance gain.</w:t>
      </w:r>
    </w:p>
    <w:p>
      <w:pPr>
        <w:pStyle w:val="ListBullet"/>
      </w:pPr>
      <w:r>
        <w:t>The DT analysis provided the most interpretable threshold rules, which will remain the main figure/mechanistic core of the manuscript.</w:t>
      </w:r>
    </w:p>
    <w:p>
      <w:pPr>
        <w:pStyle w:val="Heading2"/>
      </w:pPr>
      <w:r>
        <w:t>4.2 Separate niche models (native-only vs. invasive-only)</w:t>
      </w:r>
    </w:p>
    <w:p>
      <w:r>
        <w:t>The separate niche models produced an important conceptual result: in most species, the native and invasive niche models did not share many of the same leading variables. This suggests that the change is often not just a shift in threshold on the same axis, but a deeper niche reorganisation in which different environmental axes become important in the two ranges.</w:t>
      </w:r>
    </w:p>
    <w:p>
      <w:pPr>
        <w:pStyle w:val="ListBullet"/>
      </w:pPr>
      <w:r>
        <w:t>P. leniusculus had one clearly shared variable with a large threshold shift.</w:t>
      </w:r>
    </w:p>
    <w:p>
      <w:pPr>
        <w:pStyle w:val="ListBullet"/>
      </w:pPr>
      <w:r>
        <w:t>F. virilis showed one shared variable with a more moderate shift.</w:t>
      </w:r>
    </w:p>
    <w:p>
      <w:pPr>
        <w:pStyle w:val="ListBullet"/>
      </w:pPr>
      <w:r>
        <w:t>F. rusticus showed the most overlap, with three shared variables.</w:t>
      </w:r>
    </w:p>
    <w:p>
      <w:pPr>
        <w:pStyle w:val="ListBullet"/>
      </w:pPr>
      <w:r>
        <w:t>For the remaining cases, the leading variables differed almost completely between native and invasive niche models.</w:t>
      </w:r>
    </w:p>
    <w:p>
      <w:pPr>
        <w:pStyle w:val="Heading1"/>
      </w:pPr>
      <w:r>
        <w:t>5. Exact analyses still to run</w:t>
      </w:r>
    </w:p>
    <w:p>
      <w:pPr>
        <w:pStyle w:val="Heading2"/>
      </w:pPr>
      <w:r>
        <w:t>Task 1 - Null model for the intercontinental vs. intracontinental dichotomy</w:t>
      </w:r>
    </w:p>
    <w:p>
      <w:r>
        <w:rPr>
          <w:b/>
        </w:rPr>
        <w:t xml:space="preserve">Goal. </w:t>
      </w:r>
      <w:r>
        <w:t>Goal: test whether the observed climate-vs-topography contrast is stronger than expected if the invasion-type labels are randomly reassigned across the five species.</w:t>
      </w:r>
    </w:p>
    <w:p>
      <w:pPr>
        <w:pStyle w:val="ListBullet"/>
      </w:pPr>
      <w:r>
        <w:t>Observed statistic to compute: for each group, summarise climate importance relative to topography importance (for example, climate/topography ratio or climate minus topography share), then take the difference between invasion-type groups.</w:t>
      </w:r>
    </w:p>
    <w:p>
      <w:pPr>
        <w:pStyle w:val="ListBullet"/>
      </w:pPr>
      <w:r>
        <w:t>Permutation design: randomly shuffle the group labels across species 999 times and recompute the same statistic.</w:t>
      </w:r>
    </w:p>
    <w:p>
      <w:pPr>
        <w:pStyle w:val="ListBullet"/>
      </w:pPr>
      <w:r>
        <w:t>Report: observed value, permutation distribution, empirical P-value, and a clear note that power is limited because n = 5 species.</w:t>
      </w:r>
    </w:p>
    <w:p>
      <w:r>
        <w:rPr>
          <w:b/>
        </w:rPr>
        <w:t xml:space="preserve">Expected manuscript use. </w:t>
      </w:r>
      <w:r>
        <w:t>Expected manuscript use: one paragraph in Methods, one supplementary figure/table, and a concise Results sentence stating whether the observed dichotomy is more extreme than expected by chance.</w:t>
      </w:r>
    </w:p>
    <w:p>
      <w:pPr>
        <w:pStyle w:val="Heading2"/>
      </w:pPr>
      <w:r>
        <w:t>Task 3 - Niche overlap metrics (Schoener's D and Warren's I)</w:t>
      </w:r>
    </w:p>
    <w:p>
      <w:r>
        <w:rPr>
          <w:b/>
        </w:rPr>
        <w:t xml:space="preserve">Goal. </w:t>
      </w:r>
      <w:r>
        <w:t>Goal: compare our rule-based ML approach against classical niche overlap metrics.</w:t>
      </w:r>
    </w:p>
    <w:p>
      <w:pPr>
        <w:pStyle w:val="ListBullet"/>
      </w:pPr>
      <w:r>
        <w:t>For each species, estimate native and invasive environmental-space overlap and compute Schoener's D and Warren's I.</w:t>
      </w:r>
    </w:p>
    <w:p>
      <w:pPr>
        <w:pStyle w:val="ListBullet"/>
      </w:pPr>
      <w:r>
        <w:t>Preferably use the same reduced environmental representation across species (e.g., PCA on the environmental variables or a standard subset of main climatic and topographic axes).</w:t>
      </w:r>
    </w:p>
    <w:p>
      <w:pPr>
        <w:pStyle w:val="ListBullet"/>
      </w:pPr>
      <w:r>
        <w:t>Key hypothesis: overlap metrics may indicate moderate overlap but will not show the qualitative difference in which axes shift.</w:t>
      </w:r>
    </w:p>
    <w:p>
      <w:r>
        <w:rPr>
          <w:b/>
        </w:rPr>
        <w:t xml:space="preserve">Expected manuscript use. </w:t>
      </w:r>
      <w:r>
        <w:t>Expected manuscript use: a compact table of D and I values, plus a paragraph showing why overlap-only summaries miss the mechanistic differences captured by DT/RF.</w:t>
      </w:r>
    </w:p>
    <w:p>
      <w:pPr>
        <w:pStyle w:val="Heading2"/>
      </w:pPr>
      <w:r>
        <w:t>Task 4 - Climate-change projection paragraph</w:t>
      </w:r>
    </w:p>
    <w:p>
      <w:r>
        <w:rPr>
          <w:b/>
        </w:rPr>
        <w:t xml:space="preserve">Goal. </w:t>
      </w:r>
      <w:r>
        <w:t>Goal: add explicit global-change relevance for the intercontinental invaders.</w:t>
      </w:r>
    </w:p>
    <w:p>
      <w:pPr>
        <w:pStyle w:val="ListBullet"/>
      </w:pPr>
      <w:r>
        <w:t>Focus on the three intercontinental species and a small number of their strongest climatic thresholds.</w:t>
      </w:r>
    </w:p>
    <w:p>
      <w:pPr>
        <w:pStyle w:val="ListBullet"/>
      </w:pPr>
      <w:r>
        <w:t>Use one or two future CHELSA scenarios (for example SSP2-4.5 and/or SSP5-8.5, 2071-2100) and estimate how much of the European hydrographic network would cross those thresholds.</w:t>
      </w:r>
    </w:p>
    <w:p>
      <w:pPr>
        <w:pStyle w:val="ListBullet"/>
      </w:pPr>
      <w:r>
        <w:t>A rough but defensible threshold-exposure analysis is enough; full redistribution modelling is not necessary for this paragraph.</w:t>
      </w:r>
    </w:p>
    <w:p>
      <w:r>
        <w:rPr>
          <w:b/>
        </w:rPr>
        <w:t xml:space="preserve">Expected manuscript use. </w:t>
      </w:r>
      <w:r>
        <w:t>Expected manuscript use: one short Results paragraph and one Discussion sentence linking threshold space to future climatic exposure.</w:t>
      </w:r>
    </w:p>
    <w:p>
      <w:pPr>
        <w:pStyle w:val="Heading2"/>
      </w:pPr>
      <w:r>
        <w:t>Task 5 - Pseudo-absence sensitivity for separate niche models</w:t>
      </w:r>
    </w:p>
    <w:p>
      <w:r>
        <w:rPr>
          <w:b/>
        </w:rPr>
        <w:t xml:space="preserve">Goal. </w:t>
      </w:r>
      <w:r>
        <w:t>Goal: verify that the native-only and invasive-only niche models do not depend entirely on the current pseudo-absence strategy.</w:t>
      </w:r>
    </w:p>
    <w:p>
      <w:pPr>
        <w:pStyle w:val="ListBullet"/>
      </w:pPr>
      <w:r>
        <w:t>Current background: occurrences of other crayfish species.</w:t>
      </w:r>
    </w:p>
    <w:p>
      <w:pPr>
        <w:pStyle w:val="ListBullet"/>
      </w:pPr>
      <w:r>
        <w:t>Alternative background: random points from the hydrographic network within the relevant continent or regional domain.</w:t>
      </w:r>
    </w:p>
    <w:p>
      <w:pPr>
        <w:pStyle w:val="ListBullet"/>
      </w:pPr>
      <w:r>
        <w:t>Compare top variables, shared variables between native and invasive models, and threshold-shift conclusions.</w:t>
      </w:r>
    </w:p>
    <w:p>
      <w:r>
        <w:rPr>
          <w:b/>
        </w:rPr>
        <w:t xml:space="preserve">Expected manuscript use. </w:t>
      </w:r>
      <w:r>
        <w:t>Expected manuscript use: supplementary robustness section for Analysis 2.</w:t>
      </w:r>
    </w:p>
    <w:p>
      <w:pPr>
        <w:pStyle w:val="Heading2"/>
      </w:pPr>
      <w:r>
        <w:t>Task 6 - Variable-importance stability across CV folds</w:t>
      </w:r>
    </w:p>
    <w:p>
      <w:r>
        <w:rPr>
          <w:b/>
        </w:rPr>
        <w:t xml:space="preserve">Goal. </w:t>
      </w:r>
      <w:r>
        <w:t>Goal: show that the main RF/DT driver structure is stable under resampling.</w:t>
      </w:r>
    </w:p>
    <w:p>
      <w:pPr>
        <w:pStyle w:val="ListBullet"/>
      </w:pPr>
      <w:r>
        <w:t>Store importances fold-by-fold during the 5-fold CV procedure.</w:t>
      </w:r>
    </w:p>
    <w:p>
      <w:pPr>
        <w:pStyle w:val="ListBullet"/>
      </w:pPr>
      <w:r>
        <w:t>Summarise either the top 10 variables per species or the variable-type totals (Climate, Topography, Soil, Land Cover) as mean ± SD.</w:t>
      </w:r>
    </w:p>
    <w:p>
      <w:pPr>
        <w:pStyle w:val="ListBullet"/>
      </w:pPr>
      <w:r>
        <w:t>This can also improve Figure 1 by adding uncertainty bars around thematic proportions.</w:t>
      </w:r>
    </w:p>
    <w:p>
      <w:r>
        <w:rPr>
          <w:b/>
        </w:rPr>
        <w:t xml:space="preserve">Expected manuscript use. </w:t>
      </w:r>
      <w:r>
        <w:t>Expected manuscript use: must-have robustness item for reviewers; ideally a main-text figure or a strong supplementary figure.</w:t>
      </w:r>
    </w:p>
    <w:p>
      <w:pPr>
        <w:pStyle w:val="Heading2"/>
      </w:pPr>
      <w:r>
        <w:t>Task 7 - Sample-size sensitivity</w:t>
      </w:r>
    </w:p>
    <w:p>
      <w:r>
        <w:rPr>
          <w:b/>
        </w:rPr>
        <w:t xml:space="preserve">Goal. </w:t>
      </w:r>
      <w:r>
        <w:t>Goal: address the concern that P. leniusculus has only 117 native records.</w:t>
      </w:r>
    </w:p>
    <w:p>
      <w:pPr>
        <w:pStyle w:val="ListBullet"/>
      </w:pPr>
      <w:r>
        <w:t>Repeatedly subsample P. clarkii native records down to n = 117 while keeping its invasive sample fixed or comparably structured.</w:t>
      </w:r>
    </w:p>
    <w:p>
      <w:pPr>
        <w:pStyle w:val="ListBullet"/>
      </w:pPr>
      <w:r>
        <w:t>Re-fit the same model many times and quantify whether the top climatic variables remain top-ranked.</w:t>
      </w:r>
    </w:p>
    <w:p>
      <w:pPr>
        <w:pStyle w:val="ListBullet"/>
      </w:pPr>
      <w:r>
        <w:t>If the same features keep emerging, we can argue that the P. leniusculus pattern is not merely a sample-size artefact.</w:t>
      </w:r>
    </w:p>
    <w:p>
      <w:r>
        <w:rPr>
          <w:b/>
        </w:rPr>
        <w:t xml:space="preserve">Expected manuscript use. </w:t>
      </w:r>
      <w:r>
        <w:t>Expected manuscript use: short supplementary note directly pre-empting reviewer criticism.</w:t>
      </w:r>
    </w:p>
    <w:p>
      <w:pPr>
        <w:pStyle w:val="Heading1"/>
      </w:pPr>
      <w:r>
        <w:t>6. Suggested framing for Lucian while rewriting</w:t>
      </w:r>
    </w:p>
    <w:p>
      <w:pPr>
        <w:pStyle w:val="ListBullet"/>
      </w:pPr>
      <w:r>
        <w:t>The paper should not be sold as 'a machine-learning methods paper'. The stronger framing is that network-aware freshwater macroecology reveals predictable niche reorganisation during invasion, and that interpretable ML is the tool used to expose this pattern.</w:t>
      </w:r>
    </w:p>
    <w:p>
      <w:pPr>
        <w:pStyle w:val="ListBullet"/>
      </w:pPr>
      <w:r>
        <w:t>The most important ecological contrast already supported by the results is the difference between intercontinental invaders and within-continent invaders. Intercontinental shifts are predominantly climatic; within-continent shifts are much more tied to river-network position and topographic structure.</w:t>
      </w:r>
    </w:p>
    <w:p>
      <w:pPr>
        <w:pStyle w:val="ListBullet"/>
      </w:pPr>
      <w:r>
        <w:t>The separate niche models add a second layer of insight: many species are not simply shifting thresholds along the same axis. Instead, the set of variables defining the niche may change between native and invasive ranges.</w:t>
      </w:r>
    </w:p>
    <w:p>
      <w:pPr>
        <w:pStyle w:val="ListBullet"/>
      </w:pPr>
      <w:r>
        <w:t>The RF + SHAP robustness analysis already supports the above interpretation, which means the manuscript now has a stronger foundation than before even prior to the remaining tasks.</w:t>
      </w:r>
    </w:p>
    <w:p>
      <w:pPr>
        <w:pStyle w:val="Heading1"/>
      </w:pPr>
      <w:r>
        <w:t>7. What Lucian can already use immediately</w:t>
      </w:r>
    </w:p>
    <w:p>
      <w:pPr>
        <w:pStyle w:val="ListBullet"/>
      </w:pPr>
      <w:r>
        <w:t>Use the Task 2 section of this memo directly when writing the robustness subsection for Results and Supplementary Methods.</w:t>
      </w:r>
    </w:p>
    <w:p>
      <w:pPr>
        <w:pStyle w:val="ListBullet"/>
      </w:pPr>
      <w:r>
        <w:t>Use the summary table comparing RF and DT thematic importances to support the claim that the qualitative species grouping is robust.</w:t>
      </w:r>
    </w:p>
    <w:p>
      <w:pPr>
        <w:pStyle w:val="ListBullet"/>
      </w:pPr>
      <w:r>
        <w:t>Use the separate niche-model finding to strengthen the conceptual distinction between simple niche shift and niche reorganisation.</w:t>
      </w:r>
    </w:p>
    <w:p>
      <w:pPr>
        <w:pStyle w:val="ListBullet"/>
      </w:pPr>
      <w:r>
        <w:t>Keep the manuscript narrative provisional until Tasks 1, 3, and 6 are complete, because those are the most likely reviewer-facing robustness requests.</w:t>
      </w:r>
    </w:p>
    <w:p>
      <w:pPr>
        <w:pStyle w:val="Heading1"/>
      </w:pPr>
      <w:r>
        <w:t>8. Short takeaway paragraph for email or cover note</w:t>
      </w:r>
    </w:p>
    <w:p>
      <w:r>
        <w:t>At this stage, the strongest new completed addition is the RF + SHAP robustness analysis. It confirms the main decision-tree story: the three intercontinental invaders remain predominantly climate-driven, while the two within-continent invaders retain a much stronger topographic/network component. The separate niche models also continue to support a niche-reorganisation interpretation, because native and invasive models often rely on different leading variables rather than just shifted thresholds on the same axes. The remaining highest-priority tasks are the null model, niche-overlap metrics, and CV-stability analysis.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2F2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