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Machine learning reveals divergent ecological rules governing freshwater crayfish invasions across spatial scales</w:t>
      </w:r>
    </w:p>
    <w:p>
      <w:pPr>
        <w:spacing w:after="100"/>
        <w:jc w:val="center"/>
      </w:pPr>
      <w:r>
        <w:rPr>
          <w:rFonts w:ascii="Times New Roman" w:cs="Times New Roman" w:eastAsia="Times New Roman" w:hAnsi="Times New Roman"/>
          <w:i/>
          <w:iCs/>
          <w:sz w:val="24"/>
          <w:szCs w:val="24"/>
        </w:rPr>
        <w:t xml:space="preserve">[Author list to be completed]</w:t>
      </w:r>
    </w:p>
    <w:p>
      <w:pPr>
        <w:spacing w:after="400"/>
        <w:jc w:val="center"/>
      </w:pPr>
      <w:r>
        <w:rPr>
          <w:rFonts w:ascii="Times New Roman" w:cs="Times New Roman" w:eastAsia="Times New Roman" w:hAnsi="Times New Roman"/>
          <w:i/>
          <w:iCs/>
          <w:sz w:val="24"/>
          <w:szCs w:val="24"/>
        </w:rPr>
        <w:t xml:space="preserve">[Affiliations to be completed]</w:t>
      </w:r>
    </w:p>
    <w:p>
      <w:pPr>
        <w:pStyle w:val="Heading1"/>
        <w:spacing w:after="200" w:before="360"/>
      </w:pPr>
      <w:r>
        <w:rPr>
          <w:b/>
          <w:bCs/>
        </w:rPr>
        <w:t xml:space="preserve">Abstract</w:t>
      </w:r>
    </w:p>
    <w:p>
      <w:pPr>
        <w:spacing w:after="120" w:line="360"/>
      </w:pPr>
      <w:r>
        <w:t xml:space="preserve">Biological invasions represent one of the most severe threats to freshwater biodiversity, yet the environmental rules governing where invasive species establish remain poorly understood, particularly for freshwater organisms whose habitats are structured by dendritic river networks rather than continuous landscapes. Here we use decision tree classifiers trained on the Global Crayfish Database of Geospatial Traits, a network-aware environmental dataset comprising ~400 hydrologically resolved variables, to identify the ecological thresholds distinguishing native from invasive ranges in five globally significant invasive freshwater crayfish species: </w:t>
      </w:r>
      <w:r>
        <w:rPr>
          <w:i/>
          <w:iCs/>
        </w:rPr>
        <w:t xml:space="preserve">Procambarus clarkii</w:t>
      </w:r>
      <w:r>
        <w:t xml:space="preserve">, </w:t>
      </w:r>
      <w:r>
        <w:rPr>
          <w:i/>
          <w:iCs/>
        </w:rPr>
        <w:t xml:space="preserve">Faxonius limosus</w:t>
      </w:r>
      <w:r>
        <w:t xml:space="preserve">, </w:t>
      </w:r>
      <w:r>
        <w:rPr>
          <w:i/>
          <w:iCs/>
        </w:rPr>
        <w:t xml:space="preserve">Pacifastacus leniusculus</w:t>
      </w:r>
      <w:r>
        <w:t xml:space="preserve">, </w:t>
      </w:r>
      <w:r>
        <w:rPr>
          <w:i/>
          <w:iCs/>
        </w:rPr>
        <w:t xml:space="preserve">Faxonius virilis</w:t>
      </w:r>
      <w:r>
        <w:t xml:space="preserve">, and </w:t>
      </w:r>
      <w:r>
        <w:rPr>
          <w:i/>
          <w:iCs/>
        </w:rPr>
        <w:t xml:space="preserve">Faxonius rusticus</w:t>
      </w:r>
      <w:r>
        <w:t xml:space="preserve">. Decision trees achieved cross-validated classification accuracies of 96.5–99.9% in distinguishing native from invasive occurrences, indicating that invasive populations occupy detectably different environmental spaces compared to their native ranges. A striking dichotomy emerged between invasion types: intercontinental invaders (</w:t>
      </w:r>
      <w:r>
        <w:rPr>
          <w:i/>
          <w:iCs/>
        </w:rPr>
        <w:t xml:space="preserve">P. clarkii</w:t>
      </w:r>
      <w:r>
        <w:t xml:space="preserve">, </w:t>
      </w:r>
      <w:r>
        <w:rPr>
          <w:i/>
          <w:iCs/>
        </w:rPr>
        <w:t xml:space="preserve">F. limosus</w:t>
      </w:r>
      <w:r>
        <w:t xml:space="preserve">, </w:t>
      </w:r>
      <w:r>
        <w:rPr>
          <w:i/>
          <w:iCs/>
        </w:rPr>
        <w:t xml:space="preserve">P. leniusculus</w:t>
      </w:r>
      <w:r>
        <w:t xml:space="preserve">) were separated from their native ranges primarily by climatic variables (91–93% of total feature importance), whereas within-continent invaders (</w:t>
      </w:r>
      <w:r>
        <w:rPr>
          <w:i/>
          <w:iCs/>
        </w:rPr>
        <w:t xml:space="preserve">F. virilis</w:t>
      </w:r>
      <w:r>
        <w:t xml:space="preserve">, </w:t>
      </w:r>
      <w:r>
        <w:rPr>
          <w:i/>
          <w:iCs/>
        </w:rPr>
        <w:t xml:space="preserve">F. rusticus</w:t>
      </w:r>
      <w:r>
        <w:t xml:space="preserve">) were distinguished predominantly by topographic and network-position variables (43–64% topographic importance). Separate niche models trained independently on native-range and invasive-range data revealed that most species are governed by entirely different environmental axes in their two ranges, representing a fundamental niche reorganisation rather than simple threshold shifts. For </w:t>
      </w:r>
      <w:r>
        <w:rPr>
          <w:i/>
          <w:iCs/>
        </w:rPr>
        <w:t xml:space="preserve">P. leniusculus</w:t>
      </w:r>
      <w:r>
        <w:t xml:space="preserve">, the single shared variable (temperature seasonality) showed a +46.8% threshold shift, indicating tolerance of substantially more continental climates in the invaded range. These findings demonstrate that machine learning applied to network-aware freshwater environmental data can extract ecologically interpretable invasion rules, and that the nature of niche shifts differs qualitatively between intercontinental and within-continent invasion pathways.</w:t>
      </w:r>
    </w:p>
    <w:p>
      <w:pPr>
        <w:spacing w:after="120" w:line="360"/>
      </w:pPr>
      <w:r>
        <w:rPr>
          <w:b/>
          <w:bCs/>
        </w:rPr>
        <w:t xml:space="preserve">Keywords: </w:t>
      </w:r>
      <w:r>
        <w:t xml:space="preserve">biological invasions; decision trees; ecological niche shift; freshwater crayfish; Hydrography90m; machine learning; niche conservatism; species distribution modelling</w:t>
      </w:r>
    </w:p>
    <w:p>
      <w:r>
        <w:br w:type="page"/>
      </w:r>
    </w:p>
    <w:p>
      <w:pPr>
        <w:pStyle w:val="Heading1"/>
        <w:spacing w:after="200" w:before="360"/>
      </w:pPr>
      <w:r>
        <w:rPr>
          <w:b/>
          <w:bCs/>
        </w:rPr>
        <w:t xml:space="preserve">1. Introduction</w:t>
      </w:r>
    </w:p>
    <w:p>
      <w:pPr>
        <w:spacing w:after="120" w:line="360"/>
      </w:pPr>
      <w:r>
        <w:t xml:space="preserve">Freshwater ecosystems harbour a disproportionate share of global biodiversity relative to their spatial extent, yet they are among the most imperilled systems on Earth, with freshwater species populations declining at roughly twice the rate observed in terrestrial or marine realms (Dudgeon et al., 2006; Reid et al., 2019; WWF, 2022). Biological invasions rank among the principal drivers of this decline, restructuring recipient communities through competitive displacement, pathogen transmission, and trophic cascading (Strayer &amp; Dudgeon, 2010). Understanding the environmental conditions that enable invasive species to establish and spread is therefore a central challenge for freshwater conservation and management.</w:t>
      </w:r>
    </w:p>
    <w:p>
      <w:pPr>
        <w:spacing w:after="120" w:line="360"/>
      </w:pPr>
      <w:r>
        <w:t xml:space="preserve">Freshwater crayfish (Decapoda: Astacidea) exemplify this challenge at a global scale. Ecologically, they function as keystone consumers and ecosystem engineers, structuring benthic communities, modulating nutrient cycling, and creating habitat heterogeneity through burrowing activity (Reynolds et al., 2013). Simultaneously, several crayfish species rank among the most ecologically damaging freshwater invaders worldwide (Oficialdegui et al., 2020; O’Hea Miller et al., 2024). The environmental determinants of crayfish invasion success have been investigated through correlative species distribution models (SDMs), but these studies have predominantly relied on terrestrial climate grids that treat landscapes as continuous two-dimensional surfaces, ignoring the dendritic structure of river networks and the upstream catchment processes that govern freshwater habitats (Domisch et al., 2015; Cid et al., 2022).</w:t>
      </w:r>
    </w:p>
    <w:p>
      <w:pPr>
        <w:spacing w:after="120" w:line="360"/>
      </w:pPr>
      <w:r>
        <w:t xml:space="preserve">The recently developed Global Crayfish Database of Geospatial Traits (GeoTraits; [reference to companion data paper]) addresses this mismatch by integrating curated occurrence records from the World of Crayfish® platform (Ion et al., 2024) with ~400 high-resolution environmental variables extracted through the GeoFRESH framework (Domisch et al., 2024) at 90 m resolution from the Hydrography90m global river network (Amatulli et al., 2022). This dataset provides, for the first time, a comprehensive suite of network-aware climatic, topographic, soil, and land-cover descriptors for freshwater crayfish at both local (stream segment) and upstream (catchment-aggregated) scales.</w:t>
      </w:r>
    </w:p>
    <w:p>
      <w:pPr>
        <w:spacing w:after="120" w:line="360"/>
      </w:pPr>
      <w:r>
        <w:t xml:space="preserve">A fundamental question in invasion ecology is whether invasive species occupy the same ecological niche in their invaded range as in their native range—a pattern termed niche conservatism—or whether they undergo niche shifts upon establishment in novel environments (Broennimann et al., 2007; Guisan et al., 2014). Most studies addressing this question have relied on niche overlap metrics computed in multivariate environmental space, which summarise the degree of similarity between native and invasive niches but do not identify the specific environmental axes or thresholds along which shifts occur (Petitpierre et al., 2012). Machine learning approaches, particularly decision tree classifiers, offer an alternative that directly identifies interpretable ecological rules: hierarchical sequences of environmental thresholds that predict species occurrence (Elith &amp; Leathwick, 2009; Christin et al., 2019). When applied to the native–invasive comparison, decision trees can reveal not only whether niches differ, but precisely which environmental variables distinguish the two ranges and at what threshold values.</w:t>
      </w:r>
    </w:p>
    <w:p>
      <w:pPr>
        <w:spacing w:after="120" w:line="360"/>
      </w:pPr>
      <w:r>
        <w:t xml:space="preserve">Here we apply decision tree classification to the GeoTraits database to address three questions: (1) Can the native and invasive ranges of globally significant invasive crayfish species be reliably distinguished on the basis of network-aware environmental variables? (2) Which environmental variable types (climate, topography, soil, land cover) and spatial scales (local segment vs. upstream catchment) are most important for distinguishing ranges, and does this differ between intercontinental and within-continent invaders? (3) Do native-range and invasive-range niche models rely on the same or different environmental axes, and where shared variables exist, how do thresholds shift between ranges? We address these questions for five species representing both intercontinental invasion pathways (</w:t>
      </w:r>
      <w:r>
        <w:rPr>
          <w:i/>
          <w:iCs/>
        </w:rPr>
        <w:t xml:space="preserve">Procambarus clarkii</w:t>
      </w:r>
      <w:r>
        <w:t xml:space="preserve">, </w:t>
      </w:r>
      <w:r>
        <w:rPr>
          <w:i/>
          <w:iCs/>
        </w:rPr>
        <w:t xml:space="preserve">Faxonius limosus</w:t>
      </w:r>
      <w:r>
        <w:t xml:space="preserve">, </w:t>
      </w:r>
      <w:r>
        <w:rPr>
          <w:i/>
          <w:iCs/>
        </w:rPr>
        <w:t xml:space="preserve">Pacifastacus leniusculus</w:t>
      </w:r>
      <w:r>
        <w:t xml:space="preserve">) and within-continent range expansions (</w:t>
      </w:r>
      <w:r>
        <w:rPr>
          <w:i/>
          <w:iCs/>
        </w:rPr>
        <w:t xml:space="preserve">Faxonius virilis</w:t>
      </w:r>
      <w:r>
        <w:t xml:space="preserve">, </w:t>
      </w:r>
      <w:r>
        <w:rPr>
          <w:i/>
          <w:iCs/>
        </w:rPr>
        <w:t xml:space="preserve">Faxonius rusticus</w:t>
      </w:r>
      <w:r>
        <w:t xml:space="preserve">).</w:t>
      </w:r>
    </w:p>
    <w:p>
      <w:r>
        <w:br w:type="page"/>
      </w:r>
    </w:p>
    <w:p>
      <w:pPr>
        <w:pStyle w:val="Heading1"/>
        <w:spacing w:after="200" w:before="360"/>
      </w:pPr>
      <w:r>
        <w:rPr>
          <w:b/>
          <w:bCs/>
        </w:rPr>
        <w:t xml:space="preserve">2. Methods</w:t>
      </w:r>
    </w:p>
    <w:p>
      <w:pPr>
        <w:pStyle w:val="Heading2"/>
        <w:spacing w:after="160" w:before="280"/>
      </w:pPr>
      <w:r>
        <w:rPr>
          <w:b/>
          <w:bCs/>
        </w:rPr>
        <w:t xml:space="preserve">2.1 Data Source</w:t>
      </w:r>
    </w:p>
    <w:p>
      <w:pPr>
        <w:spacing w:after="120" w:line="360"/>
      </w:pPr>
      <w:r>
        <w:t xml:space="preserve">Occurrence records and environmental data were obtained from the Global Crayfish Database of Geospatial Traits (GeoTraits; [reference]), which links 115,191 georeferenced crayfish records from the World of Crayfish® platform to ~400 environmental variables from GeoFRESH. Environmental variables span four thematic domains: Climate (76 local, 19 upstream variables derived from CHELSA v2.1 BIOCLIM; Karger et al., 2017), Topography (144 local, 40 upstream variables from Hydrography90m; Amatulli et al., 2022), Soil (60 local, 15 upstream variables from SoilGrids250m; Hengl et al., 2017), and Land Cover (22 local, 22 upstream variables from ESA CCI LC). Local variables describe conditions at the 90 m stream segment scale; upstream variables represent catchment-aggregated means.</w:t>
      </w:r>
    </w:p>
    <w:p>
      <w:pPr>
        <w:pStyle w:val="Heading2"/>
        <w:spacing w:after="160" w:before="280"/>
      </w:pPr>
      <w:r>
        <w:rPr>
          <w:b/>
          <w:bCs/>
        </w:rPr>
        <w:t xml:space="preserve">2.2 Data Filtering and Species Selection</w:t>
      </w:r>
    </w:p>
    <w:p>
      <w:pPr>
        <w:spacing w:after="120" w:line="360"/>
      </w:pPr>
      <w:r>
        <w:t xml:space="preserve">Records were filtered through a sequential quality pipeline: (1) retention of only ‘Native’ and ‘Alien’ status records, excluding ‘Introduced’ and ‘Type locality’ designations to ensure clear native–invasive contrasts; (2) retention of High spatial accuracy records only; (3) exclusion of records with snapping distances &gt;1 km from the nearest Hydrography90m stream segment; and (4) deduplication to one record per species per status per stream segment. This pipeline reduced the dataset from 115,191 to 64,737 records.</w:t>
      </w:r>
    </w:p>
    <w:p>
      <w:pPr>
        <w:spacing w:after="120" w:line="360"/>
      </w:pPr>
      <w:r>
        <w:t xml:space="preserve">Species were selected for analysis based on the availability of sufficient records in both native and invasive ranges. A minimum threshold of 40 records per range context (native or alien) after quality filtering was applied. Five species met this criterion (Table 1): </w:t>
      </w:r>
      <w:r>
        <w:rPr>
          <w:i/>
          <w:iCs/>
        </w:rPr>
        <w:t xml:space="preserve">Procambarus clarkii</w:t>
      </w:r>
      <w:r>
        <w:t xml:space="preserve"> (red swamp crayfish; native to southern USA, invasive across Europe, Africa, and Asia), </w:t>
      </w:r>
      <w:r>
        <w:rPr>
          <w:i/>
          <w:iCs/>
        </w:rPr>
        <w:t xml:space="preserve">Faxonius limosus</w:t>
      </w:r>
      <w:r>
        <w:t xml:space="preserve"> (spiny-cheek crayfish; native to eastern North America, invasive in Europe), </w:t>
      </w:r>
      <w:r>
        <w:rPr>
          <w:i/>
          <w:iCs/>
        </w:rPr>
        <w:t xml:space="preserve">Pacifastacus leniusculus</w:t>
      </w:r>
      <w:r>
        <w:t xml:space="preserve"> (signal crayfish; native to Pacific Northwest North America, invasive in Europe), </w:t>
      </w:r>
      <w:r>
        <w:rPr>
          <w:i/>
          <w:iCs/>
        </w:rPr>
        <w:t xml:space="preserve">Faxonius virilis</w:t>
      </w:r>
      <w:r>
        <w:t xml:space="preserve"> (virile crayfish; native to central-eastern North America, invasive in western North America and Europe), and </w:t>
      </w:r>
      <w:r>
        <w:rPr>
          <w:i/>
          <w:iCs/>
        </w:rPr>
        <w:t xml:space="preserve">Faxonius rusticus</w:t>
      </w:r>
      <w:r>
        <w:t xml:space="preserve"> (rusty crayfish; native to Ohio River basin, invasive in Great Lakes region and northeastern USA).</w:t>
      </w:r>
    </w:p>
    <w:p>
      <w:pPr>
        <w:spacing w:after="120" w:line="360"/>
      </w:pPr>
      <w:r>
        <w:rPr>
          <w:b/>
          <w:bCs/>
        </w:rPr>
        <w:t xml:space="preserve">Table 1. </w:t>
      </w:r>
      <w:r>
        <w:t xml:space="preserve">Summary of study species and record counts after quality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100"/>
        <w:gridCol w:w="1200"/>
        <w:gridCol w:w="2460"/>
      </w:tblGrid>
      <w:t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Species</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Native (n)</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Invasive (n)</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Total</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Variables</w:t>
            </w:r>
          </w:p>
        </w:tc>
        <w:tc>
          <w:tcPr>
            <w:tcW w:type="dxa" w:w="24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Invasion type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 clarkii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2,208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8,527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10,735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195</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Intercontinental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limosus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4,089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270</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Intercontinental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 leniusculus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292</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Intercontinental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virilis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1,856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2,356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277</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Within-continent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rusticus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1,223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670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1,893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271</w:t>
            </w:r>
          </w:p>
        </w:tc>
        <w:tc>
          <w:tcPr>
            <w:tcW w:type="dxa" w:w="24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Within-continent</w:t>
            </w:r>
          </w:p>
        </w:tc>
      </w:tr>
    </w:tbl>
    <w:p>
      <w:pPr>
        <w:spacing w:after="120" w:line="360"/>
      </w:pPr>
      <w:r>
        <w:t xml:space="preserve"/>
      </w:r>
    </w:p>
    <w:p>
      <w:pPr>
        <w:pStyle w:val="Heading2"/>
        <w:spacing w:after="160" w:before="280"/>
      </w:pPr>
      <w:r>
        <w:rPr>
          <w:b/>
          <w:bCs/>
        </w:rPr>
        <w:t xml:space="preserve">2.3 Environmental Variable Preparation</w:t>
      </w:r>
    </w:p>
    <w:p>
      <w:pPr>
        <w:spacing w:after="120" w:line="360"/>
      </w:pPr>
      <w:r>
        <w:t xml:space="preserve">For each species, the full set of 398 environmental variables was subjected to three cleaning steps: (1) removal of variables with &gt;30% missing values across the species’ records; (2) removal of records with &gt;50% missing values across retained variables, followed by median imputation of remaining gaps; (3) removal of zero-variance variables and one of each pair of variables with Pearson correlation &gt;0.98 (retaining the variable with lower mean absolute correlation with all others). This species-specific cleaning ensured that models were trained on informative, non-redundant predictor sets, yielding 195–292 variables per species (Table 1).</w:t>
      </w:r>
    </w:p>
    <w:p>
      <w:pPr>
        <w:pStyle w:val="Heading2"/>
        <w:spacing w:after="160" w:before="280"/>
      </w:pPr>
      <w:r>
        <w:rPr>
          <w:b/>
          <w:bCs/>
        </w:rPr>
        <w:t xml:space="preserve">2.4 Analysis 1: Native vs. Invasive Classification</w:t>
      </w:r>
    </w:p>
    <w:p>
      <w:pPr>
        <w:spacing w:after="120" w:line="360"/>
      </w:pPr>
      <w:r>
        <w:t xml:space="preserve">For each species, a decision tree classifier was trained to distinguish native-range from invasive-range occurrences using the environmental variables as predictors and the range label (native = 0, invasive = 1) as the binary target. Decision trees were implemented using scikit-learn (Pedregosa et al., 2011) with the CART algorithm, class_weight=‘balanced’ to account for unequal class sizes, and a maximum depth of 5. Model performance was evaluated using 5-fold stratified cross-validation, reporting accuracy, F1 score, and area under the receiver operating characteristic curve (ROC AUC). Depth sensitivity was assessed by training trees at depths 3, 4, 5, and 8, comparing cross-validated performance and tree complexity (number of leaves).</w:t>
      </w:r>
    </w:p>
    <w:p>
      <w:pPr>
        <w:spacing w:after="120" w:line="360"/>
      </w:pPr>
      <w:r>
        <w:t xml:space="preserve">From each trained tree, we extracted: (a) feature importances (Gini importance), quantifying the relative contribution of each variable to classification; (b) decision rules, the complete set of root-to-leaf paths defining the environmental conditions associated with each class; and (c) the specific threshold values at each split node. Feature importances were aggregated by environmental variable type (Climate, Topography, Soil, Land Cover) and spatial scale (Local, Upstream) to characterise the dominant environmental dimensions distinguishing native from invasive ranges.</w:t>
      </w:r>
    </w:p>
    <w:p>
      <w:pPr>
        <w:pStyle w:val="Heading2"/>
        <w:spacing w:after="160" w:before="280"/>
      </w:pPr>
      <w:r>
        <w:rPr>
          <w:b/>
          <w:bCs/>
        </w:rPr>
        <w:t xml:space="preserve">2.5 Analysis 2: Separate Niche Models</w:t>
      </w:r>
    </w:p>
    <w:p>
      <w:pPr>
        <w:spacing w:after="120" w:line="360"/>
      </w:pPr>
      <w:r>
        <w:t xml:space="preserve">To compare the ecological rules governing species occurrence independently in each range, we trained separate presence–background decision trees for the native range and the invasive range. For each range, the focal species’ occurrence records served as presences (target = 1), and an equal number of records from all other species with the same status (Native or Alien) in the filtered dataset served as pseudo-absences (target = 0), providing a realistic environmental background for the corresponding geographic region. Trees were trained with maximum depth 4 and class_weight=‘balanced’, with 5-fold stratified cross-validation.</w:t>
      </w:r>
    </w:p>
    <w:p>
      <w:pPr>
        <w:spacing w:after="120" w:line="360"/>
      </w:pPr>
      <w:r>
        <w:t xml:space="preserve">We then compared the top splitting variables and their threshold values between the native and invasive niche models. For variables appearing as top splits in both models, we computed the threshold shift (invasive threshold minus native threshold) and its relative magnitude. Variables appearing in only one model were classified as range-specific niche determinants.</w:t>
      </w:r>
    </w:p>
    <w:p>
      <w:r>
        <w:br w:type="page"/>
      </w:r>
    </w:p>
    <w:p>
      <w:pPr>
        <w:pStyle w:val="Heading1"/>
        <w:spacing w:after="200" w:before="360"/>
      </w:pPr>
      <w:r>
        <w:rPr>
          <w:b/>
          <w:bCs/>
        </w:rPr>
        <w:t xml:space="preserve">3. Results</w:t>
      </w:r>
    </w:p>
    <w:p>
      <w:pPr>
        <w:pStyle w:val="Heading2"/>
        <w:spacing w:after="160" w:before="280"/>
      </w:pPr>
      <w:r>
        <w:rPr>
          <w:b/>
          <w:bCs/>
        </w:rPr>
        <w:t xml:space="preserve">3.1 Native vs. Invasive Classification Performance</w:t>
      </w:r>
    </w:p>
    <w:p>
      <w:pPr>
        <w:spacing w:after="120" w:line="360"/>
      </w:pPr>
      <w:r>
        <w:t xml:space="preserve">Decision tree classifiers achieved high cross-validated performance in distinguishing native from invasive occurrences for all five species (Table 2). Classification accuracy ranged from 0.965 (</w:t>
      </w:r>
      <w:r>
        <w:rPr>
          <w:i/>
          <w:iCs/>
        </w:rPr>
        <w:t xml:space="preserve">F. rusticus</w:t>
      </w:r>
      <w:r>
        <w:t xml:space="preserve">) to 0.999 (</w:t>
      </w:r>
      <w:r>
        <w:rPr>
          <w:i/>
          <w:iCs/>
        </w:rPr>
        <w:t xml:space="preserve">F. limosus</w:t>
      </w:r>
      <w:r>
        <w:t xml:space="preserve">), and ROC AUC ranged from 0.955 to 0.998. </w:t>
      </w:r>
      <w:r>
        <w:rPr>
          <w:i/>
          <w:iCs/>
        </w:rPr>
        <w:t xml:space="preserve">Faxonius limosus</w:t>
      </w:r>
      <w:r>
        <w:t xml:space="preserve"> showed the highest separability, with a tree of only depth 4 and 8 leaves achieving near-perfect discrimination, indicating that its native and invasive ranges occupy almost entirely non-overlapping environmental spaces. The within-continent invaders (</w:t>
      </w:r>
      <w:r>
        <w:rPr>
          <w:i/>
          <w:iCs/>
        </w:rPr>
        <w:t xml:space="preserve">F. virilis</w:t>
      </w:r>
      <w:r>
        <w:t xml:space="preserve"> and </w:t>
      </w:r>
      <w:r>
        <w:rPr>
          <w:i/>
          <w:iCs/>
        </w:rPr>
        <w:t xml:space="preserve">F. rusticus</w:t>
      </w:r>
      <w:r>
        <w:t xml:space="preserve">) showed slightly lower but still very high classification performance, consistent with greater environmental overlap between native and invaded ranges within the same continent.</w:t>
      </w:r>
    </w:p>
    <w:p>
      <w:pPr>
        <w:spacing w:after="120" w:line="360"/>
      </w:pPr>
      <w:r>
        <w:rPr>
          <w:b/>
          <w:bCs/>
        </w:rPr>
        <w:t xml:space="preserve">Table 2. </w:t>
      </w:r>
      <w:r>
        <w:t xml:space="preserve">Decision tree classification performance (depth = 5) for distinguishing native from invasive 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000"/>
        <w:gridCol w:w="1000"/>
        <w:gridCol w:w="1060"/>
      </w:tblGrid>
      <w:tr>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Species</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CV Accuracy</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CV F1</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CV AUC</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Depth</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Leaves</w:t>
            </w:r>
          </w:p>
        </w:tc>
        <w:tc>
          <w:tcPr>
            <w:tcW w:type="dxa" w:w="10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Top variable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 clarkii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Warmest qtr. temp.</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limosus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Temp. annual range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 leniusculus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Precip. seasonality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virilis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0.974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0.939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0.962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Dist. to outlet</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 rusticus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0.955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w:t>
            </w:r>
          </w:p>
        </w:tc>
        <w:tc>
          <w:tcPr>
            <w:tcW w:type="dxa" w:w="10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Min. cold month temp.</w:t>
            </w:r>
          </w:p>
        </w:tc>
      </w:tr>
    </w:tbl>
    <w:p>
      <w:pPr>
        <w:spacing w:after="120" w:line="360"/>
      </w:pPr>
      <w:r>
        <w:t xml:space="preserve"/>
      </w:r>
    </w:p>
    <w:p>
      <w:pPr>
        <w:spacing w:after="120" w:line="360"/>
      </w:pPr>
      <w:r>
        <w:t xml:space="preserve">Depth sensitivity analysis (depths 3–8) confirmed that classification performance was robust to tree complexity. Accuracy gains from depth 3 to 5 were modest (1–2 percentage points for most species), while increasing depth from 5 to 8 yielded negligible improvement (&lt; 0.5 percentage points) despite substantially increasing the number of leaves. </w:t>
      </w:r>
      <w:r>
        <w:rPr>
          <w:i/>
          <w:iCs/>
        </w:rPr>
        <w:t xml:space="preserve">Faxonius limosus</w:t>
      </w:r>
      <w:r>
        <w:t xml:space="preserve"> naturally converged at depth 4 regardless of the maximum depth permitted, indicating an inherently simple niche boundary. The top-ranking features were stable across all depths tested, confirming that the ecological signal is robust and not an artefact of tree complexity.</w:t>
      </w:r>
    </w:p>
    <w:p>
      <w:pPr>
        <w:pStyle w:val="Heading2"/>
        <w:spacing w:after="160" w:before="280"/>
      </w:pPr>
      <w:r>
        <w:rPr>
          <w:b/>
          <w:bCs/>
        </w:rPr>
        <w:t xml:space="preserve">3.2 Environmental Drivers: Intercontinental vs. Within-Continent Pattern</w:t>
      </w:r>
    </w:p>
    <w:p>
      <w:pPr>
        <w:spacing w:after="120" w:line="360"/>
      </w:pPr>
      <w:r>
        <w:t xml:space="preserve">Aggregation of feature importances by environmental variable type revealed a striking dichotomy between invasion pathway types (Figure 1). For all three intercontinental invaders, climatic variables accounted for 91–93% of total feature importance: 93% for </w:t>
      </w:r>
      <w:r>
        <w:rPr>
          <w:i/>
          <w:iCs/>
        </w:rPr>
        <w:t xml:space="preserve">P. clarkii</w:t>
      </w:r>
      <w:r>
        <w:t xml:space="preserve"> (dominated by mean temperature of the warmest quarter, 65.7% importance), 91% for </w:t>
      </w:r>
      <w:r>
        <w:rPr>
          <w:i/>
          <w:iCs/>
        </w:rPr>
        <w:t xml:space="preserve">F. limosus</w:t>
      </w:r>
      <w:r>
        <w:t xml:space="preserve"> (temperature annual range, 89.7%), and 92% for </w:t>
      </w:r>
      <w:r>
        <w:rPr>
          <w:i/>
          <w:iCs/>
        </w:rPr>
        <w:t xml:space="preserve">P. leniusculus</w:t>
      </w:r>
      <w:r>
        <w:t xml:space="preserve"> (precipitation seasonality, 75.4%). Topographic variables contributed only 5–9% for these species.</w:t>
      </w:r>
    </w:p>
    <w:p>
      <w:pPr>
        <w:spacing w:after="120" w:line="360"/>
      </w:pPr>
      <w:r>
        <w:t xml:space="preserve">In contrast, the two within-continent invaders showed a fundamentally different importance profile. For </w:t>
      </w:r>
      <w:r>
        <w:rPr>
          <w:i/>
          <w:iCs/>
        </w:rPr>
        <w:t xml:space="preserve">F. virilis</w:t>
      </w:r>
      <w:r>
        <w:t xml:space="preserve">, topographic variables dominated at 64% of total importance, with the single most important variable being distance to basin outlet (62.7%)—a network-position metric. Climate contributed only 35%. For </w:t>
      </w:r>
      <w:r>
        <w:rPr>
          <w:i/>
          <w:iCs/>
        </w:rPr>
        <w:t xml:space="preserve">F. rusticus</w:t>
      </w:r>
      <w:r>
        <w:t xml:space="preserve">, the balance was more even: climate at 52% and topography at 43%, with the top two features being minimum temperature of the coldest month (42.9%) and topological stream dimension (42.1%). Soil and land cover variables contributed minimally across all species (&lt;5%).</w:t>
      </w:r>
    </w:p>
    <w:p>
      <w:pPr>
        <w:spacing w:after="120" w:line="360"/>
      </w:pPr>
      <w:r>
        <w:t xml:space="preserve">Local-scale (90 m segment) variables dominated over upstream (catchment-aggregated) variables for all species (89–100% of importance), though </w:t>
      </w:r>
      <w:r>
        <w:rPr>
          <w:i/>
          <w:iCs/>
        </w:rPr>
        <w:t xml:space="preserve">F. rusticus</w:t>
      </w:r>
      <w:r>
        <w:t xml:space="preserve"> showed the highest upstream contribution (~11%), suggesting that catchment-level landscape context plays a greater role in its invasion ecology.</w:t>
      </w:r>
    </w:p>
    <w:p>
      <w:pPr>
        <w:spacing w:after="200"/>
      </w:pPr>
      <w:r>
        <w:t xml:space="preserve">[Figure 1: Stacked bar chart of environmental variable type importance by species. Figure 2: Feature importance heatmap across species. Figure 3: Local vs. upstream scale comparison. To be inserted.]</w:t>
      </w:r>
    </w:p>
    <w:p>
      <w:pPr>
        <w:pStyle w:val="Heading2"/>
        <w:spacing w:after="160" w:before="280"/>
      </w:pPr>
      <w:r>
        <w:rPr>
          <w:b/>
          <w:bCs/>
        </w:rPr>
        <w:t xml:space="preserve">3.3 Ecological Thresholds</w:t>
      </w:r>
    </w:p>
    <w:p>
      <w:pPr>
        <w:spacing w:after="120" w:line="360"/>
      </w:pPr>
      <w:r>
        <w:t xml:space="preserve">The decision rules extracted from each tree provide specific, interpretable ecological thresholds (Table 3). For </w:t>
      </w:r>
      <w:r>
        <w:rPr>
          <w:i/>
          <w:iCs/>
        </w:rPr>
        <w:t xml:space="preserve">P. clarkii</w:t>
      </w:r>
      <w:r>
        <w:t xml:space="preserve">, the primary split separated invasive occurrences (experiencing cooler summers, with warmest-quarter maximum temperature ≤26.5°C) from native occurrences (&gt;26.5°C). Within the invasive partition, further splits on precipitation seasonality and temperature seasonality refined the classification. For </w:t>
      </w:r>
      <w:r>
        <w:rPr>
          <w:i/>
          <w:iCs/>
        </w:rPr>
        <w:t xml:space="preserve">F. limosus</w:t>
      </w:r>
      <w:r>
        <w:t xml:space="preserve">, a single variable—temperature annual range at 22.05°C—separated nearly all invasive records (European populations experiencing greater annual temperature swings) from native records.</w:t>
      </w:r>
    </w:p>
    <w:p>
      <w:pPr>
        <w:spacing w:after="120" w:line="360"/>
      </w:pPr>
      <w:r>
        <w:t xml:space="preserve">For the within-continent invaders, the thresholds reflected network position rather than climate. </w:t>
      </w:r>
      <w:r>
        <w:rPr>
          <w:i/>
          <w:iCs/>
        </w:rPr>
        <w:t xml:space="preserve">Faxonius virilis</w:t>
      </w:r>
      <w:r>
        <w:t xml:space="preserve"> invasive populations were distinguished by shorter distances to basin outlets (&lt;277,854 m), indicating establishment in different positions within river networks. </w:t>
      </w:r>
      <w:r>
        <w:rPr>
          <w:i/>
          <w:iCs/>
        </w:rPr>
        <w:t xml:space="preserve">Faxonius rusticus</w:t>
      </w:r>
      <w:r>
        <w:t xml:space="preserve"> showed a threshold on minimum winter temperature (−6.55°C) as the primary split, with stream order as the secondary discriminator.</w:t>
      </w:r>
    </w:p>
    <w:p>
      <w:pPr>
        <w:pStyle w:val="Heading2"/>
        <w:spacing w:after="160" w:before="280"/>
      </w:pPr>
      <w:r>
        <w:rPr>
          <w:b/>
          <w:bCs/>
        </w:rPr>
        <w:t xml:space="preserve">3.4 Separate Niche Models: Niche Reorganisation</w:t>
      </w:r>
    </w:p>
    <w:p>
      <w:pPr>
        <w:spacing w:after="120" w:line="360"/>
      </w:pPr>
      <w:r>
        <w:t xml:space="preserve">Separate presence–background models for native and invasive ranges revealed that most species are governed by entirely different environmental axes in their two ranges (Table 4). </w:t>
      </w:r>
      <w:r>
        <w:rPr>
          <w:i/>
          <w:iCs/>
        </w:rPr>
        <w:t xml:space="preserve">Procambarus clarkii</w:t>
      </w:r>
      <w:r>
        <w:t xml:space="preserve">, </w:t>
      </w:r>
      <w:r>
        <w:rPr>
          <w:i/>
          <w:iCs/>
        </w:rPr>
        <w:t xml:space="preserve">F. limosus</w:t>
      </w:r>
      <w:r>
        <w:t xml:space="preserve"> shared zero variables between their native and invasive niche models, indicating complete niche reorganisation: the environmental rules defining where these species occur change entirely when they invade.</w:t>
      </w:r>
    </w:p>
    <w:p>
      <w:pPr>
        <w:spacing w:after="120" w:line="360"/>
      </w:pPr>
      <w:r>
        <w:t xml:space="preserve">For </w:t>
      </w:r>
      <w:r>
        <w:rPr>
          <w:i/>
          <w:iCs/>
        </w:rPr>
        <w:t xml:space="preserve">P. clarkii</w:t>
      </w:r>
      <w:r>
        <w:t xml:space="preserve">, the native niche model identified warmest-quarter temperature (&gt;26.7°C), diurnal range, and soil pH as the primary determinants, while the invasive niche model relied on annual mean temperature (&gt;12.4°C), precipitation seasonality, and maximum warmest-month temperature. In its native range, </w:t>
      </w:r>
      <w:r>
        <w:rPr>
          <w:i/>
          <w:iCs/>
        </w:rPr>
        <w:t xml:space="preserve">P. clarkii</w:t>
      </w:r>
      <w:r>
        <w:t xml:space="preserve"> is distinguished from co-occurring species as a warm-specialist among warm-adapted species; in its invasive range, it is simply the warm-tolerant species in a cooler community—a qualitative shift in niche identity.</w:t>
      </w:r>
    </w:p>
    <w:p>
      <w:pPr>
        <w:spacing w:after="120" w:line="360"/>
      </w:pPr>
      <w:r>
        <w:rPr>
          <w:i/>
          <w:iCs/>
        </w:rPr>
        <w:t xml:space="preserve">Pacifastacus leniusculus</w:t>
      </w:r>
      <w:r>
        <w:t xml:space="preserve"> showed one shared variable between range models: temperature seasonality, with a threshold shift of +46.8% (from 533 to 783 °C/100). This indicates that signal crayfish in Europe tolerate substantially more continental climates than in their native Pacific Northwest range.</w:t>
      </w:r>
    </w:p>
    <w:p>
      <w:pPr>
        <w:spacing w:after="120" w:line="360"/>
      </w:pPr>
      <w:r>
        <w:t xml:space="preserve">The within-continent invaders showed more niche continuity. </w:t>
      </w:r>
      <w:r>
        <w:rPr>
          <w:i/>
          <w:iCs/>
        </w:rPr>
        <w:t xml:space="preserve">Faxonius rusticus</w:t>
      </w:r>
      <w:r>
        <w:t xml:space="preserve"> had three shared variables: temperature annual range (shift: +4.7%), maximum warmest-month temperature (shift: −10.0%, from 30.6 to 27.6°C), and temperature seasonality (shift: −2.7%). This species is expanding into areas with slightly cooler summers but similar overall thermal regimes. </w:t>
      </w:r>
      <w:r>
        <w:rPr>
          <w:i/>
          <w:iCs/>
        </w:rPr>
        <w:t xml:space="preserve">Faxonius virilis</w:t>
      </w:r>
      <w:r>
        <w:t xml:space="preserve"> had one shared variable (temperature annual range), with a −10.0% shift indicating invasion of areas with less extreme annual temperature variation.</w:t>
      </w:r>
    </w:p>
    <w:p>
      <w:r>
        <w:br w:type="page"/>
      </w:r>
    </w:p>
    <w:p>
      <w:pPr>
        <w:pStyle w:val="Heading1"/>
        <w:spacing w:after="200" w:before="360"/>
      </w:pPr>
      <w:r>
        <w:rPr>
          <w:b/>
          <w:bCs/>
        </w:rPr>
        <w:t xml:space="preserve">4. Discussion</w:t>
      </w:r>
    </w:p>
    <w:p>
      <w:pPr>
        <w:pStyle w:val="Heading2"/>
        <w:spacing w:after="160" w:before="280"/>
      </w:pPr>
      <w:r>
        <w:rPr>
          <w:b/>
          <w:bCs/>
        </w:rPr>
        <w:t xml:space="preserve">4.1 Network-Aware Variables Enable High-Resolution Niche Discrimination</w:t>
      </w:r>
    </w:p>
    <w:p>
      <w:pPr>
        <w:spacing w:after="120" w:line="360"/>
      </w:pPr>
      <w:r>
        <w:t xml:space="preserve">The high classification accuracies achieved (96.5–99.9%) demonstrate that the native and invasive ranges of all five study species occupy detectably different environmental spaces when characterised using network-aware freshwater variables. This result validates the analytical utility of the GeoTraits database and supports the argument that hydrologically resolved environmental descriptors capture ecological variation that terrestrial climate grids miss (Domisch et al., 2015; Cid et al., 2022). The inclusion of topographic and network-position variables proved particularly important for within-continent invaders, where climatic differences between native and invasive ranges are subtle but landscape-structural differences are pronounced.</w:t>
      </w:r>
    </w:p>
    <w:p>
      <w:pPr>
        <w:pStyle w:val="Heading2"/>
        <w:spacing w:after="160" w:before="280"/>
      </w:pPr>
      <w:r>
        <w:rPr>
          <w:b/>
          <w:bCs/>
        </w:rPr>
        <w:t xml:space="preserve">4.2 Dichotomy Between Intercontinental and Within-Continent Invasions</w:t>
      </w:r>
    </w:p>
    <w:p>
      <w:pPr>
        <w:spacing w:after="120" w:line="360"/>
      </w:pPr>
      <w:r>
        <w:t xml:space="preserve">The most striking finding is the qualitative difference in the environmental dimensions driving niche shifts between intercontinental and within-continent invaders. For species that crossed oceans (</w:t>
      </w:r>
      <w:r>
        <w:rPr>
          <w:i/>
          <w:iCs/>
        </w:rPr>
        <w:t xml:space="preserve">P. clarkii</w:t>
      </w:r>
      <w:r>
        <w:t xml:space="preserve">, </w:t>
      </w:r>
      <w:r>
        <w:rPr>
          <w:i/>
          <w:iCs/>
        </w:rPr>
        <w:t xml:space="preserve">F. limosus</w:t>
      </w:r>
      <w:r>
        <w:t xml:space="preserve">, </w:t>
      </w:r>
      <w:r>
        <w:rPr>
          <w:i/>
          <w:iCs/>
        </w:rPr>
        <w:t xml:space="preserve">P. leniusculus</w:t>
      </w:r>
      <w:r>
        <w:t xml:space="preserve">), the invasive range is distinguished almost entirely by climatic variables—these species established in fundamentally different thermal and precipitation regimes. This pattern is consistent with macroecological theory: intercontinental dispersal (mediated by human translocation) places organisms in novel climate envelopes, and the primary niche axis along which adjustment occurs is the one that varies most between continents.</w:t>
      </w:r>
    </w:p>
    <w:p>
      <w:pPr>
        <w:spacing w:after="120" w:line="360"/>
      </w:pPr>
      <w:r>
        <w:t xml:space="preserve">For within-continent invaders (</w:t>
      </w:r>
      <w:r>
        <w:rPr>
          <w:i/>
          <w:iCs/>
        </w:rPr>
        <w:t xml:space="preserve">F. virilis</w:t>
      </w:r>
      <w:r>
        <w:t xml:space="preserve">, </w:t>
      </w:r>
      <w:r>
        <w:rPr>
          <w:i/>
          <w:iCs/>
        </w:rPr>
        <w:t xml:space="preserve">F. rusticus</w:t>
      </w:r>
      <w:r>
        <w:t xml:space="preserve">), the climate is broadly similar between native and invaded ranges (both within temperate North America), and the distinguishing axes shift to topography and network position. These species are not adapting to different climates; they are colonising different positions within similar-climate river networks—different stream orders, different distances from basin outlets, different landscape configurations. This suggests that the mechanisms of within-continent range expansion may involve competitive displacement and propagule pressure along river corridors rather than climatic niche expansion.</w:t>
      </w:r>
    </w:p>
    <w:p>
      <w:pPr>
        <w:pStyle w:val="Heading2"/>
        <w:spacing w:after="160" w:before="280"/>
      </w:pPr>
      <w:r>
        <w:rPr>
          <w:b/>
          <w:bCs/>
        </w:rPr>
        <w:t xml:space="preserve">4.3 Niche Reorganisation vs. Niche Shift</w:t>
      </w:r>
    </w:p>
    <w:p>
      <w:pPr>
        <w:spacing w:after="120" w:line="360"/>
      </w:pPr>
      <w:r>
        <w:t xml:space="preserve">The separate niche model analysis revealed a more fundamental pattern than simple threshold shifts: for most species, the environmental rules governing occurrence change entirely between ranges. This result goes beyond the niche shift/conservatism framework (Broennimann et al., 2007; Petitpierre et al., 2012) by showing that invasion involves not merely a displacement along existing niche axes, but a reorganisation of which axes matter. When </w:t>
      </w:r>
      <w:r>
        <w:rPr>
          <w:i/>
          <w:iCs/>
        </w:rPr>
        <w:t xml:space="preserve">P. clarkii</w:t>
      </w:r>
      <w:r>
        <w:t xml:space="preserve"> is in its native range, its niche is defined relative to warm-adapted competitors by warmest-quarter temperature and soil chemistry; when it invades Europe, its niche is defined relative to cold-adapted communities by annual mean temperature and precipitation patterns. The species occupies a different ecological role, governed by different environmental rules.</w:t>
      </w:r>
    </w:p>
    <w:p>
      <w:pPr>
        <w:spacing w:after="120" w:line="360"/>
      </w:pPr>
      <w:r>
        <w:t xml:space="preserve">This finding has implications for invasion risk modelling. Models trained on native-range environmental associations may fail not because the species’ fundamental niche has changed, but because the relevant niche axes shift when the competitive and environmental context changes. Transferability of SDMs across ranges (Petitpierre et al., 2012) may be limited not by niche evolution but by context-dependent niche expression.</w:t>
      </w:r>
    </w:p>
    <w:p>
      <w:pPr>
        <w:pStyle w:val="Heading2"/>
        <w:spacing w:after="160" w:before="280"/>
      </w:pPr>
      <w:r>
        <w:rPr>
          <w:b/>
          <w:bCs/>
        </w:rPr>
        <w:t xml:space="preserve">4.4 Methodological Implications</w:t>
      </w:r>
    </w:p>
    <w:p>
      <w:pPr>
        <w:spacing w:after="120" w:line="360"/>
      </w:pPr>
      <w:r>
        <w:t xml:space="preserve">Decision trees offer advantages over conventional niche overlap metrics for invasion ecology. First, they produce interpretable thresholds directly usable in management: a rule such as “</w:t>
      </w:r>
      <w:r>
        <w:rPr>
          <w:i/>
          <w:iCs/>
        </w:rPr>
        <w:t xml:space="preserve">P. clarkii</w:t>
      </w:r>
      <w:r>
        <w:t xml:space="preserve"> invades where warmest-quarter temperature is below 26.5°C” is actionable in a way that a Schoener’s D value is not. Second, the hierarchical structure reveals which variables matter most (through feature importance) and how they interact (through branching structure). Third, the separate niche model approach enables direct comparison of ecological rules between contexts, revealing both shared and context-specific determinants.</w:t>
      </w:r>
    </w:p>
    <w:p>
      <w:pPr>
        <w:spacing w:after="120" w:line="360"/>
      </w:pPr>
      <w:r>
        <w:t xml:space="preserve">The robustness of results across tree depths (3–8) and the stability of top-ranking features confirm that the patterns detected are genuine ecological signals rather than artefacts of model complexity. The balanced class weighting addresses the unequal sample sizes inherent in invasion datasets (where invasive-range records often vastly outnumber native-range records).</w:t>
      </w:r>
    </w:p>
    <w:p>
      <w:pPr>
        <w:pStyle w:val="Heading2"/>
        <w:spacing w:after="160" w:before="280"/>
      </w:pPr>
      <w:r>
        <w:rPr>
          <w:b/>
          <w:bCs/>
        </w:rPr>
        <w:t xml:space="preserve">4.5 Limitations and Future Directions</w:t>
      </w:r>
    </w:p>
    <w:p>
      <w:pPr>
        <w:spacing w:after="120" w:line="360"/>
      </w:pPr>
      <w:r>
        <w:t xml:space="preserve">Several limitations should be acknowledged. First, the background sampling strategy for separate niche models uses other crayfish species’ occurrences as pseudo-absences, which characterises the niche relative to co-occurring crayfish rather than the full environmental background. Second, decision trees, while interpretable, may not capture complex non-linear interactions as effectively as ensemble methods; future analyses using Random Forests and gradient-boosted trees with SHAP values could provide complementary insights. Third, the analysis is based on static, long-term environmental averages and does not capture temporal dynamics of invasion. Fourth, sample sizes vary substantially across species and ranges (from 117 native records for </w:t>
      </w:r>
      <w:r>
        <w:rPr>
          <w:i/>
          <w:iCs/>
        </w:rPr>
        <w:t xml:space="preserve">P. leniusculus</w:t>
      </w:r>
      <w:r>
        <w:t xml:space="preserve"> to 8,527 invasive records for </w:t>
      </w:r>
      <w:r>
        <w:rPr>
          <w:i/>
          <w:iCs/>
        </w:rPr>
        <w:t xml:space="preserve">P. clarkii</w:t>
      </w:r>
      <w:r>
        <w:t xml:space="preserve">), which may affect the precision of niche characterisation for data-poor species.</w:t>
      </w:r>
    </w:p>
    <w:p>
      <w:pPr>
        <w:spacing w:after="120" w:line="360"/>
      </w:pPr>
      <w:r>
        <w:t xml:space="preserve">Future work should extend this framework to additional species as data accumulate, incorporate ensemble machine learning methods for robustness, and integrate temporal environmental trajectories to assess whether niche shifts are ongoing or have stabilised. The analytical pipeline developed here is transferable to any freshwater taxon represented in the GeoTraits framework.</w:t>
      </w:r>
    </w:p>
    <w:p>
      <w:r>
        <w:br w:type="page"/>
      </w:r>
    </w:p>
    <w:p>
      <w:pPr>
        <w:pStyle w:val="Heading1"/>
        <w:spacing w:after="200" w:before="360"/>
      </w:pPr>
      <w:r>
        <w:rPr>
          <w:b/>
          <w:bCs/>
        </w:rPr>
        <w:t xml:space="preserve">5. Conclusions</w:t>
      </w:r>
    </w:p>
    <w:p>
      <w:pPr>
        <w:spacing w:after="120" w:line="360"/>
      </w:pPr>
      <w:r>
        <w:t xml:space="preserve">This study demonstrates that machine learning classifiers applied to network-aware freshwater environmental data can extract ecologically interpretable rules governing crayfish invasion. The native and invasive ranges of all five study species are reliably distinguishable (96.5–99.9% accuracy), confirming that invasion involves occupation of detectably different environmental spaces. The nature of this occupation differs qualitatively between invasion pathways: intercontinental invaders shift primarily along climatic axes, while within-continent invaders shift along topographic and network-position axes. Most species undergo fundamental niche reorganisation rather than simple threshold shifts, with the environmental rules governing occurrence changing entirely between ranges. These findings highlight the importance of using freshwater-specific, hydrologically resolved environmental descriptors in invasion ecology, and provide an analytical framework for identifying and comparing ecological invasion rules across species and spatial contexts.</w:t>
      </w:r>
    </w:p>
    <w:p>
      <w:r>
        <w:br w:type="page"/>
      </w:r>
    </w:p>
    <w:p>
      <w:pPr>
        <w:pStyle w:val="Heading1"/>
        <w:spacing w:after="200" w:before="360"/>
      </w:pPr>
      <w:r>
        <w:rPr>
          <w:b/>
          <w:bCs/>
        </w:rPr>
        <w:t xml:space="preserve">References</w:t>
      </w:r>
    </w:p>
    <w:p>
      <w:pPr>
        <w:spacing w:after="80"/>
        <w:ind w:left="360" w:hanging="360"/>
      </w:pPr>
      <w:r>
        <w:t xml:space="preserve">Amatulli, G., Garcia Marquez, J., Sethi, T., Kiesel, J., Grigoropoulou, A., Üblacker, M. M., … &amp; Domisch, S. (2022). Hydrography90m: a new high-resolution global hydrographic dataset. Earth System Science Data, 14(10), 4525–4550.</w:t>
      </w:r>
    </w:p>
    <w:p>
      <w:pPr>
        <w:spacing w:after="80"/>
        <w:ind w:left="360" w:hanging="360"/>
      </w:pPr>
      <w:r>
        <w:t xml:space="preserve">Broennimann, O., Treier, U. A., Müller-Schärer, H., Thuiller, W., Peterson, A. T., &amp; Guisan, A. (2007). Evidence of climatic niche shift during biological invasion. Ecology Letters, 10(8), 701–709.</w:t>
      </w:r>
    </w:p>
    <w:p>
      <w:pPr>
        <w:spacing w:after="80"/>
        <w:ind w:left="360" w:hanging="360"/>
      </w:pPr>
      <w:r>
        <w:t xml:space="preserve">Christin, S., Hervet, É., &amp; Lecomte, N. (2019). Applications for deep learning in ecology. Methods in Ecology and Evolution, 10(10), 1632–1644.</w:t>
      </w:r>
    </w:p>
    <w:p>
      <w:pPr>
        <w:spacing w:after="80"/>
        <w:ind w:left="360" w:hanging="360"/>
      </w:pPr>
      <w:r>
        <w:t xml:space="preserve">Cid, N., Erős, T., Heino, J., Singer, G., Jähnig, S. C., Cañedo-Argüelles, M., … &amp; Datry, T. (2022). From meta-system theory to the sustainable management of rivers in the Anthropocene. Frontiers in Ecology and the Environment, 20(1), 49–57.</w:t>
      </w:r>
    </w:p>
    <w:p>
      <w:pPr>
        <w:spacing w:after="80"/>
        <w:ind w:left="360" w:hanging="360"/>
      </w:pPr>
      <w:r>
        <w:t xml:space="preserve">Domisch, S., Amatulli, G., &amp; Jetz, W. (2015). Near-global freshwater-specific environmental variables for biodiversity analyses in 1 km resolution. Scientific Data, 2(1), 150073.</w:t>
      </w:r>
    </w:p>
    <w:p>
      <w:pPr>
        <w:spacing w:after="80"/>
        <w:ind w:left="360" w:hanging="360"/>
      </w:pPr>
      <w:r>
        <w:t xml:space="preserve">Domisch, S., Bremerich, V., Buurman, M., Kaminke, B., Tomiczek, T., Torres-Cambas, Y., … &amp; De Meester, L. (2024). GeoFRESH—an online platform for freshwater geospatial data processing. International Journal of Digital Earth, 17(1), 2391033.</w:t>
      </w:r>
    </w:p>
    <w:p>
      <w:pPr>
        <w:spacing w:after="80"/>
        <w:ind w:left="360" w:hanging="360"/>
      </w:pPr>
      <w:r>
        <w:t xml:space="preserve">Dudgeon, D., Arthington, A. H., Gessner, M. O., Kawabata, Z. I., Knowler, D. J., Lévêque, C., … &amp; Sullivan, C. A. (2006). Freshwater biodiversity: importance, threats, status and conservation challenges. Biological Reviews, 81(2), 163–182.</w:t>
      </w:r>
    </w:p>
    <w:p>
      <w:pPr>
        <w:spacing w:after="80"/>
        <w:ind w:left="360" w:hanging="360"/>
      </w:pPr>
      <w:r>
        <w:t xml:space="preserve">Elith, J., &amp; Leathwick, J. R. (2009). Species distribution models: ecological explanation and prediction across space and time. Annual Review of Ecology, Evolution, and Systematics, 40, 677–697.</w:t>
      </w:r>
    </w:p>
    <w:p>
      <w:pPr>
        <w:spacing w:after="80"/>
        <w:ind w:left="360" w:hanging="360"/>
      </w:pPr>
      <w:r>
        <w:t xml:space="preserve">Guisan, A., Petitpierre, B., Broennimann, O., Daehler, C., &amp; Kueffer, C. (2014). Unifying niche shift studies: insights from biological invasions. Trends in Ecology &amp; Evolution, 29(5), 260–269.</w:t>
      </w:r>
    </w:p>
    <w:p>
      <w:pPr>
        <w:spacing w:after="80"/>
        <w:ind w:left="360" w:hanging="360"/>
      </w:pPr>
      <w:r>
        <w:t xml:space="preserve">Hengl, T., Mendes de Jesus, J., Heuvelink, G. B. M., Ruiperez Gonzalez, M., Kilibarda, M., Blagotić, A., … &amp; Kempen, B. (2017). SoilGrids250m: Global gridded soil information based on machine learning. PLOS ONE, 12(2), e0169748.</w:t>
      </w:r>
    </w:p>
    <w:p>
      <w:pPr>
        <w:spacing w:after="80"/>
        <w:ind w:left="360" w:hanging="360"/>
      </w:pPr>
      <w:r>
        <w:t xml:space="preserve">Ion, M. C., Bloomer, C. C., Bărăscu, T. I., Oficialdegui, F. J., Shoobs, N. F., Williams, B. W., … &amp; Pârvulescu, L. (2024). World of Crayfish™: a web platform towards real-time global mapping of freshwater crayfish and their pathogens. PeerJ, 12, e18229.</w:t>
      </w:r>
    </w:p>
    <w:p>
      <w:pPr>
        <w:spacing w:after="80"/>
        <w:ind w:left="360" w:hanging="360"/>
      </w:pPr>
      <w:r>
        <w:t xml:space="preserve">Karger, D. N., Conrad, O., Böhner, J., Kawohl, T., Kreft, H., Soria-Auza, R. W., Zimmermann, N. E., Linder, P., &amp; Kessler, M. (2017). Climatologies at high resolution for the Earth land surface areas. Scientific Data, 4, 170122.</w:t>
      </w:r>
    </w:p>
    <w:p>
      <w:pPr>
        <w:spacing w:after="80"/>
        <w:ind w:left="360" w:hanging="360"/>
      </w:pPr>
      <w:r>
        <w:t xml:space="preserve">Oficialdegui, F. J., Sánchez, M. I., &amp; Clavero, M. (2020). One century away from home: how the red swamp crayfish took over the world. Reviews in Fish Biology and Fisheries, 30(1), 121–135.</w:t>
      </w:r>
    </w:p>
    <w:p>
      <w:pPr>
        <w:spacing w:after="80"/>
        <w:ind w:left="360" w:hanging="360"/>
      </w:pPr>
      <w:r>
        <w:t xml:space="preserve">O’Hea Miller, S. B., Davis, A. R., &amp; Wong, M. Y. (2024). The impacts of invasive crayfish and other non-native species on native freshwater crayfish: a review. Biology, 13(8), 610.</w:t>
      </w:r>
    </w:p>
    <w:p>
      <w:pPr>
        <w:spacing w:after="80"/>
        <w:ind w:left="360" w:hanging="360"/>
      </w:pPr>
      <w:r>
        <w:t xml:space="preserve">Pedregosa, F., Varoquaux, G., Gramfort, A., Michel, V., Thirion, B., Grisel, O., … &amp; Duchesnay, É. (2011). Scikit-learn: Machine learning in Python. Journal of Machine Learning Research, 12, 2825–2830.</w:t>
      </w:r>
    </w:p>
    <w:p>
      <w:pPr>
        <w:spacing w:after="80"/>
        <w:ind w:left="360" w:hanging="360"/>
      </w:pPr>
      <w:r>
        <w:t xml:space="preserve">Petitpierre, B., Kueffer, C., Broennimann, O., Randin, C., Daehler, C., &amp; Guisan, A. (2012). Climatic niche shifts are rare among terrestrial plant invaders. Science, 335(6074), 1344–1348.</w:t>
      </w:r>
    </w:p>
    <w:p>
      <w:pPr>
        <w:spacing w:after="80"/>
        <w:ind w:left="360" w:hanging="360"/>
      </w:pPr>
      <w:r>
        <w:t xml:space="preserve">Reid, A. J., Carlson, A. K., Creed, I. F., Eliason, E. J., Gell, P. A., Johnson, P. T. J., … &amp; Cooke, S. J. (2019). Emerging threats and persistent conservation challenges for freshwater biodiversity. Biological Reviews, 94(3), 849–873.</w:t>
      </w:r>
    </w:p>
    <w:p>
      <w:pPr>
        <w:spacing w:after="80"/>
        <w:ind w:left="360" w:hanging="360"/>
      </w:pPr>
      <w:r>
        <w:t xml:space="preserve">Reynolds, J., Souty-Grosset, C., &amp; Richardson, A. (2013). Ecological roles of crayfish in freshwater and terrestrial habitats. Freshwater Crayfish, 19(2), 197–218.</w:t>
      </w:r>
    </w:p>
    <w:p>
      <w:pPr>
        <w:spacing w:after="80"/>
        <w:ind w:left="360" w:hanging="360"/>
      </w:pPr>
      <w:r>
        <w:t xml:space="preserve">Strayer, D. L., &amp; Dudgeon, D. (2010). Freshwater biodiversity conservation: recent progress and future challenges. Journal of the North American Benthological Society, 29(1), 344–358.</w:t>
      </w:r>
    </w:p>
    <w:p>
      <w:pPr>
        <w:spacing w:after="80"/>
        <w:ind w:left="360" w:hanging="360"/>
      </w:pPr>
      <w:r>
        <w:t xml:space="preserve">WWF (2022). Living Planet Report 2022: Building a Nature-Positive Society. WWF International, Gland, Switzerland.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99999"/>
        <w:sz w:val="18"/>
        <w:szCs w:val="18"/>
      </w:rPr>
      <w:t xml:space="preserve">DRAFT — Crayfish Niche Shift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2026-04-02T13:13:30.310Z</dcterms:created>
  <dcterms:modified xsi:type="dcterms:W3CDTF">2026-04-02T13:13:30.311Z</dcterms:modified>
</cp:coreProperties>
</file>

<file path=docProps/custom.xml><?xml version="1.0" encoding="utf-8"?>
<Properties xmlns="http://schemas.openxmlformats.org/officeDocument/2006/custom-properties" xmlns:vt="http://schemas.openxmlformats.org/officeDocument/2006/docPropsVTypes"/>
</file>