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FUNZIONE OBIETTIVO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"/>
          <w:szCs w:val="15"/>
          <w:highlight w:val="green"/>
          <w:u w:val="none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15"/>
            <w:szCs w:val="15"/>
            <w:highlight w:val="green"/>
            <w:u w:val="none"/>
            <w:vertAlign w:val="baseline"/>
          </w:rPr>
          <m:t xml:space="preserve">min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highlight w:val="green"/>
                <w:u w:val="none"/>
                <w:vertAlign w:val="baseline"/>
              </w:rPr>
            </m:ctrlPr>
          </m:sSup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∑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i=0</m:t>
                </m:r>
              </m:sub>
            </m:sSub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highlight w:val="green"/>
                <w:u w:val="none"/>
                <w:vertAlign w:val="baseline"/>
              </w:rPr>
              <m:t xml:space="preserve">23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highlight w:val="green"/>
                <w:u w:val="none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highlight w:val="green"/>
                <w:u w:val="none"/>
                <w:vertAlign w:val="baseline"/>
              </w:rPr>
              <m:t xml:space="preserve">PU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N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i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highlight w:val="green"/>
                <w:u w:val="none"/>
                <w:vertAlign w:val="baseline"/>
              </w:rPr>
              <m:t>⋅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i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p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highlight w:val="green"/>
                <w:u w:val="none"/>
                <w:vertAlign w:val="baseline"/>
              </w:rPr>
              <m:t xml:space="preserve">-P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Z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i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highlight w:val="green"/>
                <w:u w:val="none"/>
                <w:vertAlign w:val="baseline"/>
              </w:rPr>
              <m:t>⋅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i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m</m:t>
                </m:r>
              </m:sup>
            </m:sSubSup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15"/>
            <w:szCs w:val="15"/>
            <w:highlight w:val="green"/>
            <w:u w:val="none"/>
            <w:vertAlign w:val="baseline"/>
          </w:rPr>
          <m:t xml:space="preserve">+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highlight w:val="green"/>
                <w:u w:val="none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highlight w:val="green"/>
                <w:u w:val="none"/>
                <w:vertAlign w:val="baseline"/>
              </w:rPr>
              <m:t xml:space="preserve">cos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charge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1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highlight w:val="green"/>
                <w:u w:val="none"/>
                <w:vertAlign w:val="baseline"/>
              </w:rPr>
              <m:t>⋅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i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p1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highlight w:val="green"/>
                <w:u w:val="none"/>
                <w:vertAlign w:val="baseline"/>
              </w:rPr>
              <m:t xml:space="preserve">+cos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discharge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1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highlight w:val="green"/>
                <w:u w:val="none"/>
                <w:vertAlign w:val="baseline"/>
              </w:rPr>
              <m:t>⋅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i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m1</m:t>
                </m:r>
              </m:sup>
            </m:sSubSup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15"/>
            <w:szCs w:val="15"/>
            <w:highlight w:val="green"/>
            <w:u w:val="none"/>
            <w:vertAlign w:val="baseline"/>
          </w:rPr>
          <m:t xml:space="preserve">-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highlight w:val="green"/>
                <w:u w:val="none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highlight w:val="green"/>
                <w:u w:val="none"/>
                <w:vertAlign w:val="baseline"/>
              </w:rPr>
              <m:t xml:space="preserve">PAP⋅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i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p1</m:t>
                </m:r>
              </m:sup>
            </m:sSubSup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15"/>
            <w:szCs w:val="15"/>
            <w:highlight w:val="green"/>
            <w:u w:val="none"/>
            <w:vertAlign w:val="baseline"/>
          </w:rPr>
          <m:t xml:space="preserve">+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highlight w:val="green"/>
                <w:u w:val="none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highlight w:val="green"/>
                <w:u w:val="none"/>
                <w:vertAlign w:val="baseline"/>
              </w:rPr>
              <m:t xml:space="preserve">PVP⋅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i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m1</m:t>
                </m:r>
              </m:sup>
            </m:sSubSup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15"/>
            <w:szCs w:val="15"/>
            <w:highlight w:val="green"/>
            <w:u w:val="none"/>
            <w:vertAlign w:val="baseline"/>
          </w:rPr>
          <m:t xml:space="preserve">-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highlight w:val="green"/>
                <w:u w:val="none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highlight w:val="green"/>
                <w:u w:val="none"/>
                <w:vertAlign w:val="baseline"/>
              </w:rPr>
              <m:t xml:space="preserve">POF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F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i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p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highlight w:val="green"/>
                <w:u w:val="none"/>
                <w:vertAlign w:val="baseline"/>
              </w:rPr>
              <m:t xml:space="preserve">⋅CRE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i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p</m:t>
                </m:r>
              </m:sup>
            </m:sSubSup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15"/>
            <w:szCs w:val="15"/>
            <w:highlight w:val="green"/>
            <w:u w:val="none"/>
            <w:vertAlign w:val="baseline"/>
          </w:rPr>
          <m:t xml:space="preserve">-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highlight w:val="green"/>
                <w:u w:val="none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highlight w:val="green"/>
                <w:u w:val="none"/>
                <w:vertAlign w:val="baseline"/>
              </w:rPr>
              <m:t xml:space="preserve">POF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F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i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m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highlight w:val="green"/>
                <w:u w:val="none"/>
                <w:vertAlign w:val="baseline"/>
              </w:rPr>
              <m:t xml:space="preserve">⋅CRE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i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15"/>
                    <w:szCs w:val="15"/>
                    <w:highlight w:val="green"/>
                    <w:u w:val="none"/>
                    <w:vertAlign w:val="baseline"/>
                  </w:rPr>
                  <m:t xml:space="preserve">m</m:t>
                </m:r>
              </m:sup>
            </m:sSub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VINCOLI</w:t>
        <w:tab/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</w:p>
    <w:tbl>
      <w:tblPr>
        <w:tblStyle w:val="Table1"/>
        <w:tblW w:w="9627.0" w:type="dxa"/>
        <w:jc w:val="left"/>
        <w:tblInd w:w="108.0" w:type="dxa"/>
        <w:tblBorders>
          <w:top w:color="929292" w:space="0" w:sz="4" w:val="single"/>
          <w:left w:color="929292" w:space="0" w:sz="4" w:val="single"/>
          <w:bottom w:color="929292" w:space="0" w:sz="4" w:val="single"/>
          <w:right w:color="929292" w:space="0" w:sz="4" w:val="single"/>
          <w:insideH w:color="929292" w:space="0" w:sz="4" w:val="single"/>
          <w:insideV w:color="929292" w:space="0" w:sz="4" w:val="single"/>
        </w:tblBorders>
        <w:tblLayout w:type="fixed"/>
        <w:tblLook w:val="0400"/>
      </w:tblPr>
      <w:tblGrid>
        <w:gridCol w:w="6418"/>
        <w:gridCol w:w="3209"/>
        <w:tblGridChange w:id="0">
          <w:tblGrid>
            <w:gridCol w:w="6418"/>
            <w:gridCol w:w="3209"/>
          </w:tblGrid>
        </w:tblGridChange>
      </w:tblGrid>
      <w:tr>
        <w:trPr>
          <w:cantSplit w:val="0"/>
          <w:trHeight w:val="33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highlight w:val="yellow"/>
                <w:u w:val="none"/>
                <w:vertAlign w:val="baseline"/>
              </w:rPr>
            </w:pPr>
            <m:oMath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yellow"/>
                      <w:u w:val="none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yellow"/>
                      <w:u w:val="none"/>
                      <w:vertAlign w:val="baseline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yellow"/>
                      <w:u w:val="none"/>
                      <w:vertAlign w:val="baseline"/>
                    </w:rPr>
                    <m:t xml:space="preserve">i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yellow"/>
                      <w:u w:val="none"/>
                      <w:vertAlign w:val="baseline"/>
                    </w:rPr>
                    <m:t xml:space="preserve">p</m:t>
                  </m:r>
                </m:sup>
              </m:sSub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3"/>
                  <w:szCs w:val="23"/>
                  <w:highlight w:val="yellow"/>
                  <w:u w:val="none"/>
                  <w:vertAlign w:val="baseline"/>
                </w:rPr>
                <m:t xml:space="preserve">-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yellow"/>
                      <w:u w:val="none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yellow"/>
                      <w:u w:val="none"/>
                      <w:vertAlign w:val="baseline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yellow"/>
                      <w:u w:val="none"/>
                      <w:vertAlign w:val="baseline"/>
                    </w:rPr>
                    <m:t xml:space="preserve">i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yellow"/>
                      <w:u w:val="none"/>
                      <w:vertAlign w:val="baseline"/>
                    </w:rPr>
                    <m:t xml:space="preserve">m</m:t>
                  </m:r>
                </m:sup>
              </m:sSub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3"/>
                  <w:szCs w:val="23"/>
                  <w:highlight w:val="yellow"/>
                  <w:u w:val="none"/>
                  <w:vertAlign w:val="baseline"/>
                </w:rPr>
                <m:t xml:space="preserve">=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yellow"/>
                      <w:u w:val="none"/>
                      <w:vertAlign w:val="baselin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3"/>
                          <w:szCs w:val="23"/>
                          <w:highlight w:val="yellow"/>
                          <w:u w:val="none"/>
                          <w:vertAlign w:val="baseline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3"/>
                          <w:szCs w:val="23"/>
                          <w:highlight w:val="yellow"/>
                          <w:u w:val="none"/>
                          <w:vertAlign w:val="baseline"/>
                        </w:rPr>
                        <m:t xml:space="preserve">Q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3"/>
                          <w:szCs w:val="23"/>
                          <w:highlight w:val="yellow"/>
                          <w:u w:val="none"/>
                          <w:vertAlign w:val="baseline"/>
                        </w:rPr>
                        <m:t xml:space="preserve">i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yellow"/>
                      <w:u w:val="none"/>
                      <w:vertAlign w:val="baseline"/>
                    </w:rPr>
                    <m:t xml:space="preserve">-</m:t>
                  </m:r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3"/>
                          <w:szCs w:val="23"/>
                          <w:highlight w:val="yellow"/>
                          <w:u w:val="none"/>
                          <w:vertAlign w:val="baseline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3"/>
                          <w:szCs w:val="23"/>
                          <w:highlight w:val="yellow"/>
                          <w:u w:val="none"/>
                          <w:vertAlign w:val="baseline"/>
                        </w:rPr>
                        <m:t xml:space="preserve">P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23"/>
                          <w:szCs w:val="23"/>
                          <w:highlight w:val="yellow"/>
                          <w:u w:val="none"/>
                          <w:vertAlign w:val="baseline"/>
                        </w:rPr>
                        <m:t xml:space="preserve">i</m:t>
                      </m:r>
                    </m:sub>
                  </m:sSub>
                </m:e>
              </m:d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3"/>
                  <w:szCs w:val="23"/>
                  <w:highlight w:val="yellow"/>
                  <w:u w:val="none"/>
                  <w:vertAlign w:val="baseline"/>
                </w:rPr>
                <m:t xml:space="preserve">+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yellow"/>
                      <w:u w:val="none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yellow"/>
                      <w:u w:val="none"/>
                      <w:vertAlign w:val="baseline"/>
                    </w:rPr>
                    <m:t xml:space="preserve">S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yellow"/>
                      <w:u w:val="none"/>
                      <w:vertAlign w:val="baseline"/>
                    </w:rPr>
                    <m:t xml:space="preserve">i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yellow"/>
                      <w:u w:val="none"/>
                      <w:vertAlign w:val="baseline"/>
                    </w:rPr>
                    <m:t xml:space="preserve">1</m:t>
                  </m:r>
                </m:sup>
              </m:sSub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3"/>
                  <w:szCs w:val="23"/>
                  <w:highlight w:val="yellow"/>
                  <w:u w:val="none"/>
                  <w:vertAlign w:val="baseline"/>
                </w:rPr>
                <m:t xml:space="preserve">+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yellow"/>
                      <w:u w:val="none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yellow"/>
                      <w:u w:val="none"/>
                      <w:vertAlign w:val="baseline"/>
                    </w:rPr>
                    <m:t xml:space="preserve">E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yellow"/>
                      <w:u w:val="none"/>
                      <w:vertAlign w:val="baseline"/>
                    </w:rPr>
                    <m:t xml:space="preserve">i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yellow"/>
                      <w:u w:val="none"/>
                      <w:vertAlign w:val="baseline"/>
                    </w:rPr>
                    <m:t xml:space="preserve">1</m:t>
                  </m:r>
                </m:sup>
              </m:sSub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3"/>
                  <w:szCs w:val="23"/>
                  <w:highlight w:val="yellow"/>
                  <w:u w:val="none"/>
                  <w:vertAlign w:val="baseline"/>
                </w:rPr>
                <m:t xml:space="preserve">-CRE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yellow"/>
                      <w:u w:val="none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yellow"/>
                      <w:u w:val="none"/>
                      <w:vertAlign w:val="baseline"/>
                    </w:rPr>
                    <m:t xml:space="preserve">G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yellow"/>
                      <w:u w:val="none"/>
                      <w:vertAlign w:val="baseline"/>
                    </w:rPr>
                    <m:t xml:space="preserve">i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yellow"/>
                      <w:u w:val="none"/>
                      <w:vertAlign w:val="baseline"/>
                    </w:rPr>
                    <m:t xml:space="preserve">m</m:t>
                  </m:r>
                </m:sup>
              </m:sSub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3"/>
                  <w:szCs w:val="23"/>
                  <w:highlight w:val="yellow"/>
                  <w:u w:val="none"/>
                  <w:vertAlign w:val="baseline"/>
                </w:rPr>
                <m:t xml:space="preserve">+CRE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yellow"/>
                      <w:u w:val="none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yellow"/>
                      <w:u w:val="none"/>
                      <w:vertAlign w:val="baseline"/>
                    </w:rPr>
                    <m:t xml:space="preserve">G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yellow"/>
                      <w:u w:val="none"/>
                      <w:vertAlign w:val="baseline"/>
                    </w:rPr>
                    <m:t xml:space="preserve">i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yellow"/>
                      <w:u w:val="none"/>
                      <w:vertAlign w:val="baseline"/>
                    </w:rPr>
                    <m:t xml:space="preserve">p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(1)</w:t>
            </w:r>
          </w:p>
        </w:tc>
      </w:tr>
      <w:tr>
        <w:trPr>
          <w:cantSplit w:val="0"/>
          <w:trHeight w:val="33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0A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green"/>
                <w:u w:val="none"/>
                <w:vertAlign w:val="baseline"/>
              </w:rPr>
            </w:pPr>
            <m:oMath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highlight w:val="green"/>
                      <w:u w:val="none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highlight w:val="green"/>
                      <w:u w:val="none"/>
                      <w:vertAlign w:val="baseline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highlight w:val="green"/>
                      <w:u w:val="none"/>
                      <w:vertAlign w:val="baseline"/>
                    </w:rPr>
                    <m:t xml:space="preserve">i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highlight w:val="green"/>
                      <w:u w:val="none"/>
                      <w:vertAlign w:val="baseline"/>
                    </w:rPr>
                    <m:t xml:space="preserve">p</m:t>
                  </m:r>
                </m:sup>
              </m:sSub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4"/>
                  <w:szCs w:val="24"/>
                  <w:highlight w:val="green"/>
                  <w:u w:val="none"/>
                  <w:vertAlign w:val="baseline"/>
                </w:rPr>
                <m:t>≤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highlight w:val="green"/>
                      <w:u w:val="none"/>
                      <w:vertAlign w:val="baseline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highlight w:val="green"/>
                      <w:u w:val="none"/>
                      <w:vertAlign w:val="baseline"/>
                    </w:rPr>
                    <m:t xml:space="preserve">Q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highlight w:val="green"/>
                      <w:u w:val="none"/>
                      <w:vertAlign w:val="baseline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(2)</w:t>
            </w:r>
          </w:p>
        </w:tc>
      </w:tr>
      <w:tr>
        <w:trPr>
          <w:cantSplit w:val="0"/>
          <w:trHeight w:val="30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0C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highlight w:val="green"/>
                <w:u w:val="none"/>
                <w:vertAlign w:val="baseline"/>
              </w:rPr>
            </w:pPr>
            <m:oMath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green"/>
                      <w:u w:val="none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green"/>
                      <w:u w:val="none"/>
                      <w:vertAlign w:val="baseline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green"/>
                      <w:u w:val="none"/>
                      <w:vertAlign w:val="baseline"/>
                    </w:rPr>
                    <m:t xml:space="preserve">i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green"/>
                      <w:u w:val="none"/>
                      <w:vertAlign w:val="baseline"/>
                    </w:rPr>
                    <m:t xml:space="preserve">m</m:t>
                  </m:r>
                </m:sup>
              </m:sSub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3"/>
                  <w:szCs w:val="23"/>
                  <w:highlight w:val="green"/>
                  <w:u w:val="none"/>
                  <w:vertAlign w:val="baseline"/>
                </w:rPr>
                <m:t>≤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green"/>
                      <w:u w:val="none"/>
                      <w:vertAlign w:val="baseline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green"/>
                      <w:u w:val="none"/>
                      <w:vertAlign w:val="baseline"/>
                    </w:rPr>
                    <m:t xml:space="preserve">P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green"/>
                      <w:u w:val="none"/>
                      <w:vertAlign w:val="baseline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(3)</w:t>
            </w:r>
          </w:p>
        </w:tc>
      </w:tr>
      <w:tr>
        <w:trPr>
          <w:cantSplit w:val="0"/>
          <w:trHeight w:val="33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highlight w:val="green"/>
                <w:u w:val="none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3"/>
                  <w:szCs w:val="23"/>
                  <w:highlight w:val="green"/>
                  <w:u w:val="none"/>
                  <w:vertAlign w:val="baseline"/>
                </w:rPr>
                <m:t xml:space="preserve">CRE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green"/>
                      <w:u w:val="none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green"/>
                      <w:u w:val="none"/>
                      <w:vertAlign w:val="baseline"/>
                    </w:rPr>
                    <m:t xml:space="preserve">G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green"/>
                      <w:u w:val="none"/>
                      <w:vertAlign w:val="baseline"/>
                    </w:rPr>
                    <m:t xml:space="preserve">i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green"/>
                      <w:u w:val="none"/>
                      <w:vertAlign w:val="baseline"/>
                    </w:rPr>
                    <m:t xml:space="preserve">m</m:t>
                  </m:r>
                </m:sup>
              </m:sSub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3"/>
                  <w:szCs w:val="23"/>
                  <w:highlight w:val="green"/>
                  <w:u w:val="none"/>
                  <w:vertAlign w:val="baseline"/>
                </w:rPr>
                <m:t>≤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green"/>
                      <w:u w:val="none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green"/>
                      <w:u w:val="none"/>
                      <w:vertAlign w:val="baseline"/>
                    </w:rPr>
                    <m:t xml:space="preserve">S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green"/>
                      <w:u w:val="none"/>
                      <w:vertAlign w:val="baseline"/>
                    </w:rPr>
                    <m:t xml:space="preserve">i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green"/>
                      <w:u w:val="none"/>
                      <w:vertAlign w:val="baseline"/>
                    </w:rPr>
                    <m:t xml:space="preserve">p1</m:t>
                  </m:r>
                </m:sup>
              </m:sSub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3"/>
                  <w:szCs w:val="23"/>
                  <w:highlight w:val="green"/>
                  <w:u w:val="none"/>
                  <w:vertAlign w:val="baseline"/>
                </w:rPr>
                <m:t xml:space="preserve">+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green"/>
                      <w:u w:val="none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green"/>
                      <w:u w:val="none"/>
                      <w:vertAlign w:val="baseline"/>
                    </w:rPr>
                    <m:t xml:space="preserve">E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green"/>
                      <w:u w:val="none"/>
                      <w:vertAlign w:val="baseline"/>
                    </w:rPr>
                    <m:t xml:space="preserve">i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green"/>
                      <w:u w:val="none"/>
                      <w:vertAlign w:val="baseline"/>
                    </w:rPr>
                    <m:t xml:space="preserve">p1</m:t>
                  </m:r>
                </m:sup>
              </m:sSub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3"/>
                  <w:szCs w:val="23"/>
                  <w:highlight w:val="green"/>
                  <w:u w:val="none"/>
                  <w:vertAlign w:val="baseline"/>
                </w:rPr>
                <m:t xml:space="preserve">+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green"/>
                      <w:u w:val="none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green"/>
                      <w:u w:val="none"/>
                      <w:vertAlign w:val="baseline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green"/>
                      <w:u w:val="none"/>
                      <w:vertAlign w:val="baseline"/>
                    </w:rPr>
                    <m:t xml:space="preserve">i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green"/>
                      <w:u w:val="none"/>
                      <w:vertAlign w:val="baseline"/>
                    </w:rPr>
                    <m:t xml:space="preserve">p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(4)</w:t>
            </w:r>
          </w:p>
        </w:tc>
      </w:tr>
      <w:tr>
        <w:trPr>
          <w:cantSplit w:val="0"/>
          <w:trHeight w:val="31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0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3"/>
                  <w:szCs w:val="23"/>
                  <w:u w:val="none"/>
                  <w:shd w:fill="auto" w:val="clear"/>
                  <w:vertAlign w:val="baseline"/>
                </w:rPr>
                <m:t xml:space="preserve">SO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  <m:t xml:space="preserve">i+1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  <m:t xml:space="preserve">1</m:t>
                  </m:r>
                </m:sup>
              </m:sSub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3"/>
                  <w:szCs w:val="23"/>
                  <w:u w:val="none"/>
                  <w:shd w:fill="auto" w:val="clear"/>
                  <w:vertAlign w:val="baseline"/>
                </w:rPr>
                <m:t xml:space="preserve">=SO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  <m:t xml:space="preserve">i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  <m:t xml:space="preserve">1</m:t>
                  </m:r>
                </m:sup>
              </m:sSub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3"/>
                  <w:szCs w:val="23"/>
                  <w:u w:val="none"/>
                  <w:shd w:fill="auto" w:val="clear"/>
                  <w:vertAlign w:val="baseline"/>
                </w:rPr>
                <m:t xml:space="preserve">+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  <m:t xml:space="preserve">S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  <m:t xml:space="preserve">i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  <m:t xml:space="preserve">1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(5)</w:t>
            </w:r>
          </w:p>
        </w:tc>
      </w:tr>
      <w:tr>
        <w:trPr>
          <w:cantSplit w:val="0"/>
          <w:trHeight w:val="33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2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highlight w:val="cyan"/>
                <w:u w:val="none"/>
                <w:vertAlign w:val="baseline"/>
              </w:rPr>
            </w:pPr>
            <m:oMath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cyan"/>
                      <w:u w:val="none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cyan"/>
                      <w:u w:val="none"/>
                      <w:vertAlign w:val="baseline"/>
                    </w:rPr>
                    <m:t xml:space="preserve">S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cyan"/>
                      <w:u w:val="none"/>
                      <w:vertAlign w:val="baseline"/>
                    </w:rPr>
                    <m:t xml:space="preserve">i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cyan"/>
                      <w:u w:val="none"/>
                      <w:vertAlign w:val="baseline"/>
                    </w:rPr>
                    <m:t xml:space="preserve">p1</m:t>
                  </m:r>
                </m:sup>
              </m:sSub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3"/>
                  <w:szCs w:val="23"/>
                  <w:highlight w:val="cyan"/>
                  <w:u w:val="none"/>
                  <w:vertAlign w:val="baseline"/>
                </w:rPr>
                <m:t xml:space="preserve">-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cyan"/>
                      <w:u w:val="none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cyan"/>
                      <w:u w:val="none"/>
                      <w:vertAlign w:val="baseline"/>
                    </w:rPr>
                    <m:t xml:space="preserve">S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cyan"/>
                      <w:u w:val="none"/>
                      <w:vertAlign w:val="baseline"/>
                    </w:rPr>
                    <m:t xml:space="preserve">i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cyan"/>
                      <w:u w:val="none"/>
                      <w:vertAlign w:val="baseline"/>
                    </w:rPr>
                    <m:t xml:space="preserve">m1</m:t>
                  </m:r>
                </m:sup>
              </m:sSub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3"/>
                  <w:szCs w:val="23"/>
                  <w:highlight w:val="cyan"/>
                  <w:u w:val="none"/>
                  <w:vertAlign w:val="baseline"/>
                </w:rPr>
                <m:t xml:space="preserve">=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cyan"/>
                      <w:u w:val="none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cyan"/>
                      <w:u w:val="none"/>
                      <w:vertAlign w:val="baseline"/>
                    </w:rPr>
                    <m:t xml:space="preserve">S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cyan"/>
                      <w:u w:val="none"/>
                      <w:vertAlign w:val="baseline"/>
                    </w:rPr>
                    <m:t xml:space="preserve">i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cyan"/>
                      <w:u w:val="none"/>
                      <w:vertAlign w:val="baseline"/>
                    </w:rPr>
                    <m:t xml:space="preserve">1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  <w:rtl w:val="0"/>
              </w:rPr>
              <w:t xml:space="preserve">(6)</w:t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3"/>
                  <w:szCs w:val="23"/>
                  <w:u w:val="none"/>
                  <w:shd w:fill="auto" w:val="clear"/>
                  <w:vertAlign w:val="baseline"/>
                </w:rPr>
                <m:t xml:space="preserve">SO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  <m:t xml:space="preserve">i+1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  <m:t xml:space="preserve">s1</m:t>
                  </m:r>
                </m:sup>
              </m:sSub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3"/>
                  <w:szCs w:val="23"/>
                  <w:u w:val="none"/>
                  <w:shd w:fill="auto" w:val="clear"/>
                  <w:vertAlign w:val="baseline"/>
                </w:rPr>
                <m:t xml:space="preserve">=SO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  <m:t xml:space="preserve">i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  <m:t xml:space="preserve">s1</m:t>
                  </m:r>
                </m:sup>
              </m:sSub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3"/>
                  <w:szCs w:val="23"/>
                  <w:u w:val="none"/>
                  <w:shd w:fill="auto" w:val="clear"/>
                  <w:vertAlign w:val="baseline"/>
                </w:rPr>
                <m:t xml:space="preserve">+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  <m:t xml:space="preserve">E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  <m:t xml:space="preserve">i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  <m:t xml:space="preserve">1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(7)</w:t>
            </w:r>
          </w:p>
        </w:tc>
      </w:tr>
      <w:tr>
        <w:trPr>
          <w:cantSplit w:val="0"/>
          <w:trHeight w:val="33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6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highlight w:val="cyan"/>
                <w:u w:val="none"/>
                <w:vertAlign w:val="baseline"/>
              </w:rPr>
            </w:pPr>
            <m:oMath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cyan"/>
                      <w:u w:val="none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cyan"/>
                      <w:u w:val="none"/>
                      <w:vertAlign w:val="baseline"/>
                    </w:rPr>
                    <m:t xml:space="preserve">E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cyan"/>
                      <w:u w:val="none"/>
                      <w:vertAlign w:val="baseline"/>
                    </w:rPr>
                    <m:t xml:space="preserve">i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cyan"/>
                      <w:u w:val="none"/>
                      <w:vertAlign w:val="baseline"/>
                    </w:rPr>
                    <m:t xml:space="preserve">p1</m:t>
                  </m:r>
                </m:sup>
              </m:sSub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3"/>
                  <w:szCs w:val="23"/>
                  <w:highlight w:val="cyan"/>
                  <w:u w:val="none"/>
                  <w:vertAlign w:val="baseline"/>
                </w:rPr>
                <m:t xml:space="preserve">-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cyan"/>
                      <w:u w:val="none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cyan"/>
                      <w:u w:val="none"/>
                      <w:vertAlign w:val="baseline"/>
                    </w:rPr>
                    <m:t xml:space="preserve">E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cyan"/>
                      <w:u w:val="none"/>
                      <w:vertAlign w:val="baseline"/>
                    </w:rPr>
                    <m:t xml:space="preserve">i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cyan"/>
                      <w:u w:val="none"/>
                      <w:vertAlign w:val="baseline"/>
                    </w:rPr>
                    <m:t xml:space="preserve">m1</m:t>
                  </m:r>
                </m:sup>
              </m:sSub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3"/>
                  <w:szCs w:val="23"/>
                  <w:highlight w:val="cyan"/>
                  <w:u w:val="none"/>
                  <w:vertAlign w:val="baseline"/>
                </w:rPr>
                <m:t xml:space="preserve">=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cyan"/>
                      <w:u w:val="none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cyan"/>
                      <w:u w:val="none"/>
                      <w:vertAlign w:val="baseline"/>
                    </w:rPr>
                    <m:t xml:space="preserve">E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cyan"/>
                      <w:u w:val="none"/>
                      <w:vertAlign w:val="baseline"/>
                    </w:rPr>
                    <m:t xml:space="preserve">i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cyan"/>
                      <w:u w:val="none"/>
                      <w:vertAlign w:val="baseline"/>
                    </w:rPr>
                    <m:t xml:space="preserve">1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  <w:rtl w:val="0"/>
              </w:rPr>
              <w:t xml:space="preserve">(8)</w:t>
            </w:r>
          </w:p>
        </w:tc>
      </w:tr>
      <w:tr>
        <w:trPr>
          <w:cantSplit w:val="0"/>
          <w:trHeight w:val="33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8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m:oMath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E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i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p1</m:t>
                  </m:r>
                </m:sup>
              </m:sSub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  <m:t xml:space="preserve">≤Ove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r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i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p</m:t>
                  </m:r>
                </m:sup>
              </m:sSub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  <m:t xml:space="preserve">*Percentag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e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ps1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(9)</w:t>
            </w:r>
          </w:p>
        </w:tc>
      </w:tr>
      <w:tr>
        <w:trPr>
          <w:cantSplit w:val="0"/>
          <w:trHeight w:val="33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A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m:oMath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E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i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m1</m:t>
                  </m:r>
                </m:sup>
              </m:sSub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  <m:t xml:space="preserve">≤Unde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r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i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p</m:t>
                  </m:r>
                </m:sup>
              </m:sSub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  <m:t xml:space="preserve">*Percentag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e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ms1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(10)</w:t>
            </w:r>
          </w:p>
        </w:tc>
      </w:tr>
      <w:tr>
        <w:trPr>
          <w:cantSplit w:val="0"/>
          <w:trHeight w:val="29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E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3"/>
                  <w:szCs w:val="23"/>
                  <w:u w:val="none"/>
                  <w:shd w:fill="auto" w:val="clear"/>
                  <w:vertAlign w:val="baseline"/>
                </w:rPr>
                <m:t xml:space="preserve">SO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  <m:t xml:space="preserve">0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  <m:t xml:space="preserve">1</m:t>
                  </m:r>
                </m:sup>
              </m:sSub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3"/>
                  <w:szCs w:val="23"/>
                  <w:u w:val="none"/>
                  <w:shd w:fill="auto" w:val="clear"/>
                  <w:vertAlign w:val="baseline"/>
                </w:rPr>
                <m:t xml:space="preserve">=SOC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  <m:t xml:space="preserve">0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  <m:t xml:space="preserve">1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(11)</w:t>
            </w:r>
          </w:p>
        </w:tc>
      </w:tr>
      <w:tr>
        <w:trPr>
          <w:cantSplit w:val="0"/>
          <w:trHeight w:val="30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20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m:oMath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E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min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1</m:t>
                  </m:r>
                </m:sup>
              </m:sSub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  <m:t>≤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S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1</m:t>
                  </m:r>
                </m:sup>
              </m:s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  <m:t>≤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E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max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1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(12)</w:t>
            </w:r>
          </w:p>
        </w:tc>
      </w:tr>
      <w:tr>
        <w:trPr>
          <w:cantSplit w:val="0"/>
          <w:trHeight w:val="30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22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  <m:t xml:space="preserve">CapTo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t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min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1</m:t>
                  </m:r>
                </m:sup>
              </m:sSub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  <m:t xml:space="preserve">≤SO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C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1</m:t>
                  </m:r>
                </m:sup>
              </m:s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  <m:t xml:space="preserve">≤CapTo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t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max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1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(13)</w:t>
            </w:r>
          </w:p>
        </w:tc>
      </w:tr>
      <w:tr>
        <w:trPr>
          <w:cantSplit w:val="0"/>
          <w:trHeight w:val="31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24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3"/>
                  <w:szCs w:val="23"/>
                  <w:u w:val="none"/>
                  <w:shd w:fill="auto" w:val="clear"/>
                  <w:vertAlign w:val="baseline"/>
                </w:rPr>
                <m:t xml:space="preserve">SO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  <m:t xml:space="preserve">C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  <m:t xml:space="preserve">0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  <m:t xml:space="preserve">s1</m:t>
                  </m:r>
                </m:sup>
              </m:sSub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3"/>
                  <w:szCs w:val="23"/>
                  <w:u w:val="none"/>
                  <w:shd w:fill="auto" w:val="clear"/>
                  <w:vertAlign w:val="baseline"/>
                </w:rPr>
                <m:t xml:space="preserve">=SOC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  <m:t xml:space="preserve">0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u w:val="none"/>
                      <w:shd w:fill="auto" w:val="clear"/>
                      <w:vertAlign w:val="baseline"/>
                    </w:rPr>
                    <m:t xml:space="preserve">s1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(14)</w:t>
            </w:r>
          </w:p>
        </w:tc>
      </w:tr>
      <w:tr>
        <w:trPr>
          <w:cantSplit w:val="0"/>
          <w:trHeight w:val="30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26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m:oMath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E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min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s1</m:t>
                  </m:r>
                </m:sup>
              </m:sSub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  <m:t>≤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E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1</m:t>
                  </m:r>
                </m:sup>
              </m:s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  <m:t>≤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E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max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s1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(15)</w:t>
            </w:r>
          </w:p>
        </w:tc>
      </w:tr>
      <w:tr>
        <w:trPr>
          <w:cantSplit w:val="0"/>
          <w:trHeight w:val="30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28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  <m:t xml:space="preserve">CapTo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t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min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s1</m:t>
                  </m:r>
                </m:sup>
              </m:sSub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  <m:t xml:space="preserve">≤SO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C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s1</m:t>
                  </m:r>
                </m:sup>
              </m:s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  <m:t xml:space="preserve">≤CapTo</m:t>
              </m:r>
              <m:sSubSup>
                <m:sSub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m:ctrlPr>
                </m:sSub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t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max</m:t>
                  </m:r>
                </m:sub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  <m:t xml:space="preserve">s1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(16)</w:t>
            </w:r>
          </w:p>
        </w:tc>
      </w:tr>
      <w:tr>
        <w:trPr>
          <w:cantSplit w:val="0"/>
          <w:trHeight w:val="29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2A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highlight w:val="green"/>
                <w:u w:val="none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3"/>
                  <w:szCs w:val="23"/>
                  <w:highlight w:val="green"/>
                  <w:u w:val="none"/>
                  <w:vertAlign w:val="baseline"/>
                </w:rPr>
                <m:t xml:space="preserve">0≤Percentag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green"/>
                      <w:u w:val="none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green"/>
                      <w:u w:val="none"/>
                      <w:vertAlign w:val="baseline"/>
                    </w:rPr>
                    <m:t xml:space="preserve">e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green"/>
                      <w:u w:val="none"/>
                      <w:vertAlign w:val="baseline"/>
                    </w:rPr>
                    <m:t xml:space="preserve">ps1</m:t>
                  </m:r>
                </m:sup>
              </m:s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3"/>
                  <w:szCs w:val="23"/>
                  <w:highlight w:val="green"/>
                  <w:u w:val="none"/>
                  <w:vertAlign w:val="baseline"/>
                </w:rPr>
                <m:t xml:space="preserve">≤1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(17)</w:t>
            </w:r>
          </w:p>
        </w:tc>
      </w:tr>
      <w:tr>
        <w:trPr>
          <w:cantSplit w:val="0"/>
          <w:trHeight w:val="29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2C">
            <w:pPr>
              <w:jc w:val="center"/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highlight w:val="green"/>
                <w:u w:val="none"/>
                <w:vertAlign w:val="baseline"/>
              </w:rPr>
            </w:pPr>
            <m:oMath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3"/>
                  <w:szCs w:val="23"/>
                  <w:highlight w:val="green"/>
                  <w:u w:val="none"/>
                  <w:vertAlign w:val="baseline"/>
                </w:rPr>
                <m:t xml:space="preserve">0≤Percentag</m:t>
              </m:r>
              <m:sSup>
                <m:sSupPr>
                  <m:ctrlP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green"/>
                      <w:u w:val="none"/>
                      <w:vertAlign w:val="baseline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green"/>
                      <w:u w:val="none"/>
                      <w:vertAlign w:val="baseline"/>
                    </w:rPr>
                    <m:t xml:space="preserve">e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b w:val="0"/>
                      <w:i w:val="0"/>
                      <w:smallCaps w:val="0"/>
                      <w:strike w:val="0"/>
                      <w:color w:val="000000"/>
                      <w:sz w:val="23"/>
                      <w:szCs w:val="23"/>
                      <w:highlight w:val="green"/>
                      <w:u w:val="none"/>
                      <w:vertAlign w:val="baseline"/>
                    </w:rPr>
                    <m:t xml:space="preserve">ms1</m:t>
                  </m:r>
                </m:sup>
              </m:sSup>
              <m:r>
                <w:rPr>
                  <w:rFonts w:ascii="Cambria Math" w:cs="Cambria Math" w:eastAsia="Cambria Math" w:hAnsi="Cambria Math"/>
                  <w:b w:val="0"/>
                  <w:i w:val="0"/>
                  <w:smallCaps w:val="0"/>
                  <w:strike w:val="0"/>
                  <w:color w:val="000000"/>
                  <w:sz w:val="23"/>
                  <w:szCs w:val="23"/>
                  <w:highlight w:val="green"/>
                  <w:u w:val="none"/>
                  <w:vertAlign w:val="baseline"/>
                </w:rPr>
                <m:t xml:space="preserve">≤1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(18)</w:t>
            </w:r>
          </w:p>
        </w:tc>
      </w:tr>
    </w:tbl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VARIABILI DI DECISIONE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(tutte le quantità sono espresse in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kWh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6"/>
            <w:szCs w:val="26"/>
            <w:u w:val="none"/>
            <w:shd w:fill="auto" w:val="clear"/>
            <w:vertAlign w:val="baseline"/>
          </w:rPr>
          <m:t xml:space="preserve">SO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i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1</m:t>
            </m:r>
          </m:sup>
        </m:sSub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stato di carica (in kWh) aggregato del sistema di accumulo 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litio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(Stage of Charge)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  <m:t xml:space="preserve">i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  <m:t xml:space="preserve">p1</m:t>
            </m:r>
          </m:sup>
        </m:sSub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energia oraria in eccesso da conservare nell’accumulo giornaliero/breve periodo 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litio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  <m:t xml:space="preserve">i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  <m:t xml:space="preserve">m1</m:t>
            </m:r>
          </m:sup>
        </m:sSub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energia oraria in difetto da prelevare dall’accumulo giornaliero/breve periodo 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litio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</m:t>
            </m:r>
          </m:sup>
        </m:sSub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energia oraria prelevata/accumulata nello storage giornaliero/breve periodo 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litio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6"/>
            <w:szCs w:val="26"/>
            <w:u w:val="none"/>
            <w:shd w:fill="auto" w:val="clear"/>
            <w:vertAlign w:val="baseline"/>
          </w:rPr>
          <m:t xml:space="preserve">SO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i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s1</m:t>
            </m:r>
          </m:sup>
        </m:sSub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stato di carica (in kWh) aggregato del sistema di accumulo STAGIONALE 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idrogeno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  <m:t xml:space="preserve">i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  <m:t xml:space="preserve">p1</m:t>
            </m:r>
          </m:sup>
        </m:sSub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energia oraria in eccesso da conservare nell’accumulo STAGIONALE 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idrogeno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  <m:t xml:space="preserve">i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  <m:t xml:space="preserve">m1</m:t>
            </m:r>
          </m:sup>
        </m:sSub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energia oraria in difetto da prelevare dall’accumulo STAGIONALE 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idrogeno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</m:t>
            </m:r>
          </m:sup>
        </m:sSub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energia oraria prelevata/accumulata nello storage STAGIONALE 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idrogeno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p</m:t>
            </m:r>
          </m:sup>
        </m:sSub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quantità di energia residua da acquistare sul mercato esterno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  <m:t xml:space="preserve">i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  <m:t xml:space="preserve">m</m:t>
            </m:r>
          </m:sup>
        </m:sSub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quantità di energia residua da vendere sul mercato esterno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ALTRE VARIABILI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i</m:t>
            </m:r>
          </m:sub>
        </m:sSub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profilo aggregato di produzione ( di tutte le tipologie di fonti)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sub>
        </m:sSub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profilo aggregato di carico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5"/>
            <w:szCs w:val="25"/>
            <w:u w:val="none"/>
            <w:shd w:fill="auto" w:val="clear"/>
            <w:vertAlign w:val="baseline"/>
          </w:rPr>
          <m:t xml:space="preserve">PU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N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i</m:t>
            </m:r>
          </m:sub>
        </m:sSub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prezzo netto di acquisto dell’energia dal mercato esterno (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comprensivo di costi accessori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5"/>
            <w:szCs w:val="25"/>
            <w:u w:val="none"/>
            <w:shd w:fill="auto" w:val="clear"/>
            <w:vertAlign w:val="baseline"/>
          </w:rPr>
          <m:t xml:space="preserve">P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Z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i</m:t>
            </m:r>
          </m:sub>
        </m:sSub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prezzo di vendita dell’energia sul mercato esterno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6"/>
            <w:szCs w:val="26"/>
            <w:u w:val="none"/>
            <w:shd w:fill="auto" w:val="clear"/>
            <w:vertAlign w:val="baseline"/>
          </w:rPr>
          <m:t xml:space="preserve">PAP</m:t>
        </m:r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prezzo di acquisto previsto nel mercato interno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5"/>
            <w:szCs w:val="25"/>
            <w:u w:val="none"/>
            <w:shd w:fill="auto" w:val="clear"/>
            <w:vertAlign w:val="baseline"/>
          </w:rPr>
          <m:t xml:space="preserve">PVP</m:t>
        </m:r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prezzo di vendita previsto nel mercato interno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5"/>
            <w:szCs w:val="25"/>
            <w:u w:val="none"/>
            <w:shd w:fill="auto" w:val="clear"/>
            <w:vertAlign w:val="baseline"/>
          </w:rPr>
          <m:t xml:space="preserve">POF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i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p</m:t>
            </m:r>
          </m:sup>
        </m:sSub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prezzo offerto per la capacità regolante all’ora i (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diminuisce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l’energia assorbita dalla rete)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5"/>
            <w:szCs w:val="25"/>
            <w:u w:val="none"/>
            <w:shd w:fill="auto" w:val="clear"/>
            <w:vertAlign w:val="baseline"/>
          </w:rPr>
          <m:t xml:space="preserve">POF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i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m</m:t>
            </m:r>
          </m:sup>
        </m:sSub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prezzo offerto per la capacità regolante all’ora i (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aumenta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l’energia assorbita dalla rete)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6"/>
            <w:szCs w:val="26"/>
            <w:u w:val="none"/>
            <w:shd w:fill="auto" w:val="clear"/>
            <w:vertAlign w:val="baseline"/>
          </w:rPr>
          <m:t xml:space="preserve">CRE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i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p</m:t>
            </m:r>
          </m:sup>
        </m:sSub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offerta di capacità regolante all’ora i, “servizio a salire” (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diminuisce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l’energia assorbita dalla rete)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6"/>
            <w:szCs w:val="26"/>
            <w:u w:val="none"/>
            <w:shd w:fill="auto" w:val="clear"/>
            <w:vertAlign w:val="baseline"/>
          </w:rPr>
          <m:t xml:space="preserve">CRE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i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m</m:t>
            </m:r>
          </m:sup>
        </m:sSub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offerta di capacità regolante all’ora i, "servizio a scendere” (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aumenta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l’energia assorbita dalla rete)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5"/>
            <w:szCs w:val="25"/>
            <w:u w:val="none"/>
            <w:shd w:fill="auto" w:val="clear"/>
            <w:vertAlign w:val="baseline"/>
          </w:rPr>
          <m:t xml:space="preserve">cos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charge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1</m:t>
            </m:r>
          </m:sup>
        </m:sSub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funzione di costo relativa alla carica della tecnologia 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litio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5"/>
            <w:szCs w:val="25"/>
            <w:u w:val="none"/>
            <w:shd w:fill="auto" w:val="clear"/>
            <w:vertAlign w:val="baseline"/>
          </w:rPr>
          <m:t xml:space="preserve">cos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discharge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1</m:t>
            </m:r>
          </m:sup>
        </m:sSub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funzione di costo relativa alla scarica della tecnologia 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litio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6"/>
            <w:szCs w:val="26"/>
            <w:u w:val="none"/>
            <w:shd w:fill="auto" w:val="clear"/>
            <w:vertAlign w:val="baseline"/>
          </w:rPr>
          <m:t xml:space="preserve">SOC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0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1</m:t>
            </m:r>
          </m:sup>
        </m:s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indica lo stato di carica iniziale medio della tipologia di sistema di accumulo 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litio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6"/>
            <w:szCs w:val="26"/>
            <w:u w:val="none"/>
            <w:shd w:fill="auto" w:val="clear"/>
            <w:vertAlign w:val="baseline"/>
          </w:rPr>
          <m:t xml:space="preserve">SOC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0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s1</m:t>
            </m:r>
          </m:sup>
        </m:s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indica lo stato di carica iniziale medio della tipologia di sistema di accumulo STAGIONALE 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idrogeno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5"/>
            <w:szCs w:val="25"/>
            <w:u w:val="none"/>
            <w:shd w:fill="auto" w:val="clear"/>
            <w:vertAlign w:val="baseline"/>
          </w:rPr>
          <m:t xml:space="preserve">CapTo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max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1</m:t>
            </m:r>
          </m:sup>
        </m:sSub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indica la Capacità Massima aggregata per l’accumulo di tipo 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litio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5"/>
            <w:szCs w:val="25"/>
            <w:u w:val="none"/>
            <w:shd w:fill="auto" w:val="clear"/>
            <w:vertAlign w:val="baseline"/>
          </w:rPr>
          <m:t xml:space="preserve">CapTo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max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s1</m:t>
            </m:r>
          </m:sup>
        </m:sSub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indica la Capacità Massima aggregata per l’accumulo STAGIONALE 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idrogeno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max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1</m:t>
            </m:r>
          </m:sup>
        </m:sSub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indica l’energia massima aggregata che si può scambiare in immissione o prelievo per la tipologia di accumulo 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litio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max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s1</m:t>
            </m:r>
          </m:sup>
        </m:sSub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indica l’energia massima aggregata che si può scambiare in immissione o prelievo per la tipologia di accumulo STAGIONALE 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idrogeno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6"/>
            <w:szCs w:val="26"/>
            <w:u w:val="none"/>
            <w:shd w:fill="auto" w:val="clear"/>
            <w:vertAlign w:val="baseline"/>
          </w:rPr>
          <m:t xml:space="preserve">Ove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p</m:t>
            </m:r>
          </m:sup>
        </m:s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indica l’eccesso di energia prodotta (quindi dopo aver soddisfatto il carico) che dovrà essere immessa negli storage o in rete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6"/>
            <w:szCs w:val="26"/>
            <w:u w:val="none"/>
            <w:shd w:fill="auto" w:val="clear"/>
            <w:vertAlign w:val="baseline"/>
          </w:rPr>
          <m:t xml:space="preserve">Unde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p</m:t>
            </m:r>
          </m:sup>
        </m:s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indica il difetto di energia che dovrà essere prelevata negli storage o dalla rete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5"/>
            <w:szCs w:val="25"/>
            <w:u w:val="none"/>
            <w:shd w:fill="auto" w:val="clear"/>
            <w:vertAlign w:val="baseline"/>
          </w:rPr>
          <m:t xml:space="preserve">Percentag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ps1</m:t>
            </m:r>
          </m:sup>
        </m:s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la percentuale massima dell’energia in eccesso che dovrà essere immagazzinata nello storage stagionale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5"/>
            <w:szCs w:val="25"/>
            <w:u w:val="none"/>
            <w:shd w:fill="auto" w:val="clear"/>
            <w:vertAlign w:val="baseline"/>
          </w:rPr>
          <m:t xml:space="preserve">Percentag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ms1</m:t>
            </m:r>
          </m:sup>
        </m:s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la percentuale massima dell’energia in eccesso che dovrà essere prelevata dallo storage stagionale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SPIEGAZIONE VINCOLI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Per convenzione considereremo positiva l’energia in eccesso accumulata nello storage e negativa quella prelevata dallo storage. Considereremo inoltre positiva l’energia acquistata dal mercato esterno e negativa quella venduta nel mercato esterno.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** In questo modello si sono prese in considerazioni 1 tecnologia di accumulo giornaliero e 1 di accumulo stagionale.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(1) Nella determinazione della quantità di energia residua da acquistare/vendere sul mercato esterno prendono parte diverse componenti: la domanda netta, data dalla differenza tra il profilo aggregato di carico e quello di produzione, la capacità regolante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6"/>
            <w:szCs w:val="26"/>
            <w:u w:val="none"/>
            <w:shd w:fill="auto" w:val="clear"/>
            <w:vertAlign w:val="baseline"/>
          </w:rPr>
          <m:t xml:space="preserve">CRE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G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m</m:t>
            </m:r>
          </m:sup>
        </m:s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che prevede un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aumento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dell’energia assorbita dalla rete, la capacità regolante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6"/>
            <w:szCs w:val="26"/>
            <w:u w:val="none"/>
            <w:shd w:fill="auto" w:val="clear"/>
            <w:vertAlign w:val="baseline"/>
          </w:rPr>
          <m:t xml:space="preserve">CRE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G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p</m:t>
            </m:r>
          </m:sup>
        </m:s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che prevede una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diminuzione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dell’energia assorbita dalla rete, e le energie orarie prelevate/accumulate negli storage giornalieri e stagionali.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(2) La quantità di energia residua da acquistare sul mercato esterno deve essere al più pari al profilo aggregato di carico.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(3) La quantità di energia residua da vendere sul mercato esterno può essere minore o uguale al profilo aggregato di produzione (di tutte le tipologie di fonti). Anche questo vincolo punta a incentivare l’autoconsumo.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(4) La quantità di energia necessaria a soddisfare l’offerta di “servizio a scendere” viene accumulata negli storage e, qualora non fosse sufficiente, viene aggiunta una quantità prelevata dalla rete.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(5) Lo stato di carica (in kWh) aggregato del sistema di accumulo giornaliero della tecnologia 1 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litio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nell’ora i successiva dipende dallo stato di carica attuale al quale va sommata/sottratta la quantità di energia accumulata/prelevata dalla tecnologia di breve periodo considerata. Va da se quindi che se l’energia prelevata dall’accumulo (</w:t>
      </w:r>
      <m:oMath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  <m:t xml:space="preserve">i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  <m:t xml:space="preserve">m1</m:t>
            </m:r>
          </m:sup>
        </m:sSub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è maggiore di quella immessa nell’accumulo stesso (</w:t>
      </w:r>
      <m:oMath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  <m:t xml:space="preserve">i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  <m:t xml:space="preserve">p1</m:t>
            </m:r>
          </m:sup>
        </m:sSub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lo stato di carica nell’ora successiva sarà inferiore rispetto all’ora corrente e viceversa.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(6) L’energia oraria prelevata/accumulata nello storage giornaliero/breve periodo 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litio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è pari alla differenza tra l’energia oraria in eccesso da conservare nell’accumulo e l’energia oraria in difetto da prelevare dall’accumulo.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(7) Questo vincolo è speculare al (4) ma relativo all’accumulo stagionale 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idrogeno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(8) L’energia oraria prelevata/accumulata nello storage stagionale 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idrogeno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è pari alla differenza tra l’energia oraria in eccesso da conservare nell’accumulo e l’energia oraria in difetto da prelevare dall’accumulo.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(9) L’energia prodotta in eccesso (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6"/>
            <w:szCs w:val="26"/>
            <w:u w:val="none"/>
            <w:shd w:fill="auto" w:val="clear"/>
            <w:vertAlign w:val="baseline"/>
          </w:rPr>
          <m:t xml:space="preserve">Ove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p</m:t>
            </m:r>
          </m:sup>
        </m:s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sarà immagazzinata, se possibile, in parte negli accumuli giornalieri e in parte in quelli stagionali. La percentuale che sarà immagazzinata negli stagionali è un parametro (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5"/>
            <w:szCs w:val="25"/>
            <w:u w:val="none"/>
            <w:shd w:fill="auto" w:val="clear"/>
            <w:vertAlign w:val="baseline"/>
          </w:rPr>
          <m:t xml:space="preserve">Percentag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ps1</m:t>
            </m:r>
          </m:sup>
        </m:s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che rappresenta un input per il modello. Nei periodi in cui non si accumulerà energia negli accumuli stagionali questa percentuale sarà pari a 0. Questo vincolo impone proprio che l’energia oraria in eccesso da conservare nell’accumulo STAGIONALE sia al più uguale alla suddetta percentuale moltiplicata per il totale dell’energia in eccesso prodotta nell’ora considerata.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(10) Il difetto di energia (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6"/>
            <w:szCs w:val="26"/>
            <w:u w:val="none"/>
            <w:shd w:fill="auto" w:val="clear"/>
            <w:vertAlign w:val="baseline"/>
          </w:rPr>
          <m:t xml:space="preserve">Unde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p</m:t>
            </m:r>
          </m:sup>
        </m:s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dovrà essere prelevato, se possibile, in parte dagli accumuli giornalieri e in parte da quelli stagionali. La percentuale che sarà prelevata dagli stagionali è un parametro (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5"/>
            <w:szCs w:val="25"/>
            <w:u w:val="none"/>
            <w:shd w:fill="auto" w:val="clear"/>
            <w:vertAlign w:val="baseline"/>
          </w:rPr>
          <m:t xml:space="preserve">Percentag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ms1</m:t>
            </m:r>
          </m:sup>
        </m:s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che rappresenta un input per il modello. Nei periodi in cui non si preleverà energia dagli accumuli stagionali questa percentuale sarà pari a 0. Questo vincolo impone proprio che l’energia oraria in difetto da prelevare dall’accumulo STAGIONALE sia al più uguale alla suddetta percentuale moltiplicata per il totale dell’energia in difetto nell’ora considerata.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(11) Lo stato di carica iniziale (in kWh) aggregato del sistema di accumulo 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litio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è posto pari al valore di input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6"/>
            <w:szCs w:val="26"/>
            <w:u w:val="none"/>
            <w:shd w:fill="auto" w:val="clear"/>
            <w:vertAlign w:val="baseline"/>
          </w:rPr>
          <m:t xml:space="preserve">SOC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0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1</m:t>
            </m:r>
          </m:sup>
        </m:s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(12) L’energia oraria prelevata/accumulata nello storage giornaliero 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litio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deve essere compresa tra un valore minimo e un vale massimo (il valore minimo ha segno negativo e si riferisce all’energia prelevata, quello massimo è positivo e si riferisce all’energia immessa: in genere il valore assoluto di questi due valori coincide).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(13) Lo stato di carica (in kWh) aggregato del sistema di accumulo 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litio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deve essere compreso tra una capacità aggregata minima e una capacità aggregata massima.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(14) Questo vincolo è speculare al (15) ma relativo alla tecnologia di accumulo stagionale 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idrogeno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(15) Questo vincolo è speculare al (16) ma relativo alla tecnologia di accumulo stagionale 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idrogeno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(16) Questo vincolo è speculare al (17) ma relativo alla tecnologia di accumulo stagionale 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idrogeno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(17) La percentuale massima dell’energia in eccesso che dovrà essere immagazzinata nello storage stagionale può assumere un valore compreso tra 0 e 1.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(18) La percentuale massima dell’energia in eccesso che dovrà essere prelevata dallo storage stagionale può assumere un valore compreso tra 0 e 1.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SPIEGAZIONE FUNZIONE OBIETTIVO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funzione obiettivo minimizza per tutte le 24 ore il costo totale, che è costituito dalle seguenti componenti: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PU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N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>⋅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p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-P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Z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>⋅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m</m:t>
                </m:r>
              </m:sup>
            </m:sSubSup>
          </m:e>
        </m:d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: questa componente si riferisce al costo relativo all’acquisto e alla vendita di energia sul mercato esterno, in particolare si fa notare che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5"/>
            <w:szCs w:val="25"/>
            <w:u w:val="none"/>
            <w:shd w:fill="auto" w:val="clear"/>
            <w:vertAlign w:val="baseline"/>
          </w:rPr>
          <m:t xml:space="preserve">PU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N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i</m:t>
            </m:r>
          </m:sub>
        </m:sSub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indica il prezzo netto di acquisto dell’energia dal mercato esterno (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comprensivo di costi accessori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5"/>
            <w:szCs w:val="25"/>
            <w:u w:val="none"/>
            <w:shd w:fill="auto" w:val="clear"/>
            <w:vertAlign w:val="baseline"/>
          </w:rPr>
          <m:t xml:space="preserve">PU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N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i</m:t>
            </m:r>
          </m:sub>
        </m:sSub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5"/>
            <w:szCs w:val="25"/>
            <w:u w:val="none"/>
            <w:shd w:fill="auto" w:val="clear"/>
            <w:vertAlign w:val="baseline"/>
          </w:rPr>
          <m:t xml:space="preserve">P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Z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i</m:t>
            </m:r>
          </m:sub>
        </m:sSub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sono degli input del modello.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cos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charge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1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>⋅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p1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+cos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discharge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1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>⋅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m1</m:t>
                </m:r>
              </m:sup>
            </m:sSubSup>
          </m:e>
        </m:d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: questa componente invece è relativa ai costi di carica e scarica degli accumuli giornalieri aggregati. Le funzioni di costo relative alla carica e alla scarica delle diverse tecnologie giornaliere (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5"/>
            <w:szCs w:val="25"/>
            <w:u w:val="none"/>
            <w:shd w:fill="auto" w:val="clear"/>
            <w:vertAlign w:val="baseline"/>
          </w:rPr>
          <m:t xml:space="preserve">cos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charge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1</m:t>
            </m:r>
          </m:sup>
        </m:sSub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5"/>
            <w:szCs w:val="25"/>
            <w:u w:val="none"/>
            <w:shd w:fill="auto" w:val="clear"/>
            <w:vertAlign w:val="baseline"/>
          </w:rPr>
          <m:t xml:space="preserve">cos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discharge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  <m:t xml:space="preserve">1</m:t>
            </m:r>
          </m:sup>
        </m:sSub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rappresentano degli input del modello.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6"/>
            <w:szCs w:val="26"/>
            <w:u w:val="none"/>
            <w:shd w:fill="auto" w:val="clear"/>
            <w:vertAlign w:val="baseline"/>
          </w:rPr>
          <m:t xml:space="preserve">-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PAP⋅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p1</m:t>
                </m:r>
              </m:sup>
            </m:sSubSup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6"/>
            <w:szCs w:val="26"/>
            <w:u w:val="none"/>
            <w:shd w:fill="auto" w:val="clear"/>
            <w:vertAlign w:val="baseline"/>
          </w:rPr>
          <m:t xml:space="preserve">+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PVP⋅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E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m1</m:t>
                </m:r>
              </m:sup>
            </m:sSubSup>
          </m:e>
        </m:d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questa componente è invece relativa agli accumuli stagionali. Nello specifico se si ha eccesso di energia nel lungo periodo (</w:t>
      </w:r>
      <m:oMath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  <m:t xml:space="preserve">i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  <m:t xml:space="preserve">p1</m:t>
            </m:r>
          </m:sup>
        </m:sSub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&gt; 0) allora si può acquistare e accumulare questa energia in aggregazione dagli utenti al prezzo di acquisto PAP previsto nel mercato interno, se invece si ha </w:t>
      </w:r>
      <m:oMath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  <m:t xml:space="preserve">i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  <m:t xml:space="preserve">m1</m:t>
            </m:r>
          </m:sup>
        </m:sSubSup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&gt; 0 allora si prevede di erogare energia che può essere venduta agli utenti in aggregazione al prezzo PVP previsto nel mercato interno. I prezzi PAP e PVP sono input del modello.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6"/>
            <w:szCs w:val="26"/>
            <w:u w:val="none"/>
            <w:shd w:fill="auto" w:val="clear"/>
            <w:vertAlign w:val="baseline"/>
          </w:rPr>
          <m:t xml:space="preserve">-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POF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F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p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⋅CRE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p</m:t>
                </m:r>
              </m:sup>
            </m:sSubSup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6"/>
            <w:szCs w:val="26"/>
            <w:u w:val="none"/>
            <w:shd w:fill="auto" w:val="clear"/>
            <w:vertAlign w:val="baseline"/>
          </w:rPr>
          <m:t xml:space="preserve">-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POF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F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m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  <m:t xml:space="preserve">⋅CRE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6"/>
                    <w:szCs w:val="26"/>
                    <w:u w:val="none"/>
                    <w:shd w:fill="auto" w:val="clear"/>
                    <w:vertAlign w:val="baseline"/>
                  </w:rPr>
                  <m:t xml:space="preserve">m</m:t>
                </m:r>
              </m:sup>
            </m:sSubSup>
          </m:e>
        </m:d>
      </m:oMath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questa parte si riferisce invece ai possibili guadagni derivanti dall’offerta di servizi nel Mercato dei Servizi di Dispacciamento. Tutte le variabili di questa componente costituiscono un input del modello.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SIMULAZIONE NUMERICA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riporta di seguito una simulazione numerica con lo scopo di chiarire gli input e gli output del modello sopra descritto.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152400</wp:posOffset>
                </wp:positionV>
                <wp:extent cx="6120057" cy="5949265"/>
                <wp:effectExtent b="0" l="0" r="0" t="0"/>
                <wp:wrapTopAndBottom distB="152400" distT="152400"/>
                <wp:docPr descr="Raggruppa" id="107374183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85900" y="802575"/>
                          <a:ext cx="6120057" cy="5949265"/>
                          <a:chOff x="2285900" y="802575"/>
                          <a:chExt cx="6120150" cy="5954950"/>
                        </a:xfrm>
                      </wpg:grpSpPr>
                      <wpg:grpSp>
                        <wpg:cNvGrpSpPr/>
                        <wpg:grpSpPr>
                          <a:xfrm>
                            <a:off x="2285972" y="802591"/>
                            <a:ext cx="6120058" cy="5954869"/>
                            <a:chOff x="0" y="0"/>
                            <a:chExt cx="6120057" cy="595486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120050" cy="595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test" id="7" name="Shape 7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6120057" cy="56117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8" name="Shape 8"/>
                          <wps:spPr>
                            <a:xfrm>
                              <a:off x="0" y="5713368"/>
                              <a:ext cx="6120000" cy="241500"/>
                            </a:xfrm>
                            <a:prstGeom prst="roundRect">
                              <a:avLst>
                                <a:gd fmla="val 0" name="adj"/>
                              </a:avLst>
                            </a:prstGeom>
                            <a:solidFill>
                              <a:srgbClr val="000000">
                                <a:alpha val="0"/>
                              </a:srgb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Helvetica Neue" w:cs="Helvetica Neue" w:eastAsia="Helvetica Neue" w:hAnsi="Helvetica Neue"/>
                                    <w:b w:val="1"/>
                                    <w:i w:val="0"/>
                                    <w:smallCaps w:val="1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FIG.1 - Dati di input</w:t>
                                </w:r>
                              </w:p>
                            </w:txbxContent>
                          </wps:txbx>
                          <wps:bodyPr anchorCtr="0" anchor="t" bIns="50800" lIns="50800" spcFirstLastPara="1" rIns="50800" wrap="square" tIns="508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152400</wp:posOffset>
                </wp:positionV>
                <wp:extent cx="6120057" cy="5949265"/>
                <wp:effectExtent b="0" l="0" r="0" t="0"/>
                <wp:wrapTopAndBottom distB="152400" distT="152400"/>
                <wp:docPr descr="Raggruppa" id="1073741835" name="image2.png"/>
                <a:graphic>
                  <a:graphicData uri="http://schemas.openxmlformats.org/drawingml/2006/picture">
                    <pic:pic>
                      <pic:nvPicPr>
                        <pic:cNvPr descr="Raggruppa"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057" cy="59492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INPUT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FIG. 1 sono riportati i dati di input della simulazione numerica. In generale i dati di input previsti per il modello sono: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DATE: la data e l'ora relativa alla previsione;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Q: il profilo aggregato di carico (in kWh);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P: il profilo aggregato di produzione (di tutte le tipologie di fonti) (in kWh);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PUN: prezzo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netto</w:t>
      </w:r>
      <w:sdt>
        <w:sdtPr>
          <w:tag w:val="goog_rdk_0"/>
        </w:sdtPr>
        <w:sdtContent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di acquisto dell’energia dal mercato esterno (in €/kWh);</w:t>
          </w:r>
        </w:sdtContent>
      </w:sdt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sdt>
        <w:sdtPr>
          <w:tag w:val="goog_rdk_1"/>
        </w:sdtPr>
        <w:sdtContent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PZ: prezzo di vendita dell’energia sul mercato esterno (in €/kWh);</w:t>
          </w:r>
        </w:sdtContent>
      </w:sdt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CREG_PLUS: offerta di capacità regolante (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diminuisce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l’energia assorbita dalla rete) (in kWh);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POFF_PLUS: prezzo offerto per la capacità regolante (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diminuisce</w:t>
      </w:r>
      <w:sdt>
        <w:sdtPr>
          <w:tag w:val="goog_rdk_2"/>
        </w:sdtPr>
        <w:sdtContent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l’energia assorbita dalla rete) (in €/kWh);</w:t>
          </w:r>
        </w:sdtContent>
      </w:sdt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CREG_MINUS: offerta di capacità regolante (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aumenta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l’energia assorbita dalla rete) (in kWh);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POFF_MINUS: prezzo offerto per la capacità regolante (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aumenta</w:t>
      </w:r>
      <w:sdt>
        <w:sdtPr>
          <w:tag w:val="goog_rdk_3"/>
        </w:sdtPr>
        <w:sdtContent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l’energia assorbita dalla rete) (in €/kWh).</w:t>
          </w:r>
        </w:sdtContent>
      </w:sdt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fa notare come in questa simulazione sia stata considerata una capacità regolante CREG_MINUS di 1kWh in corrispondenza delle ore 12:00 che quindi prevede un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aumento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dell’energia assorbita dalla rete (che sarà quindi immagazzinata negli storage giornalieri) e una capacità regolante CREG_PLUS di 1kWh in corrispondenza delle ore 22:00 che quindi prevede una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diminuzione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dell’energia assorbita dalla rete (l’energia dovrà essere assorbita dagli storage).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PARAMS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FIG. 2 sono riportati i parametri di input della simulazione numerica. In generale i parametri di configurazione relativi al modello sono: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sdt>
        <w:sdtPr>
          <w:tag w:val="goog_rdk_4"/>
        </w:sdtPr>
        <w:sdtContent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PAP: prezzo di acquisto previsto nel mercato interno (in €/kWh);</w:t>
          </w:r>
        </w:sdtContent>
      </w:sdt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sdt>
        <w:sdtPr>
          <w:tag w:val="goog_rdk_5"/>
        </w:sdtPr>
        <w:sdtContent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PVP: prezzo di vendita previsto nel mercato interno (in €/kWh);</w:t>
          </w:r>
        </w:sdtContent>
      </w:sdt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SOC_LITIO: indica lo stato di carica iniziale medio della tipologia di sistema di accumulo 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litio</w:t>
      </w:r>
      <w:sdt>
        <w:sdtPr>
          <w:tag w:val="goog_rdk_6"/>
        </w:sdtPr>
        <w:sdtContent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) (in €/kWh);</w:t>
          </w:r>
        </w:sdtContent>
      </w:sdt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COST_CHARGE_LITIO: costo relativo alla carica della tecnologia 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litio</w:t>
      </w:r>
      <w:sdt>
        <w:sdtPr>
          <w:tag w:val="goog_rdk_7"/>
        </w:sdtPr>
        <w:sdtContent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) (in €/kWh);</w:t>
          </w:r>
        </w:sdtContent>
      </w:sdt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COST_DISCHARGE_LITIO: costo relativo alla carica della tecnologia 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litio</w:t>
      </w:r>
      <w:sdt>
        <w:sdtPr>
          <w:tag w:val="goog_rdk_8"/>
        </w:sdtPr>
        <w:sdtContent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) (in €/kWh);</w:t>
          </w:r>
        </w:sdtContent>
      </w:sdt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sdt>
        <w:sdtPr>
          <w:tag w:val="goog_rdk_9"/>
        </w:sdtPr>
        <w:sdtContent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E_MIN_LITIO: valore massimo di energia prelevabile dalla tecnologia litio (di segno negativo per la convenzione scelta) (in €/kWh);</w:t>
          </w:r>
        </w:sdtContent>
      </w:sdt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sdt>
        <w:sdtPr>
          <w:tag w:val="goog_rdk_10"/>
        </w:sdtPr>
        <w:sdtContent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E_MAX_LITIO: valore massimo di energia accumulabile per la tecnologia litio (di segno positivo per la convenzione scelta) (in €/kWh);</w:t>
          </w:r>
        </w:sdtContent>
      </w:sdt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CapTotMin_LITIO: indica la capacità minima aggregata per l’accumulo di tipo litio (in questa simulazione è stata considerata pari a 0) (in kWh);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CapTotMax_LITIO: indica la capacità massima aggregata per l’accumulo di tipo litio (in kWh);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SOC_STAGIONALE_IDROGENO: indica lo stato di carica iniziale medio della tipologia di sistema di accumulo stagionale (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idrogeno</w:t>
      </w:r>
      <w:sdt>
        <w:sdtPr>
          <w:tag w:val="goog_rdk_11"/>
        </w:sdtPr>
        <w:sdtContent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) (in €/kWh);</w:t>
          </w:r>
        </w:sdtContent>
      </w:sdt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sdt>
        <w:sdtPr>
          <w:tag w:val="goog_rdk_12"/>
        </w:sdtPr>
        <w:sdtContent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E_MIN_STAGIONALE_IDROGENO: valore massimo di energia prelevabile dalla tecnologia stagionale idrogeno (di segno negativo per la convenzione scelta) (in €/kWh);</w:t>
          </w:r>
        </w:sdtContent>
      </w:sdt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sdt>
        <w:sdtPr>
          <w:tag w:val="goog_rdk_13"/>
        </w:sdtPr>
        <w:sdtContent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E_MAX_STAGIONALE_IDROGENO: valore massimo di energia accumulabile per la tecnologia stagionale idrogeno (di segno positivo per la convenzione scelta) (in €/kWh);</w:t>
          </w:r>
        </w:sdtContent>
      </w:sdt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CapTotMin_STAGIONALE_IDROGENO: indica la capacità minima aggregata per l’accumulo di tipo stagionale idrogeno (in questa simulazione è stata considerata pari a 0) (in kWh);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CapTotMax_STAGIONALE_IDROGENO: indica la capacità massima aggregata per l’accumulo stagionale idrogeno (in kWh);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Percentage_p_SEASONAL: la percentuale massima dell’energia in eccesso che dovrà essere immagazzinata nello storage stagionale (un valore compreso tra 0 e 1);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Percentage_m_SEASONAL: la percentuale minima dell’energia in eccesso che dovrà essere immagazzinata nello storage stagionale (un valore compreso tra 0 e 1);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127001</wp:posOffset>
                </wp:positionH>
                <wp:positionV relativeFrom="paragraph">
                  <wp:posOffset>177800</wp:posOffset>
                </wp:positionV>
                <wp:extent cx="6120057" cy="3548793"/>
                <wp:effectExtent b="0" l="0" r="0" t="0"/>
                <wp:wrapTopAndBottom distB="152400" distT="152400"/>
                <wp:docPr descr="Raggruppa" id="107374183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85900" y="2005600"/>
                          <a:ext cx="6120057" cy="3548793"/>
                          <a:chOff x="2285900" y="2005600"/>
                          <a:chExt cx="6120200" cy="3548850"/>
                        </a:xfrm>
                      </wpg:grpSpPr>
                      <wpg:grpSp>
                        <wpg:cNvGrpSpPr/>
                        <wpg:grpSpPr>
                          <a:xfrm>
                            <a:off x="2285972" y="2005604"/>
                            <a:ext cx="6120058" cy="3548794"/>
                            <a:chOff x="0" y="0"/>
                            <a:chExt cx="6120057" cy="354879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120050" cy="3548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Immagine" id="4" name="Shape 4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6120057" cy="32057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" name="Shape 5"/>
                          <wps:spPr>
                            <a:xfrm>
                              <a:off x="0" y="3307343"/>
                              <a:ext cx="6120057" cy="241450"/>
                            </a:xfrm>
                            <a:prstGeom prst="roundRect">
                              <a:avLst>
                                <a:gd fmla="val 0" name="adj"/>
                              </a:avLst>
                            </a:prstGeom>
                            <a:solidFill>
                              <a:srgbClr val="000000">
                                <a:alpha val="0"/>
                              </a:srgb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Helvetica Neue" w:cs="Helvetica Neue" w:eastAsia="Helvetica Neue" w:hAnsi="Helvetica Neue"/>
                                    <w:b w:val="1"/>
                                    <w:i w:val="0"/>
                                    <w:smallCaps w:val="1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FIG. 2 - PARAMETRI DI INPUT</w:t>
                                </w:r>
                              </w:p>
                            </w:txbxContent>
                          </wps:txbx>
                          <wps:bodyPr anchorCtr="0" anchor="t" bIns="50800" lIns="50800" spcFirstLastPara="1" rIns="50800" wrap="square" tIns="508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127001</wp:posOffset>
                </wp:positionH>
                <wp:positionV relativeFrom="paragraph">
                  <wp:posOffset>177800</wp:posOffset>
                </wp:positionV>
                <wp:extent cx="6120057" cy="3548793"/>
                <wp:effectExtent b="0" l="0" r="0" t="0"/>
                <wp:wrapTopAndBottom distB="152400" distT="152400"/>
                <wp:docPr descr="Raggruppa" id="1073741834" name="image1.png"/>
                <a:graphic>
                  <a:graphicData uri="http://schemas.openxmlformats.org/drawingml/2006/picture">
                    <pic:pic>
                      <pic:nvPicPr>
                        <pic:cNvPr descr="Raggruppa" id="0" name="image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057" cy="35487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OUTPUT</w:t>
      </w:r>
      <w:r w:rsidDel="00000000" w:rsidR="00000000" w:rsidRPr="00000000"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190500</wp:posOffset>
                </wp:positionV>
                <wp:extent cx="6120057" cy="2831904"/>
                <wp:effectExtent b="0" l="0" r="0" t="0"/>
                <wp:wrapTopAndBottom distB="152400" distT="152400"/>
                <wp:docPr descr="Raggruppa" id="107374183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85900" y="2364025"/>
                          <a:ext cx="6120057" cy="2831904"/>
                          <a:chOff x="2285900" y="2364025"/>
                          <a:chExt cx="6120200" cy="2832000"/>
                        </a:xfrm>
                      </wpg:grpSpPr>
                      <wpg:grpSp>
                        <wpg:cNvGrpSpPr/>
                        <wpg:grpSpPr>
                          <a:xfrm>
                            <a:off x="2285972" y="2364048"/>
                            <a:ext cx="6120058" cy="2831905"/>
                            <a:chOff x="0" y="0"/>
                            <a:chExt cx="6120057" cy="283190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120050" cy="2831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Immagine" id="10" name="Shape 10"/>
                            <pic:cNvPicPr preferRelativeResize="0"/>
                          </pic:nvPicPr>
                          <pic:blipFill rotWithShape="1">
                            <a:blip r:embed="rId1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6120057" cy="24888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1" name="Shape 11"/>
                          <wps:spPr>
                            <a:xfrm>
                              <a:off x="0" y="2590455"/>
                              <a:ext cx="6120057" cy="241449"/>
                            </a:xfrm>
                            <a:prstGeom prst="roundRect">
                              <a:avLst>
                                <a:gd fmla="val 0" name="adj"/>
                              </a:avLst>
                            </a:prstGeom>
                            <a:solidFill>
                              <a:srgbClr val="000000">
                                <a:alpha val="0"/>
                              </a:srgb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Helvetica Neue" w:cs="Helvetica Neue" w:eastAsia="Helvetica Neue" w:hAnsi="Helvetica Neue"/>
                                    <w:b w:val="1"/>
                                    <w:i w:val="0"/>
                                    <w:smallCaps w:val="1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FIG. 3 - OUTPUT DEL MODELLO</w:t>
                                </w:r>
                              </w:p>
                            </w:txbxContent>
                          </wps:txbx>
                          <wps:bodyPr anchorCtr="0" anchor="t" bIns="50800" lIns="50800" spcFirstLastPara="1" rIns="50800" wrap="square" tIns="508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190500</wp:posOffset>
                </wp:positionV>
                <wp:extent cx="6120057" cy="2831904"/>
                <wp:effectExtent b="0" l="0" r="0" t="0"/>
                <wp:wrapTopAndBottom distB="152400" distT="152400"/>
                <wp:docPr descr="Raggruppa" id="1073741836" name="image3.png"/>
                <a:graphic>
                  <a:graphicData uri="http://schemas.openxmlformats.org/drawingml/2006/picture">
                    <pic:pic>
                      <pic:nvPicPr>
                        <pic:cNvPr descr="Raggruppa" id="0" name="image3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057" cy="28319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FIG. 3 è riportato l’output per il modello per la simulazione numerica. Gli output del modello (alcuni dei quali sono superflui e riportati solo come verifica del corretto funzionamento) sono: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DATE: la data e l'ora a cui sii riferisce il risultato;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SOC_1: stato di carica aggregato (in kWh) dell’accumulo giornaliero con tecnologia litio;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CHARGING_1: energia aggregata che viene accumulata (o scaricata) negli accumuli con tecnologia litio (in kWh);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SOC_SEASONAL_1: stato di carica aggregato (in kWh) dell’accumulo stagionale;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CHARGING_SEASONAL_1: energia aggregata che viene accumulata (o scaricata) nell’accumulo stagionale (in kWh);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GENERATION: il profilo aggregato di produzione (di tutte le tipologie di fonti) (in kWh), questo dato corrisponde a quello in input (P) ed è riportato per meri motivi di verifica;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LOAD: profilo aggregato di carico (in kWh), anche questo dato corrisponde a quello di input (Q);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OVER_P: il surplus di produzione (in kWh), quindi la quantità di energia che deve essere accumulata negli storage oppure venduta nel mercato esterno;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UNDER_P: il deficit di produzione (in kWh), quindi la quantità di energia da assorbire dagli storage oppure dal mercato esterno;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IMPORTED: la quantità di energia (in kWh) acquistata o venduta sul mercato esterno (quindi assorbita o immessa in rete);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BALANCE: campo di controllo;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PUN: prezzo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netto</w:t>
      </w:r>
      <w:sdt>
        <w:sdtPr>
          <w:tag w:val="goog_rdk_14"/>
        </w:sdtPr>
        <w:sdtContent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di acquisto dell’energia dal mercato esterno (in €/kWh), questo dato corrisponde a quello in input ed è riportato per meri motivi di verifica;</w:t>
          </w:r>
        </w:sdtContent>
      </w:sdt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sdt>
        <w:sdtPr>
          <w:tag w:val="goog_rdk_15"/>
        </w:sdtPr>
        <w:sdtContent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PZ: prezzo di vendita dell’energia sul mercato esterno (in €/kWh), questo dato corrisponde a quello in input ed è riportato per meri motivi di verifica;</w:t>
          </w:r>
        </w:sdtContent>
      </w:sdt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CREG_PLUS: offerta di capacità regolante (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diminuisce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l’energia assorbita dalla rete) (in kWh);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POFF_PLUS: prezzo offerto per la capacità regolante (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diminuisce</w:t>
      </w:r>
      <w:sdt>
        <w:sdtPr>
          <w:tag w:val="goog_rdk_16"/>
        </w:sdtPr>
        <w:sdtContent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l’energia assorbita dalla rete) (in €/kWh), questo dato corrisponde a quello in input ed è riportato per meri motivi di verifica;</w:t>
          </w:r>
        </w:sdtContent>
      </w:sdt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CREG_MINUS: offerta di capacità regolante (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aumenta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l’energia assorbita dalla rete) (in kWh), questo dato corrisponde a quello in input ed è riportato per meri motivi di verifica;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" w:right="0" w:hanging="240"/>
        <w:jc w:val="left"/>
        <w:rPr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POFF_MINUS: prezzo offerto per la capacità regolante (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aumenta</w:t>
      </w:r>
      <w:sdt>
        <w:sdtPr>
          <w:tag w:val="goog_rdk_17"/>
        </w:sdtPr>
        <w:sdtContent>
          <w:r w:rsidDel="00000000" w:rsidR="00000000" w:rsidRPr="00000000">
            <w:rPr>
              <w:rFonts w:ascii="PT Sans" w:cs="PT Sans" w:eastAsia="PT Sans" w:hAnsi="PT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l’energia assorbita dalla rete) (in €/kWh), questo dato corrisponde a quello in input ed è riportato per meri motivi di verifica.</w:t>
          </w:r>
        </w:sdtContent>
      </w:sdt>
    </w:p>
    <w:sectPr>
      <w:headerReference r:id="rId13" w:type="default"/>
      <w:footerReference r:id="rId14" w:type="default"/>
      <w:pgSz w:h="16838" w:w="11906" w:orient="portrait"/>
      <w:pgMar w:bottom="1134" w:top="1134" w:left="1134" w:right="1134" w:header="709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ambria Math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*"/>
      <w:lvlJc w:val="left"/>
      <w:pPr>
        <w:ind w:left="180" w:hanging="18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*"/>
      <w:lvlJc w:val="left"/>
      <w:pPr>
        <w:ind w:left="360" w:hanging="18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*"/>
      <w:lvlJc w:val="left"/>
      <w:pPr>
        <w:ind w:left="540" w:hanging="180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*"/>
      <w:lvlJc w:val="left"/>
      <w:pPr>
        <w:ind w:left="720" w:hanging="18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*"/>
      <w:lvlJc w:val="left"/>
      <w:pPr>
        <w:ind w:left="900" w:hanging="18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*"/>
      <w:lvlJc w:val="left"/>
      <w:pPr>
        <w:ind w:left="1080" w:hanging="180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*"/>
      <w:lvlJc w:val="left"/>
      <w:pPr>
        <w:ind w:left="1260" w:hanging="18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*"/>
      <w:lvlJc w:val="left"/>
      <w:pPr>
        <w:ind w:left="1440" w:hanging="18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*"/>
      <w:lvlJc w:val="left"/>
      <w:pPr>
        <w:ind w:left="1620" w:hanging="180"/>
      </w:pPr>
      <w:rPr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-"/>
      <w:lvlJc w:val="left"/>
      <w:pPr>
        <w:ind w:left="240" w:hanging="240"/>
      </w:pPr>
      <w:rPr>
        <w:smallCaps w:val="0"/>
        <w:strike w:val="0"/>
        <w:sz w:val="26"/>
        <w:szCs w:val="26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480" w:hanging="240"/>
      </w:pPr>
      <w:rPr>
        <w:smallCaps w:val="0"/>
        <w:strike w:val="0"/>
        <w:sz w:val="26"/>
        <w:szCs w:val="26"/>
        <w:shd w:fill="auto" w:val="clear"/>
        <w:vertAlign w:val="baseline"/>
      </w:rPr>
    </w:lvl>
    <w:lvl w:ilvl="2">
      <w:start w:val="1"/>
      <w:numFmt w:val="bullet"/>
      <w:lvlText w:val="-"/>
      <w:lvlJc w:val="left"/>
      <w:pPr>
        <w:ind w:left="720" w:hanging="240"/>
      </w:pPr>
      <w:rPr>
        <w:smallCaps w:val="0"/>
        <w:strike w:val="0"/>
        <w:sz w:val="26"/>
        <w:szCs w:val="26"/>
        <w:shd w:fill="auto" w:val="clear"/>
        <w:vertAlign w:val="baseline"/>
      </w:rPr>
    </w:lvl>
    <w:lvl w:ilvl="3">
      <w:start w:val="1"/>
      <w:numFmt w:val="bullet"/>
      <w:lvlText w:val="-"/>
      <w:lvlJc w:val="left"/>
      <w:pPr>
        <w:ind w:left="960" w:hanging="240"/>
      </w:pPr>
      <w:rPr>
        <w:smallCaps w:val="0"/>
        <w:strike w:val="0"/>
        <w:sz w:val="26"/>
        <w:szCs w:val="26"/>
        <w:shd w:fill="auto" w:val="clear"/>
        <w:vertAlign w:val="baseline"/>
      </w:rPr>
    </w:lvl>
    <w:lvl w:ilvl="4">
      <w:start w:val="1"/>
      <w:numFmt w:val="bullet"/>
      <w:lvlText w:val="-"/>
      <w:lvlJc w:val="left"/>
      <w:pPr>
        <w:ind w:left="1200" w:hanging="240"/>
      </w:pPr>
      <w:rPr>
        <w:smallCaps w:val="0"/>
        <w:strike w:val="0"/>
        <w:sz w:val="26"/>
        <w:szCs w:val="26"/>
        <w:shd w:fill="auto" w:val="clear"/>
        <w:vertAlign w:val="baseline"/>
      </w:rPr>
    </w:lvl>
    <w:lvl w:ilvl="5">
      <w:start w:val="1"/>
      <w:numFmt w:val="bullet"/>
      <w:lvlText w:val="-"/>
      <w:lvlJc w:val="left"/>
      <w:pPr>
        <w:ind w:left="1440" w:hanging="240"/>
      </w:pPr>
      <w:rPr>
        <w:smallCaps w:val="0"/>
        <w:strike w:val="0"/>
        <w:sz w:val="26"/>
        <w:szCs w:val="26"/>
        <w:shd w:fill="auto" w:val="clear"/>
        <w:vertAlign w:val="baseline"/>
      </w:rPr>
    </w:lvl>
    <w:lvl w:ilvl="6">
      <w:start w:val="1"/>
      <w:numFmt w:val="bullet"/>
      <w:lvlText w:val="-"/>
      <w:lvlJc w:val="left"/>
      <w:pPr>
        <w:ind w:left="1680" w:hanging="240"/>
      </w:pPr>
      <w:rPr>
        <w:smallCaps w:val="0"/>
        <w:strike w:val="0"/>
        <w:sz w:val="26"/>
        <w:szCs w:val="26"/>
        <w:shd w:fill="auto" w:val="clear"/>
        <w:vertAlign w:val="baseline"/>
      </w:rPr>
    </w:lvl>
    <w:lvl w:ilvl="7">
      <w:start w:val="1"/>
      <w:numFmt w:val="bullet"/>
      <w:lvlText w:val="-"/>
      <w:lvlJc w:val="left"/>
      <w:pPr>
        <w:ind w:left="1920" w:hanging="240"/>
      </w:pPr>
      <w:rPr>
        <w:smallCaps w:val="0"/>
        <w:strike w:val="0"/>
        <w:sz w:val="26"/>
        <w:szCs w:val="26"/>
        <w:shd w:fill="auto" w:val="clear"/>
        <w:vertAlign w:val="baseline"/>
      </w:rPr>
    </w:lvl>
    <w:lvl w:ilvl="8">
      <w:start w:val="1"/>
      <w:numFmt w:val="bullet"/>
      <w:lvlText w:val="-"/>
      <w:lvlJc w:val="left"/>
      <w:pPr>
        <w:ind w:left="2160" w:hanging="240"/>
      </w:pPr>
      <w:rPr>
        <w:smallCaps w:val="0"/>
        <w:strike w:val="0"/>
        <w:sz w:val="26"/>
        <w:szCs w:val="26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it-IT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e" w:default="1">
    <w:name w:val="Normal"/>
    <w:qFormat w:val="1"/>
    <w:rPr>
      <w:sz w:val="24"/>
      <w:szCs w:val="24"/>
      <w:lang w:eastAsia="en-US" w:val="en-US"/>
    </w:rPr>
  </w:style>
  <w:style w:type="character" w:styleId="Carpredefinitoparagrafo" w:default="1">
    <w:name w:val="Default Paragraph Font"/>
    <w:uiPriority w:val="1"/>
    <w:semiHidden w:val="1"/>
    <w:unhideWhenUsed w:val="1"/>
  </w:style>
  <w:style w:type="table" w:styleId="Tabellanorma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ssunelenco" w:default="1">
    <w:name w:val="No List"/>
    <w:uiPriority w:val="99"/>
    <w:semiHidden w:val="1"/>
    <w:unhideWhenUsed w:val="1"/>
  </w:style>
  <w:style w:type="character" w:styleId="Collegamentoipertestuale">
    <w:name w:val="Hyperlink"/>
    <w:rPr>
      <w:u w:val="single"/>
    </w:rPr>
  </w:style>
  <w:style w:type="table" w:styleId="TableNormal" w:customStyle="1">
    <w:name w:val="Table Normal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Corpo" w:customStyle="1">
    <w:name w:val="Corpo"/>
    <w:rPr>
      <w:rFonts w:ascii="Helvetica Neue" w:cs="Arial Unicode MS" w:hAnsi="Helvetica Neue"/>
      <w:color w:val="000000"/>
      <w:sz w:val="22"/>
      <w:szCs w:val="22"/>
      <w14:textOutline w14:cap="flat" w14:cmpd="sng" w14:algn="ctr">
        <w14:noFill/>
        <w14:prstDash w14:val="solid"/>
        <w14:bevel/>
      </w14:textOutline>
    </w:rPr>
  </w:style>
  <w:style w:type="paragraph" w:styleId="Stiletabella2" w:customStyle="1">
    <w:name w:val="Stile tabella 2"/>
    <w:rPr>
      <w:rFonts w:ascii="Helvetica Neue" w:cs="Helvetica Neue" w:eastAsia="Helvetica Neue" w:hAnsi="Helvetica Neue"/>
      <w:color w:val="000000"/>
      <w14:textOutline w14:cap="flat" w14:cmpd="sng" w14:algn="ctr">
        <w14:noFill/>
        <w14:prstDash w14:val="solid"/>
        <w14:bevel/>
      </w14:textOutline>
    </w:rPr>
  </w:style>
  <w:style w:type="numbering" w:styleId="Puntoelenco1" w:customStyle="1">
    <w:name w:val="Punto elenco1"/>
    <w:pPr>
      <w:numPr>
        <w:numId w:val="1"/>
      </w:numPr>
    </w:pPr>
  </w:style>
  <w:style w:type="paragraph" w:styleId="Didascaliaoggetto" w:customStyle="1">
    <w:name w:val="Didascalia oggetto"/>
    <w:pPr>
      <w:tabs>
        <w:tab w:val="left" w:pos="1150"/>
      </w:tabs>
    </w:pPr>
    <w:rPr>
      <w:rFonts w:ascii="Helvetica Neue" w:cs="Arial Unicode MS" w:hAnsi="Helvetica Neue"/>
      <w:b w:val="1"/>
      <w:bCs w:val="1"/>
      <w:caps w:val="1"/>
      <w:color w:val="000000"/>
      <w14:textOutline w14:cap="flat" w14:cmpd="sng" w14:algn="ctr">
        <w14:noFill/>
        <w14:prstDash w14:val="solid"/>
        <w14:bevel/>
      </w14:textOutline>
    </w:rPr>
  </w:style>
  <w:style w:type="numbering" w:styleId="Trattino" w:customStyle="1">
    <w:name w:val="Trattino"/>
    <w:pPr>
      <w:numPr>
        <w:numId w:val="3"/>
      </w:numPr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header" Target="head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9" Type="http://schemas.openxmlformats.org/officeDocument/2006/relationships/font" Target="fonts/CambriaMath-regular.ttf"/><Relationship Id="rId5" Type="http://schemas.openxmlformats.org/officeDocument/2006/relationships/font" Target="fonts/PTSans-regular.ttf"/><Relationship Id="rId6" Type="http://schemas.openxmlformats.org/officeDocument/2006/relationships/font" Target="fonts/PTSans-bold.ttf"/><Relationship Id="rId7" Type="http://schemas.openxmlformats.org/officeDocument/2006/relationships/font" Target="fonts/PTSans-italic.ttf"/><Relationship Id="rId8" Type="http://schemas.openxmlformats.org/officeDocument/2006/relationships/font" Target="fonts/PTSans-boldItalic.ttf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2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4S7Hu6SIxhh7xsrYTa40ihfnZpA==">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2024-03-08T14:29:00Z</dcterms:created>
</cp:coreProperties>
</file>