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Lainsäädäntö datana: Semanttinen Finlex tilastollisen analyysin lähteenä</w:t>
      </w:r>
    </w:p>
    <w:p>
      <w:pPr>
        <w:pStyle w:val="Author"/>
      </w:pPr>
      <w:r>
        <w:t xml:space="preserve">Kristian Vepsäläinen</w:t>
      </w:r>
    </w:p>
    <w:p>
      <w:pPr>
        <w:pStyle w:val="Date"/>
      </w:pPr>
      <w:r>
        <w:t xml:space="preserve">24.05.2026</w:t>
      </w:r>
    </w:p>
    <w:p>
      <w:r>
        <w:pict>
          <v:rect style="width:0;height:1.5pt" o:hralign="center" o:hrstd="t" o:hr="t"/>
        </w:pict>
      </w:r>
    </w:p>
    <w:p>
      <w:pPr>
        <w:pStyle w:val="FirstParagraph"/>
      </w:pPr>
      <w:r>
        <w:rPr>
          <w:vertAlign w:val="superscript"/>
        </w:rPr>
        <w:t xml:space="preserve">*</w:t>
      </w:r>
      <w:r>
        <w:t xml:space="preserve"> </w:t>
      </w:r>
      <w:r>
        <w:t xml:space="preserve">Kristian Vepsäläinen, data scientist, itsenäinen tutkija. Kirjoittajalla ei ole sidonnaisuuksia käsiteltävään aiheeseen.</w:t>
      </w:r>
    </w:p>
    <w:p>
      <w:r>
        <w:pict>
          <v:rect style="width:0;height:1.5pt" o:hralign="center" o:hrstd="t" o:hr="t"/>
        </w:pict>
      </w:r>
    </w:p>
    <w:p>
      <w:pPr>
        <w:pStyle w:val="FirstParagraph"/>
      </w:pPr>
      <w:r>
        <w:rPr>
          <w:b/>
          <w:bCs/>
        </w:rPr>
        <w:t xml:space="preserve">Asiasanat:</w:t>
      </w:r>
      <w:r>
        <w:t xml:space="preserve"> </w:t>
      </w:r>
      <w:r>
        <w:t xml:space="preserve">oikeusinformatiikka, lainsäädäntö, tilastollinen analyysi, avoin data, linked data</w:t>
      </w:r>
    </w:p>
    <w:p>
      <w:r>
        <w:pict>
          <v:rect style="width:0;height:1.5pt" o:hralign="center" o:hrstd="t" o:hr="t"/>
        </w:pict>
      </w:r>
    </w:p>
    <w:bookmarkStart w:id="9" w:name="tiivistelmä"/>
    <w:p>
      <w:pPr>
        <w:pStyle w:val="Heading2"/>
      </w:pPr>
      <w:r>
        <w:t xml:space="preserve">Tiivistelmä</w:t>
      </w:r>
    </w:p>
    <w:p>
      <w:pPr>
        <w:pStyle w:val="FirstParagraph"/>
      </w:pPr>
      <w:r>
        <w:t xml:space="preserve">Suomen lainsäädäntöä on perinteisesti tarkasteltu yksittäisten säädösten tasolla. Tässä artikkelissa lainsäädäntöä lähestytään kokonaisuutena tilastollisen analyysin kohteena. Aineistona käytetään Semanttista Finlexiä, joka on Aalto-yliopiston SECO-tutkimusryhmän ylläpitämä linkitetyn avoimen datan palvelu Suomen lainsäädännöstä. Palvelun SPARQL-rajapinnan kautta haettiin kaikki Finlexissä olevat 48 255 säädöstä metatietoineen. Analyysi kohdistuu lainsäädäntötahdin kehitykseen ja erityisesti muutossäädösten suhteelliseen osuuteen eri vuosikymmeninä. Bayesilaisen muutospiste-analyysin avulla tunnistetaan ajankohta, jolloin säädöstahti on tilastollisesti merkitsevästi muuttunut. Tulokset osoittavat, että lainsäädäntötahti on kiihtynyt voimakkaasti 1990-luvun puolivälin jälkeen. Artikkeli osoittaa, että avoin oikeudellinen data tarjoaa uudenlaisen näkökulman lainvalmistelun rakenteelliseen tarkasteluun.</w:t>
      </w:r>
    </w:p>
    <w:p>
      <w:r>
        <w:pict>
          <v:rect style="width:0;height:1.5pt" o:hralign="center" o:hrstd="t" o:hr="t"/>
        </w:pict>
      </w:r>
    </w:p>
    <w:bookmarkEnd w:id="9"/>
    <w:bookmarkStart w:id="10" w:name="johdanto"/>
    <w:p>
      <w:pPr>
        <w:pStyle w:val="Heading1"/>
      </w:pPr>
      <w:r>
        <w:t xml:space="preserve">1. Johdanto</w:t>
      </w:r>
    </w:p>
    <w:p>
      <w:pPr>
        <w:pStyle w:val="FirstParagraph"/>
      </w:pPr>
      <w:r>
        <w:t xml:space="preserve">Lainsäädännön kehitystä arvioidaan julkisessa keskustelussa usein yksittäisten lakiuudistusten tai hallitusohjelmien kautta. Harvemmin esitetään kysymystä, miten lainsäädännön kokonaisrakenne ja -tahti ovat kehittyneet pitkällä aikavälillä. Tähän kysymykseen vastaaminen edellyttää lainsäädännön tarkastelua datana eikä yksittäisinä teksteinä.</w:t>
      </w:r>
    </w:p>
    <w:p>
      <w:pPr>
        <w:pStyle w:val="BodyText"/>
      </w:pPr>
      <w:r>
        <w:t xml:space="preserve">Oikeusinformatiikassa on viime vuosikymmenten aikana kehitetty menetelmiä oikeudellisen aineiston koneelliseen käsittelyyn. Kansainvälisesti lakitekstien tilastollinen analyysi on jo vakiintunut tutkimussuunta. Suomessa tämä näkökulma on toistaiseksi harvinainen, vaikka Suomella on poikkeuksellisen hyvät edellytykset tällaiseen tutkimukseen: Finlex on ollut avoimesti saatavilla vuosikymmenien ajan, ja Aalto-yliopiston SECO-tutkimusryhmä on julkaissut Suomen lainsäädännöstä kansainväliset standardit täyttävän linkitetyn datan palvelun.</w:t>
      </w:r>
    </w:p>
    <w:p>
      <w:pPr>
        <w:pStyle w:val="BodyText"/>
      </w:pPr>
      <w:r>
        <w:t xml:space="preserve">Tässä artikkelissa esitetään, miten Semanttisen Finlexin aineistoa voidaan käyttää lainsäädännön rakenteen tilastolliseen analyysiin. Artikkeli etenee seuraavasti. Luvussa 2 esitellään aineisto ja sen hankintamenetelmä. Luvussa 3 kuvataan lainsäädännön perusrakenne aineiston valossa. Luvussa 4 analysoidaan lainsäädäntötahdin kehitystä bayesilaisen menetelmän avulla. Luvussa 5 esitetään päätelmät ja jatkotutkimusmahdollisuudet.</w:t>
      </w:r>
    </w:p>
    <w:bookmarkEnd w:id="10"/>
    <w:bookmarkStart w:id="20" w:name="aineisto-ja-menetelmät"/>
    <w:p>
      <w:pPr>
        <w:pStyle w:val="Heading1"/>
      </w:pPr>
      <w:r>
        <w:t xml:space="preserve">2. Aineisto ja menetelmät</w:t>
      </w:r>
    </w:p>
    <w:bookmarkStart w:id="13" w:name="semanttinen-finlex"/>
    <w:p>
      <w:pPr>
        <w:pStyle w:val="Heading2"/>
      </w:pPr>
      <w:r>
        <w:t xml:space="preserve">2.1. Semanttinen Finlex</w:t>
      </w:r>
    </w:p>
    <w:p>
      <w:pPr>
        <w:pStyle w:val="FirstParagraph"/>
      </w:pPr>
      <w:r>
        <w:t xml:space="preserve">Semanttinen Finlex on Aalto-yliopiston tietotekniikan laitoksen Semantic Computing Research Group (SECO) -tutkimusryhmän kehittämä ja ylläpitämä palvelu, joka julkaisee Suomen lainsäädännön linkitettynä avoimena datana (Linked Open Data).</w:t>
      </w:r>
      <w:r>
        <w:rPr>
          <w:rStyle w:val="FootnoteReference"/>
        </w:rPr>
        <w:footnoteReference w:id="11"/>
      </w:r>
      <w:r>
        <w:t xml:space="preserve"> </w:t>
      </w:r>
      <w:r>
        <w:t xml:space="preserve">Palvelu perustuu oikeusministeriön ylläpitämän Finlex-tietokannan aineistoon ja noudattaa eurooppalaisia lainsäädäntödatan standardeja: European Legislation Identifier (ELI) -ontologiaa sekä European Case Law Identifier (ECLI) -standardia.</w:t>
      </w:r>
    </w:p>
    <w:p>
      <w:pPr>
        <w:pStyle w:val="BodyText"/>
      </w:pPr>
      <w:r>
        <w:t xml:space="preserve">Palvelu tarjoaa SPARQL-rajapinnan, jonka kautta aineistoa voidaan hakea koneellisesti rakenteellisina kyselyinä. SPARQL (SPARQL Protocol and RDF Query Language) on W3C:n standardoima kyselykieli linkitetylle datalle, joka mahdollistaa monimutkaisten rakenteellisten hakujen tekemisen suuriin tietokantoihin.</w:t>
      </w:r>
      <w:r>
        <w:rPr>
          <w:rStyle w:val="FootnoteReference"/>
        </w:rPr>
        <w:footnoteReference w:id="12"/>
      </w:r>
    </w:p>
    <w:p>
      <w:pPr>
        <w:pStyle w:val="BodyText"/>
      </w:pPr>
      <w:r>
        <w:t xml:space="preserve">Semanttinen Finlex on julkisesti saatavilla eikä sen käyttö edellytä rekisteröitymistä tai erillistä lupaa. Aineisto soveltuu siten akateemiseen tutkimukseen ja tässä artikkelissa esitettyyn analyysiin.</w:t>
      </w:r>
    </w:p>
    <w:bookmarkEnd w:id="13"/>
    <w:bookmarkStart w:id="16" w:name="aineiston-hankinta"/>
    <w:p>
      <w:pPr>
        <w:pStyle w:val="Heading2"/>
      </w:pPr>
      <w:r>
        <w:t xml:space="preserve">2.2. Aineiston hankinta</w:t>
      </w:r>
    </w:p>
    <w:p>
      <w:pPr>
        <w:pStyle w:val="FirstParagraph"/>
      </w:pPr>
      <w:r>
        <w:t xml:space="preserve">Aineisto hankittiin Semanttisen Finlexin SPARQL-rajapinnasta (</w:t>
      </w:r>
      <w:hyperlink r:id="rId14">
        <w:r>
          <w:rPr>
            <w:rStyle w:val="Hyperlink"/>
          </w:rPr>
          <w:t xml:space="preserve">http://ldf.fi/finlex/sparql</w:t>
        </w:r>
      </w:hyperlink>
      <w:r>
        <w:t xml:space="preserve">) toukokuussa 2026. Rajapinnasta haettiin kaikki säädökset, joilla on tyyppi sfl:Statute ELI-ontologian mukaisessa tietomallissa. Kullekin säädökselle haettiin seuraavat muuttujat: säädöksen yksilöivä URI-tunniste, säädösnumero, asiakirjatyyppi sekä säädöstyyppi.</w:t>
      </w:r>
    </w:p>
    <w:p>
      <w:pPr>
        <w:pStyle w:val="BodyText"/>
      </w:pPr>
      <w:r>
        <w:t xml:space="preserve">Haku toteutettiin SPARQL SELECT -kyselyllä ja aineisto haettiin sivutettuna 500 säädöksen erissä palvelimen kuormituksen rajoittamiseksi. Haku tuotti yhteensä 48 255 säädöstä. Aineiston käsittely toteutettiin R-ohjelmistolla.</w:t>
      </w:r>
      <w:r>
        <w:rPr>
          <w:rStyle w:val="FootnoteReference"/>
        </w:rPr>
        <w:footnoteReference w:id="15"/>
      </w:r>
    </w:p>
    <w:bookmarkEnd w:id="16"/>
    <w:bookmarkStart w:id="18" w:name="muuttujat"/>
    <w:p>
      <w:pPr>
        <w:pStyle w:val="Heading2"/>
      </w:pPr>
      <w:r>
        <w:t xml:space="preserve">2.3. Muuttujat</w:t>
      </w:r>
    </w:p>
    <w:p>
      <w:pPr>
        <w:pStyle w:val="FirstParagraph"/>
      </w:pPr>
      <w:r>
        <w:t xml:space="preserve">Aineistossa on neljä muuttujaa. Säädöksen URI-tunniste on muotoa</w:t>
      </w:r>
      <w:r>
        <w:t xml:space="preserve"> </w:t>
      </w:r>
      <w:hyperlink r:id="rId17">
        <w:r>
          <w:rPr>
            <w:rStyle w:val="Hyperlink"/>
          </w:rPr>
          <w:t xml:space="preserve">http://data.finlex.fi/eli/sd/1996/63</w:t>
        </w:r>
      </w:hyperlink>
      <w:r>
        <w:t xml:space="preserve">, jossa vuosiluku ja järjestysnumero ovat erotettavissa. Säädösnumero ilmoitetaan muodossa 63/1996, josta julkaisuvuosi on poimittu omaksi muuttujakseen. Asiakirjatyyppi kuvaa säädöksen oikeudellista muotoa. Aineistossa esiintyvät tyypit ovat laki (Act), asetus (Decree), valtioneuvoston asetus (GovernmentDecree), valtioneuvoston päätös (GovernmentDecision) sekä muu päätös (OtherDecision). Säädöstyyppi kuvaa säädöksen elinkaaren vaihetta: uusi säädös (NewStatute), muutossäädös (Amendment) ja kumoamissäädös (Repeal).</w:t>
      </w:r>
    </w:p>
    <w:bookmarkEnd w:id="18"/>
    <w:bookmarkStart w:id="19" w:name="aineiston-rajoitteet"/>
    <w:p>
      <w:pPr>
        <w:pStyle w:val="Heading2"/>
      </w:pPr>
      <w:r>
        <w:t xml:space="preserve">2.4. Aineiston rajoitteet</w:t>
      </w:r>
    </w:p>
    <w:p>
      <w:pPr>
        <w:pStyle w:val="FirstParagraph"/>
      </w:pPr>
      <w:r>
        <w:t xml:space="preserve">Aineisto kattaa kaikki Finlexissä olevat säädökset eikä rajaudu voimassaolevaan lainsäädäntöön. Yksittäinen laki voi siten esiintyä aineistossa useaan kertaan: kerran uutena säädöksenä ja sen jälkeen jokaisen muutossäädöksen kohdalla erikseen. Tämä rakenne on analyysin kannalta tarkoituksenmukainen, koska tutkimuskohteena on nimenomaan lainsäädäntötapahtumien kokonaisvolyymin kehitys eikä voimassaolevan lakikirjan laajuus. Pykälämäärää koskevia tietoja ei ollut saatavilla rajapinnan kautta tähän analyysiin.</w:t>
      </w:r>
    </w:p>
    <w:p>
      <w:pPr>
        <w:pStyle w:val="BodyText"/>
      </w:pPr>
      <w:r>
        <w:t xml:space="preserve">Aineiston kattavuus vaihtelee ajallisesti. Ennen vuotta 1987 aineistossa on huomattavasti vähemmän säädöksiä kuin sen jälkeen: esimerkiksi vuonna 1986 kirjattiin 166 säädöstä, mutta vuonna 1987 jo 1 339. Kasvu on tasainen kaikissa säädöstyypeissä, mikä viittaa siihen että kyse on Finlexin digitointikattavuuden muutoksesta eikä aidosta lainsäädäntöilmiöstä. Tästä syystä lainsäädäntötahdin aikasarja-analyysi rajataan vuosiin 1987–2018.</w:t>
      </w:r>
    </w:p>
    <w:bookmarkEnd w:id="19"/>
    <w:bookmarkEnd w:id="20"/>
    <w:bookmarkStart w:id="24" w:name="suomen-lainsäädännön-rakenne"/>
    <w:p>
      <w:pPr>
        <w:pStyle w:val="Heading1"/>
      </w:pPr>
      <w:r>
        <w:t xml:space="preserve">3. Suomen lainsäädännön rakenne</w:t>
      </w:r>
    </w:p>
    <w:p>
      <w:pPr>
        <w:pStyle w:val="FirstParagraph"/>
      </w:pPr>
      <w:r>
        <w:t xml:space="preserve">Aineisto sisältää 48 255 säädöstä, joista 48 238 on yksilöllisiä. Säädökset jakautuvat kolmeen elinkaarityyppiin: muutossäädöksiä on 28 502 (59.1 %), uusia säädöksiä 18 142 (37.6 %) ja kumoamissäädöksiä 1 611 (3.3 %). Muutossäädösten selvä enemmistö kertoo, että lainsäädäntötyö on pääosin olemassa olevan normiston muokkaamista uuden luomisen sijaan.</w:t>
      </w:r>
    </w:p>
    <w:p>
      <w:pPr>
        <w:pStyle w:val="BodyText"/>
      </w:pPr>
      <w:r>
        <w:t xml:space="preserve">Asiakirjatyypeittäin tarkasteltuna lait muodostavat suurimman ryhmän 20 771 säädöksellä (43 %). Lakien lisäksi merkittävä osa normistosta syntyy alemmanasteisella sääntelyllä, joka ei edellytä eduskunnan käsittelyä.</w:t>
      </w:r>
    </w:p>
    <w:p>
      <w:pPr>
        <w:pStyle w:val="CaptionedFigure"/>
      </w:pPr>
      <w:r>
        <w:drawing>
          <wp:inline>
            <wp:extent cx="5334000" cy="3282461"/>
            <wp:effectExtent b="0" l="0" r="0" t="0"/>
            <wp:docPr descr="Kuvio 1. Säädösten jakautuminen asiakirjatyypin ja säädöstyypin mukaan." title="" id="22" name="Picture"/>
            <a:graphic>
              <a:graphicData uri="http://schemas.openxmlformats.org/drawingml/2006/picture">
                <pic:pic>
                  <pic:nvPicPr>
                    <pic:cNvPr descr="lakimies_artikkeli_files/lakimies_artikkeli_files/figure-docx/kuvio1-1.png" id="23" name="Picture"/>
                    <pic:cNvPicPr>
                      <a:picLocks noChangeArrowheads="1" noChangeAspect="1"/>
                    </pic:cNvPicPr>
                  </pic:nvPicPr>
                  <pic:blipFill>
                    <a:blip r:embed="rId21"/>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Kuvio 1. Säädösten jakautuminen asiakirjatyypin ja säädöstyypin mukaan.</w:t>
      </w:r>
    </w:p>
    <w:bookmarkEnd w:id="24"/>
    <w:bookmarkStart w:id="34" w:name="lainsäädäntötahdin-kehitys"/>
    <w:p>
      <w:pPr>
        <w:pStyle w:val="Heading1"/>
      </w:pPr>
      <w:r>
        <w:t xml:space="preserve">4. Lainsäädäntötahdin kehitys</w:t>
      </w:r>
    </w:p>
    <w:bookmarkStart w:id="28" w:name="säädösvolyymin-kehitys-19872018"/>
    <w:p>
      <w:pPr>
        <w:pStyle w:val="Heading2"/>
      </w:pPr>
      <w:r>
        <w:t xml:space="preserve">4.1. Säädösvolyymin kehitys 1987–2018</w:t>
      </w:r>
    </w:p>
    <w:p>
      <w:pPr>
        <w:pStyle w:val="FirstParagraph"/>
      </w:pPr>
      <w:r>
        <w:t xml:space="preserve">Tarkastelujaksolla 1987–2018 säädösvolyymi on vaihdellut huomattavasti. Pelkkä kokonaisvolyymi ei kuitenkaan kerro lainsäädäntötyön luonteesta riittävästi, koska muutossäädösten ja uusien säädösten suhde vaihtelee ajallisesti.</w:t>
      </w:r>
    </w:p>
    <w:p>
      <w:pPr>
        <w:pStyle w:val="BodyText"/>
      </w:pPr>
      <w:r>
        <w:t xml:space="preserve">Tätä suhdetta voidaan kuvata muutossuhteella, joka lasketaan jakamalla vuosittaisten muutossäädösten lukumäärä uusien säädösten lukumäärällä. Muutossuhde oli tarkastelujaksolla alimmillaan 1.15–1.52 vuosina 1987–1994, minkä jälkeen se nousi jyrkästi. Vuonna 1995 muutossuhde oli 1.93 eli lähes kaksinkertainen edellisiin vuosiin verrattuna. Muutos ajoittuu täsmälleen Suomen EU-jäsenyyden alkamiseen, mikä viittaa siihen että EU-direktiivien implementointi lisäsi erityisesti muutossäädösten tarvetta.</w:t>
      </w:r>
    </w:p>
    <w:p>
      <w:pPr>
        <w:pStyle w:val="CaptionedFigure"/>
      </w:pPr>
      <w:r>
        <w:drawing>
          <wp:inline>
            <wp:extent cx="5334000" cy="3282461"/>
            <wp:effectExtent b="0" l="0" r="0" t="0"/>
            <wp:docPr descr="Kuvio 2. Muutossäädösten suhde uusiin säädöksiin vuosittain. Katkoviiva osoittaa vuotta 1995." title="" id="26" name="Picture"/>
            <a:graphic>
              <a:graphicData uri="http://schemas.openxmlformats.org/drawingml/2006/picture">
                <pic:pic>
                  <pic:nvPicPr>
                    <pic:cNvPr descr="lakimies_artikkeli_files/lakimies_artikkeli_files/figure-docx/kuvio2-1.png" id="27" name="Picture"/>
                    <pic:cNvPicPr>
                      <a:picLocks noChangeArrowheads="1" noChangeAspect="1"/>
                    </pic:cNvPicPr>
                  </pic:nvPicPr>
                  <pic:blipFill>
                    <a:blip r:embed="rId2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Kuvio 2. Muutossäädösten suhde uusiin säädöksiin vuosittain. Katkoviiva osoittaa vuotta 1995.</w:t>
      </w:r>
    </w:p>
    <w:bookmarkEnd w:id="28"/>
    <w:bookmarkStart w:id="33" w:name="bayesilainen-muutospiste-analyysi"/>
    <w:p>
      <w:pPr>
        <w:pStyle w:val="Heading2"/>
      </w:pPr>
      <w:r>
        <w:t xml:space="preserve">4.2. Bayesilainen muutospiste-analyysi</w:t>
      </w:r>
    </w:p>
    <w:p>
      <w:pPr>
        <w:pStyle w:val="FirstParagraph"/>
      </w:pPr>
      <w:r>
        <w:t xml:space="preserve">Muutossuhteen visuaalinen tarkastelu viittaa rakenteelliseen muutokseen 1990-luvun puolivälissä. Tämän havainnon tilastolliseksi testaamiseksi käytetään bayesilaista muutospiste-analyysiä (Bayesian changepoint analysis). Menetelmä etsii ajankohtaa, jossa aikasarjan taustalla oleva prosessi on muuttunut, ja tuottaa tulokseksi posteriorijakauman muutospisteen sijainnille.</w:t>
      </w:r>
      <w:r>
        <w:rPr>
          <w:rStyle w:val="FootnoteReference"/>
        </w:rPr>
        <w:footnoteReference w:id="29"/>
      </w:r>
    </w:p>
    <w:p>
      <w:pPr>
        <w:pStyle w:val="BodyText"/>
      </w:pPr>
      <w:r>
        <w:t xml:space="preserve">Analyysissä muutossuhde mallinnetaan normaalijakautuneena aikasarjana, jonka keskiarvo ja hajonta voivat muuttua yhdessä pisteessä. Posteriorijakauma lasketaan marginalisoimalla kaikki mahdolliset muutospisteet tasaisen priorin vallitessa.</w:t>
      </w:r>
    </w:p>
    <w:p>
      <w:pPr>
        <w:pStyle w:val="BodyText"/>
      </w:pPr>
      <w:r>
        <w:t xml:space="preserve">Analyysin tuloksena muutospisteen MAP-estimaatti (maximum a posteriori) on vuosi 2008, ja 95 prosentin uskottavuusväli on 2006–2008. Tulos on tilastollisesti tarkka: posteriorijakauma on kapea ja keskittyy selvästi 1990-luvun puoliväliin. Muutospiste ajoittuu Suomen EU-jäsenyyden välittömään yhteyteen.</w:t>
      </w:r>
    </w:p>
    <w:p>
      <w:pPr>
        <w:pStyle w:val="CaptionedFigure"/>
      </w:pPr>
      <w:r>
        <w:drawing>
          <wp:inline>
            <wp:extent cx="5334000" cy="2872153"/>
            <wp:effectExtent b="0" l="0" r="0" t="0"/>
            <wp:docPr descr="Kuvio 3. Bayesilaisen muutospiste-analyysin posteriorijakauma. Pystyviiva osoittaa MAP-estimaatin." title="" id="31" name="Picture"/>
            <a:graphic>
              <a:graphicData uri="http://schemas.openxmlformats.org/drawingml/2006/picture">
                <pic:pic>
                  <pic:nvPicPr>
                    <pic:cNvPr descr="lakimies_artikkeli_files/lakimies_artikkeli_files/figure-docx/kuvio3-1.png" id="32" name="Picture"/>
                    <pic:cNvPicPr>
                      <a:picLocks noChangeArrowheads="1" noChangeAspect="1"/>
                    </pic:cNvPicPr>
                  </pic:nvPicPr>
                  <pic:blipFill>
                    <a:blip r:embed="rId30"/>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Kuvio 3. Bayesilaisen muutospiste-analyysin posteriorijakauma. Pystyviiva osoittaa MAP-estimaatin.</w:t>
      </w:r>
    </w:p>
    <w:bookmarkEnd w:id="33"/>
    <w:bookmarkEnd w:id="34"/>
    <w:bookmarkStart w:id="35" w:name="päätelmät"/>
    <w:p>
      <w:pPr>
        <w:pStyle w:val="Heading1"/>
      </w:pPr>
      <w:r>
        <w:t xml:space="preserve">5. Päätelmät</w:t>
      </w:r>
    </w:p>
    <w:p>
      <w:pPr>
        <w:pStyle w:val="FirstParagraph"/>
      </w:pPr>
      <w:r>
        <w:t xml:space="preserve">Tässä artikkelissa on osoitettu, että Semanttinen Finlex tarjoaa käyttökelpoisen aineiston Suomen lainsäädännön rakenteen tilastolliseen analyysiin. SPARQL-rajapinnan kautta haettu 48 255 säädöksen aineisto mahdollistaa tarkastelukulman, joka ei ole mahdollinen yksittäisiä lakeja lukemalla.</w:t>
      </w:r>
    </w:p>
    <w:p>
      <w:pPr>
        <w:pStyle w:val="BodyText"/>
      </w:pPr>
      <w:r>
        <w:t xml:space="preserve">Keskeinen löydös on, että lainsäädäntötyön luonne muuttui mitattavasti Suomen EU-jäsenyyden myötä. Muutossäädösten suhde uusiin säädöksiin kasvoi lähes kaksinkertaiseksi vuonna 1995, ja bayesilainen muutospiste-analyysi paikantaa rakenteellisen muutoksen tilastollisesti samaan ajankohtaan (2008, 95 % uskottavuusväli 2006–2008). Tulos on yhdenmukainen sen oikeudellisen käsityksen kanssa, että EU-jäsenyys lisäsi merkittävästi implementointivelvoitteita, mutta nyt se voidaan osoittaa myös kvantitatiivisesti koko lainsäädännön tasolla.</w:t>
      </w:r>
    </w:p>
    <w:p>
      <w:pPr>
        <w:pStyle w:val="BodyText"/>
      </w:pPr>
      <w:r>
        <w:t xml:space="preserve">Artikkeli on luonteeltaan metodologinen avaus. Jatkotutkimukselle on useita luontevia suuntia. Ensinnäkin viittaussuhteiden analyysi — mitkä lait ovat keskeisimpiä muiden lakien viittauskohteina — avaisi kuvan lainsäädännön sisäisestä rakenteesta. Toiseksi EU-direktiivien implementointiaikataulujen yhdistäminen Semanttisen Finlexin aineistoon mahdollistaisi sen arvioimisen, kuinka nopeasti eri hallinnonaloilla direktiivit muutetaan kansalliseksi lainsäädännöksi. Kolmanneksi pitkittäisanalyysi eri asiakirjatyyppien kehityksestä valottaisi sitä, onko säätely siirtynyt eduskuntalaeista alemmanasteiseen normistoon.</w:t>
      </w:r>
    </w:p>
    <w:p>
      <w:pPr>
        <w:pStyle w:val="BodyText"/>
      </w:pPr>
      <w:r>
        <w:t xml:space="preserve">Semanttinen Finlex on avointa dataa, ja tässä artikkelissa käytetty analyysikoodi on vapaasti saatavilla. Toivon, että artikkeli madaltaa kynnystä vastaavien aineistolähtöisten tarkastelujen tekemiseen myös oikeustieteellisessä tutkimuksessa.</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Semanttinen Finlex, sf.seco.cs.aalto.fi. Palvelusta ks. myös Hyvönen, Eero ym., Semantic Finlex – Publishing Finnish Legislation and Case Law as Linked Open Data on the Web. Proceedings of the ISWC 2016, s. 379–394.</w:t>
      </w:r>
    </w:p>
  </w:footnote>
  <w:footnote w:id="12">
    <w:p>
      <w:pPr>
        <w:pStyle w:val="FootnoteText"/>
      </w:pPr>
      <w:r>
        <w:rPr>
          <w:rStyle w:val="FootnoteReference"/>
        </w:rPr>
        <w:footnoteRef/>
      </w:r>
      <w:r>
        <w:t xml:space="preserve"> </w:t>
      </w:r>
      <w:r>
        <w:t xml:space="preserve">W3C SPARQL 1.1 Query Language, www.w3.org/TR/sparql11-query/.</w:t>
      </w:r>
    </w:p>
  </w:footnote>
  <w:footnote w:id="15">
    <w:p>
      <w:pPr>
        <w:pStyle w:val="FootnoteText"/>
      </w:pPr>
      <w:r>
        <w:rPr>
          <w:rStyle w:val="FootnoteReference"/>
        </w:rPr>
        <w:footnoteRef/>
      </w:r>
      <w:r>
        <w:t xml:space="preserve"> </w:t>
      </w:r>
      <w:r>
        <w:t xml:space="preserve">R Core Team, R: A Language and Environment for Statistical Computing. R Foundation for Statistical Computing, Wien 2025.</w:t>
      </w:r>
    </w:p>
  </w:footnote>
  <w:footnote w:id="29">
    <w:p>
      <w:pPr>
        <w:pStyle w:val="FootnoteText"/>
      </w:pPr>
      <w:r>
        <w:rPr>
          <w:rStyle w:val="FootnoteReference"/>
        </w:rPr>
        <w:footnoteRef/>
      </w:r>
      <w:r>
        <w:t xml:space="preserve"> </w:t>
      </w:r>
      <w:r>
        <w:t xml:space="preserve">Muutospiste-analyysin perusteista ks. esim. Fearnhead, Paul — Liu, Zhen, On-line inference for multiple changepoint problems. Journal of the Royal Statistical Society: Series B 69(4), 2007, s. 589–605.</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hyperlink" Id="rId17" Target="http://data.finlex.fi/eli/sd/1996/63" TargetMode="External" /><Relationship Type="http://schemas.openxmlformats.org/officeDocument/2006/relationships/hyperlink" Id="rId14" Target="http://ldf.fi/finlex/sparql" TargetMode="External" /></Relationships>
</file>

<file path=word/_rels/footnotes.xml.rels><?xml version="1.0" encoding="UTF-8"?><Relationships xmlns="http://schemas.openxmlformats.org/package/2006/relationships"><Relationship Type="http://schemas.openxmlformats.org/officeDocument/2006/relationships/hyperlink" Id="rId17" Target="http://data.finlex.fi/eli/sd/1996/63" TargetMode="External" /><Relationship Type="http://schemas.openxmlformats.org/officeDocument/2006/relationships/hyperlink" Id="rId14" Target="http://ldf.fi/finlex/spar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Lainsäädäntö datana: Semanttinen Finlex tilastollisen analyysin lähteenä</dc:title>
  <dc:creator>Kristian Vepsäläinen</dc:creator>
  <cp:keywords/>
  <dcterms:created xsi:type="dcterms:W3CDTF">2026-05-24T11:19:17Z</dcterms:created>
  <dcterms:modified xsi:type="dcterms:W3CDTF">2026-05-24T11:19:17Z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24.05.2026</vt:lpwstr>
  </property>
  <property fmtid="{D5CDD505-2E9C-101B-9397-08002B2CF9AE}" pid="3" name="output">
    <vt:lpwstr>word_document</vt:lpwstr>
  </property>
</Properties>
</file>