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491CE" w14:textId="26701AF2" w:rsidR="00D34428" w:rsidRDefault="00000000" w:rsidP="006F487F">
      <w:pPr>
        <w:pStyle w:val="Overskrift1"/>
        <w:spacing w:line="360" w:lineRule="auto"/>
      </w:pPr>
      <w:bookmarkStart w:id="0" w:name="introduction-draft-2"/>
      <w:r>
        <w:t>Introduction</w:t>
      </w:r>
    </w:p>
    <w:p w14:paraId="7BF491CF" w14:textId="6A96D5C3" w:rsidR="00D34428" w:rsidRDefault="00000000" w:rsidP="006F487F">
      <w:pPr>
        <w:pStyle w:val="FirstParagraph"/>
        <w:spacing w:line="360" w:lineRule="auto"/>
      </w:pPr>
      <w:r>
        <w:t xml:space="preserve">Skeletal muscle mass and strength </w:t>
      </w:r>
      <w:r w:rsidR="00FB6456">
        <w:t>decline</w:t>
      </w:r>
      <w:r>
        <w:t xml:space="preserve"> with </w:t>
      </w:r>
      <w:r w:rsidR="00FB6456">
        <w:t>age and</w:t>
      </w:r>
      <w:r>
        <w:t xml:space="preserve"> is best prevented or treated with regular resistance training (RT). The decline in muscle mass and -strength advances upon reaching approximately 50 years of age and accelerates further after reaching 70, and, if left unchecked, has a high probability of leading to sarcopenia</w:t>
      </w:r>
      <w:r>
        <w:rPr>
          <w:vertAlign w:val="superscript"/>
        </w:rPr>
        <w:t>1,2</w:t>
      </w:r>
      <w:r>
        <w:t xml:space="preserve">. Muscular weakness and low muscle mass </w:t>
      </w:r>
      <w:r>
        <w:rPr>
          <w:i/>
          <w:iCs/>
        </w:rPr>
        <w:t>per se</w:t>
      </w:r>
      <w:r>
        <w:t xml:space="preserve"> is further linked to diabetes, disability, cognitive decline, osteoporosis and early all-cause mortality, prevented/treated by either attaining or maintaining a healthy skeletal muscle mass</w:t>
      </w:r>
      <w:r>
        <w:rPr>
          <w:vertAlign w:val="superscript"/>
        </w:rPr>
        <w:t>1,3,4</w:t>
      </w:r>
      <w:r>
        <w:t>. Elderly are expected to gain similar benefits from RT as young, i.e., increased muscle mass, -strength and overall physical performance</w:t>
      </w:r>
      <w:r>
        <w:rPr>
          <w:vertAlign w:val="superscript"/>
        </w:rPr>
        <w:t>5–7</w:t>
      </w:r>
      <w:r>
        <w:t>. To ensure maximal gains from a period of RT, the anabolic stimulus provided from exercising must be sufficient, and ideally combined with nutritional optimisation (especially daily protein addition)</w:t>
      </w:r>
      <w:r>
        <w:rPr>
          <w:vertAlign w:val="superscript"/>
        </w:rPr>
        <w:t>5–8</w:t>
      </w:r>
      <w:r>
        <w:t>. Notably, there are considerable inter-individual variations in adaptations to RT, especially in the elderly, making prescription of an optimal RT program for different phenotypes difficult</w:t>
      </w:r>
      <w:r>
        <w:rPr>
          <w:vertAlign w:val="superscript"/>
        </w:rPr>
        <w:t>14</w:t>
      </w:r>
      <w:r>
        <w:t>. While the underlying mechanisms of inter-individual variations to RT are not fully elucidated, differential manifestations of aging makes the older population quite more heterogeneous than the young</w:t>
      </w:r>
      <w:r>
        <w:rPr>
          <w:vertAlign w:val="superscript"/>
        </w:rPr>
        <w:t>2,15</w:t>
      </w:r>
      <w:r>
        <w:t>.</w:t>
      </w:r>
    </w:p>
    <w:p w14:paraId="7BF491D0" w14:textId="77777777" w:rsidR="00D34428" w:rsidRDefault="00000000" w:rsidP="006F487F">
      <w:pPr>
        <w:pStyle w:val="Brdtekst"/>
        <w:spacing w:line="360" w:lineRule="auto"/>
      </w:pPr>
      <w:r>
        <w:t>This heterogeneity in physical function among the elderly is reflected by, perhaps most notably, the different presence of pathophysiological conditions such as insulin resistance, sarcopenia, and anabolic resistance</w:t>
      </w:r>
      <w:r>
        <w:rPr>
          <w:vertAlign w:val="superscript"/>
        </w:rPr>
        <w:t>1,2,15</w:t>
      </w:r>
      <w:r>
        <w:t>. Whether anabolic resistance is a contributor to or a consequence of sarcopenia is uncertain, but the lower muscle protein synthesis (MPS) in the elderly following a session of RT or protein ingestion suggests that skeletal muscle in elderly are less responsive to anabolic stimuli than in the young</w:t>
      </w:r>
      <w:r>
        <w:rPr>
          <w:vertAlign w:val="superscript"/>
        </w:rPr>
        <w:t>2,16,17</w:t>
      </w:r>
      <w:r>
        <w:t>. Baseline levels of MPS does not differ with age, however, the activity in proteins that influence MPS (e.g., mTOR) are elevated in fasted muscle from the elderly compared to young</w:t>
      </w:r>
      <w:r>
        <w:rPr>
          <w:vertAlign w:val="superscript"/>
        </w:rPr>
        <w:t>2,15,18</w:t>
      </w:r>
      <w:r>
        <w:t>. This discrepancy in mTOR activity is proposed to represent either a compensation to increased relative muscle loading due to decreased muscle mass with age, or dysregulation of the mTOR complex</w:t>
      </w:r>
      <w:r>
        <w:rPr>
          <w:vertAlign w:val="superscript"/>
        </w:rPr>
        <w:t>2</w:t>
      </w:r>
      <w:r>
        <w:t xml:space="preserve">. Further, likely as a consequence of altered mTOR regulation, ribosomal gene transcription </w:t>
      </w:r>
      <w:r>
        <w:lastRenderedPageBreak/>
        <w:t>and subsequently ribosome biogenesis is reduced in elderly</w:t>
      </w:r>
      <w:r>
        <w:rPr>
          <w:vertAlign w:val="superscript"/>
        </w:rPr>
        <w:t>2,15,19</w:t>
      </w:r>
      <w:r>
        <w:t>, postulated to explain the anabolic resistance in the elderly in a recent study by Chaillou &amp; Montiel-Rojas</w:t>
      </w:r>
      <w:r>
        <w:rPr>
          <w:vertAlign w:val="superscript"/>
        </w:rPr>
        <w:t>19</w:t>
      </w:r>
      <w:r>
        <w:t>.</w:t>
      </w:r>
    </w:p>
    <w:p w14:paraId="7BF491D1" w14:textId="77777777" w:rsidR="00D34428" w:rsidRDefault="00000000" w:rsidP="006F487F">
      <w:pPr>
        <w:pStyle w:val="Brdtekst"/>
        <w:spacing w:line="360" w:lineRule="auto"/>
      </w:pPr>
      <w:r>
        <w:t>Ribosomes are the protein factories of the cell, and the increase in ribosomal content (translational capacity) following onset of RT is believed to provide support for skeletal muscle fibre hypertrophy</w:t>
      </w:r>
      <w:r>
        <w:rPr>
          <w:vertAlign w:val="superscript"/>
        </w:rPr>
        <w:t>20,21</w:t>
      </w:r>
      <w:r>
        <w:t>. Regardless of age, individuals who respond to RT exhibit an accumulation in markers of ribosome biogenesis (e.g., total RNA and/or rRNA), compared to those who do not experience benefits of RT</w:t>
      </w:r>
      <w:r>
        <w:rPr>
          <w:vertAlign w:val="superscript"/>
        </w:rPr>
        <w:t>12,22,23</w:t>
      </w:r>
      <w:r>
        <w:t>. The findings from Hammarstrom et al.</w:t>
      </w:r>
      <w:r>
        <w:rPr>
          <w:vertAlign w:val="superscript"/>
        </w:rPr>
        <w:t>22</w:t>
      </w:r>
      <w:r>
        <w:t xml:space="preserve"> and Stec et al.</w:t>
      </w:r>
      <w:r>
        <w:rPr>
          <w:vertAlign w:val="superscript"/>
        </w:rPr>
        <w:t>23</w:t>
      </w:r>
      <w:r>
        <w:t xml:space="preserve"> along with research from Figueiredo et al.</w:t>
      </w:r>
      <w:r>
        <w:rPr>
          <w:vertAlign w:val="superscript"/>
        </w:rPr>
        <w:t>20,21</w:t>
      </w:r>
      <w:r>
        <w:t xml:space="preserve"> suggests that ribosome biogenesis is indeed a prerequisite for RT-induced adaptations, increasing the translational capacity of the exercised skeletal muscle cells, yielding higher baseline MPS and thus hypertrophy over time. Though occuring across the age-span, the variation in ribosome biogenesis is proposed to be larger or more impactful among the elderly, substantiated by recent findings of impaired ribosome biogenesis in aging skeletal muscle</w:t>
      </w:r>
      <w:r>
        <w:rPr>
          <w:vertAlign w:val="superscript"/>
        </w:rPr>
        <w:t>15,19</w:t>
      </w:r>
      <w:r>
        <w:t>. If the ribosome biogenesis response following RT varies due to differential responsiveness between elderly, it may be sufficient to simply increase the RT volume to enhance the anabolic stimulus and thus ensure ribosome biogenesis and ultimately skeletal muscle growth. Benefits of increasing training volume was observed recently, where elderly defined as “nonresponders” experienced improved whole muscle tissue hypertrophy by exercising with a higher training volume</w:t>
      </w:r>
      <w:r>
        <w:rPr>
          <w:vertAlign w:val="superscript"/>
        </w:rPr>
        <w:t>24</w:t>
      </w:r>
      <w:r>
        <w:t>.</w:t>
      </w:r>
    </w:p>
    <w:p w14:paraId="7BF491D2" w14:textId="77777777" w:rsidR="00D34428" w:rsidRDefault="00000000" w:rsidP="006F487F">
      <w:pPr>
        <w:pStyle w:val="Brdtekst"/>
        <w:spacing w:line="360" w:lineRule="auto"/>
      </w:pPr>
      <w:r>
        <w:t>Therefore, this study aims to compare muscle mass accretion and ribosome biogenesis in healthy young and old individuals exercising with a low and a higher training volume for 12 weeks, to provide further knowledge on the effects of RT on age-related declines in muscle mass and -strength, and a possible startegy to counteract anabolic resistance. In addition, a secondary aim is to provide insight into the effects of resistance training on glucose tolerance, which is associated with age-related issues</w:t>
      </w:r>
      <w:r>
        <w:rPr>
          <w:vertAlign w:val="superscript"/>
        </w:rPr>
        <w:t>25,26</w:t>
      </w:r>
      <w:r>
        <w:t>, and for which we have scarce or conflicting knowledge</w:t>
      </w:r>
      <w:r>
        <w:rPr>
          <w:vertAlign w:val="superscript"/>
        </w:rPr>
        <w:t>27,28</w:t>
      </w:r>
      <w:r>
        <w:t xml:space="preserve"> . Together, the results of this study will provide novel insight on how to optimise RT for different phenotypes, and whether or not RT is also an effective tool to improve less explored health variables in healthy young and elderly.</w:t>
      </w:r>
    </w:p>
    <w:p w14:paraId="7BF491D3" w14:textId="77777777" w:rsidR="00D34428" w:rsidRDefault="00000000" w:rsidP="006F487F">
      <w:pPr>
        <w:pStyle w:val="Overskrift2"/>
        <w:spacing w:line="360" w:lineRule="auto"/>
      </w:pPr>
      <w:bookmarkStart w:id="1" w:name="methods"/>
      <w:r>
        <w:lastRenderedPageBreak/>
        <w:t>Methods</w:t>
      </w:r>
    </w:p>
    <w:p w14:paraId="7BF491D4" w14:textId="77777777" w:rsidR="00D34428" w:rsidRDefault="00000000" w:rsidP="006F487F">
      <w:pPr>
        <w:pStyle w:val="FirstParagraph"/>
        <w:spacing w:line="360" w:lineRule="auto"/>
      </w:pPr>
      <w:r>
        <w:t>All participants gave their written informed consent before study enrolment. The study was approved by the Regional Committee for Medical and Health Research Ethics - South-East Norway (ID nr. 255224), pre-registered at clinicaltrials.gov (Identifier: NCT05063279), and conducted according to the Helsinki Declaration.</w:t>
      </w:r>
    </w:p>
    <w:p w14:paraId="7BF491D5" w14:textId="77777777" w:rsidR="00D34428" w:rsidRDefault="00000000" w:rsidP="006F487F">
      <w:pPr>
        <w:pStyle w:val="Overskrift2"/>
        <w:spacing w:line="360" w:lineRule="auto"/>
      </w:pPr>
      <w:bookmarkStart w:id="2" w:name="participants"/>
      <w:bookmarkEnd w:id="1"/>
      <w:r>
        <w:t>Participants</w:t>
      </w:r>
    </w:p>
    <w:p w14:paraId="7BF491D6" w14:textId="77777777" w:rsidR="00D34428" w:rsidRDefault="00000000" w:rsidP="006F487F">
      <w:pPr>
        <w:pStyle w:val="FirstParagraph"/>
        <w:spacing w:line="360" w:lineRule="auto"/>
      </w:pPr>
      <w:r>
        <w:t>Thirty-two young (24 ± 3.05 years) and 48 elderly (75.5 ± 5.58 yers) were recruited to this age-stratified randomized simultaneous crossover trial. The participants were recruited through local and social media, and word of mouth. Ten of the 48 elderly were recruited to the reference group. The participants were screened with a health questionnaire, and the inclusion criteria for study enrollment were an age between 20-30 or above 70 years of age. If the participants were not able to understand Norwegian, had a dietary fibre intake above 30g/kg/day, exercised RT once a week or more and/or three endurance training session or more for the last six months, had unstable cardiovascular disease, illness or injury contradicting RT, serious mental illness or allergy to local anaesthesia, they were excluded prior to the intervention.</w:t>
      </w:r>
    </w:p>
    <w:p w14:paraId="7BF491D7" w14:textId="77777777" w:rsidR="00D34428" w:rsidRDefault="00000000" w:rsidP="006F487F">
      <w:pPr>
        <w:pStyle w:val="Overskrift2"/>
        <w:spacing w:line="360" w:lineRule="auto"/>
      </w:pPr>
      <w:bookmarkStart w:id="3" w:name="experimental-design"/>
      <w:bookmarkEnd w:id="2"/>
      <w:r>
        <w:t>Experimental design</w:t>
      </w:r>
    </w:p>
    <w:p w14:paraId="7BF491D8" w14:textId="77777777" w:rsidR="00D34428" w:rsidRDefault="00000000" w:rsidP="006F487F">
      <w:pPr>
        <w:pStyle w:val="FirstParagraph"/>
        <w:spacing w:line="360" w:lineRule="auto"/>
      </w:pPr>
      <w:r>
        <w:t xml:space="preserve">This study was conducted as a 12-week RT intervention. All the participants performed a whole-body unilateral training program, where one leg and one arm performed a low training volume and the other leg and arm performed a moderate training volume. Over 12 weeks, the participants exercised 24 training sessions in total, 2-3 sessions per week. The effects of the intervention on health variables, skeletal muscle mass and -strength were investigated at three time points: pre-intervention (week 0), halfway through the intervention (week 6) and post-intervention (week 12) (Figure 2). The effects of the intervention on biological characteristics in skeletal muscle were investigated at three time points: pre-intervention (week 1), after six training sessions (week 3) and post-intervention (week 12) (Figure 1). All tests were performed at the same time of day (+/- 2hrs), and measurement of body composition and muscle thickness (ultrasound and DXA), </w:t>
      </w:r>
      <w:r>
        <w:lastRenderedPageBreak/>
        <w:t>as well as sampling of muscle tissue and blood, was conducted in an overnight fasted state. The participants were asked to keep their habitual activity similar during the intervention on an individual basis, and to not perform any type of heavy exercise apart from the intervention.</w:t>
      </w:r>
    </w:p>
    <w:p w14:paraId="7BF491D9" w14:textId="77777777" w:rsidR="00D34428" w:rsidRDefault="00000000" w:rsidP="006F487F">
      <w:pPr>
        <w:pStyle w:val="Overskrift2"/>
        <w:spacing w:line="360" w:lineRule="auto"/>
      </w:pPr>
      <w:bookmarkStart w:id="4" w:name="resistance-training-protocol"/>
      <w:bookmarkEnd w:id="3"/>
      <w:r>
        <w:t>Resistance training protocol</w:t>
      </w:r>
    </w:p>
    <w:p w14:paraId="7BF491DA" w14:textId="77777777" w:rsidR="00D34428" w:rsidRDefault="00000000" w:rsidP="006F487F">
      <w:pPr>
        <w:pStyle w:val="FirstParagraph"/>
        <w:spacing w:line="360" w:lineRule="auto"/>
      </w:pPr>
      <w:r>
        <w:t>Resistance training was performed as a whole-body training program, consisting of 2-3 weekly training sessions. Each RT session contained three lower-body exercises (leg press, knee extension and -flexion) and three upper-body exercises (chest-press, rows and bicep curls). The low training volume condition was performed as 1 set of 10RM per exercise, and the moderate training volume condition was performed as 3 sets of 10RM per exercise. As a general warm-up, the participtans cycled on an indoor exercicse bicycle for 5-10 minutes. Before lower-body exercises the participants performed 1 set of 10 repetitions in bilateral leg press, and before upper-body exercises they performed 10 push-ups (ordinary, from the knees, against a wall etc.) as a specific warm-up. To ensure a progressive overload and subsequently adequate stimulation of the skeletal muscle, the exercise load was increased the following set if the participants lifted more than 12 repetitions, and sessions per week was increased from 2 to 3 half-way through the intervention. Resting time between each set was two minutes. All settings for the different exercise equipment (leg press, knee extension, knee flexion) were recorded at the very first session, and repeated for each session thereafter. Before the training sessions, participants registered their subjectively perceived bodily feeling (1-5 scale). After the lower-body exercises and after the upper-body exercises, the participants registered their perceived rate of exertion using a 10-point scale.  For safety and standardisation purposes, all sessions were monitored by trained personnel, also logging training volume (loads and repetitions). There were at least 1 day of rest between training sessions throughout the whole intervention.</w:t>
      </w:r>
    </w:p>
    <w:p w14:paraId="7BF491DB" w14:textId="77777777" w:rsidR="00D34428" w:rsidRDefault="00000000" w:rsidP="006F487F">
      <w:pPr>
        <w:pStyle w:val="Overskrift2"/>
        <w:spacing w:line="360" w:lineRule="auto"/>
      </w:pPr>
      <w:bookmarkStart w:id="5" w:name="sampling-of-muscle-tissue-and-blood"/>
      <w:bookmarkEnd w:id="4"/>
      <w:r>
        <w:t>Sampling of muscle tissue and blood</w:t>
      </w:r>
    </w:p>
    <w:p w14:paraId="7BF491DC" w14:textId="77777777" w:rsidR="00D34428" w:rsidRDefault="00000000" w:rsidP="006F487F">
      <w:pPr>
        <w:pStyle w:val="FirstParagraph"/>
        <w:spacing w:line="360" w:lineRule="auto"/>
      </w:pPr>
      <w:r>
        <w:t xml:space="preserve">Muscle biopsies were collected from m. vastus lateralis. The biopsies were sampled under antiseptic and anesthetized conditions (Lidokain 10 mg ml-1, Mylan Hospital AS, Oslo </w:t>
      </w:r>
      <w:r>
        <w:lastRenderedPageBreak/>
        <w:t>Norway), using the well-established, minimally invasive micro-biopsy technique</w:t>
      </w:r>
      <w:r>
        <w:rPr>
          <w:vertAlign w:val="superscript"/>
        </w:rPr>
        <w:t>22</w:t>
      </w:r>
      <w:r>
        <w:t>, using a 12-14 gauge needle (Universal Plus, Mermaid medical A/S, Stenløse, Denmark) operated with a spring loaded biopsy gun (Bard Magnum, Bard Norway A/S, Oslo, Norway). Subsequent to muscle sampling, biopsies were divided into aliquots for determination of total RNA/targeted mRNA abundances (qPCR/RNA-seq), protein abundances (Western Blotting/Mass spec), genome characteristics such as nucleotide, DNA methylation/histone modifications and rDNA copy number (qPCR/bisulphite qPCR/sequencing), metabolimics/lipidomics (mass spec), and muscle fiber characteristics (immunohistochemistry) (Comment: Will be adjusted to what we have time for). At week 3 and 12 measurements, there were 48 hours between the previous training session and biopsy sampling. Blood was collected coinciding with the time points of the muscle biopsies, from an antecubital vein, using standard blood sampling equipment, performed by experienced personnel. At pre- and post-intervention, blood was also collected 1hr after ingestion of a 75g bolus of glucose, with concomitant blood sampling using finger draws before ingestion of glucose, and then 15, 30, 45, 60, 90 and 120 minutes after glucose ingestion. The finger draws were measured with in-house equipment (BIOSEN C-Line, EKF diagnostic GmbH, Barleben).</w:t>
      </w:r>
    </w:p>
    <w:p w14:paraId="7BF491DD" w14:textId="77777777" w:rsidR="00D34428" w:rsidRDefault="00000000" w:rsidP="006F487F">
      <w:pPr>
        <w:pStyle w:val="Overskrift2"/>
        <w:spacing w:line="360" w:lineRule="auto"/>
      </w:pPr>
      <w:bookmarkStart w:id="6" w:name="assessment-of-muscular-strength"/>
      <w:bookmarkEnd w:id="5"/>
      <w:r>
        <w:t>Assessment of muscular strength</w:t>
      </w:r>
    </w:p>
    <w:p w14:paraId="7BF491DE" w14:textId="77777777" w:rsidR="00D34428" w:rsidRDefault="00000000" w:rsidP="006F487F">
      <w:pPr>
        <w:pStyle w:val="FirstParagraph"/>
        <w:spacing w:line="360" w:lineRule="auto"/>
      </w:pPr>
      <w:r>
        <w:t>Skeletal muscle strength was assessed with unilateral knee extension torque (legs), unilateral 1RM leg press, unilateral 10-repetition power test and unilateral isometric bicep curl force. All of these tests were performed on the same day, in a fixed order (knee extension torque/force, 1RM leg press, 10-rep power test, isometric bicep curl). Before knee extension torque measurement, the participants used an indoor bicycle as a general warm-up. At each time point (pre, halfway, post), muscle strength was assesed twice, on two separate days. During pre-testing, the first of these two testing days represented familiarisation. The settings for the different testing equipment were recorded during familiarisation, and repeated for each consecutive test. For each separate test (i.e., knee extension torque, 1RM, 10-repetition power, isometric bicep curl force), the right side completed the test protocol first. The participants had at least 1 whole day of rest between the previous training session and assessment of muscular strength.</w:t>
      </w:r>
    </w:p>
    <w:p w14:paraId="7BF491DF" w14:textId="77777777" w:rsidR="00D34428" w:rsidRDefault="00000000" w:rsidP="006F487F">
      <w:pPr>
        <w:pStyle w:val="Brdtekst"/>
        <w:spacing w:line="360" w:lineRule="auto"/>
      </w:pPr>
      <w:r>
        <w:rPr>
          <w:i/>
          <w:iCs/>
        </w:rPr>
        <w:lastRenderedPageBreak/>
        <w:t>Knee extension torque</w:t>
      </w:r>
      <w:r>
        <w:t xml:space="preserve"> Maximal isometric and isokinetic knee extension torque were measured with a Humac Norm Dynamometer (CSMi, Stoughton, Massachusetts, USA). Isokinetic peak torque was measured concentrically from 90 to 0 degrees knee angle (extended knee was set to 0 degrees) at angular velocities of 60-, 120- and 240 degrees per second, 2x3 repetitions each, with the first set of each exercise as a sub-maximal warm-up. Isometric knee extensor peak torque was measured at a knee angle of 60 degrees, for a maximum of 10 seconds and two repetitions per test. The isometric tests were concluded when the participants reached a plateau or peak torque development decreased, which on average occurred between 2-4 seconds into the test. Between sets of the same angular velocity the resting time was 30 seconds, and between angular velocities (i.e. from 60- to 120 degrees per second) the resting time was 1 minute.</w:t>
      </w:r>
    </w:p>
    <w:p w14:paraId="7BF491E0" w14:textId="77777777" w:rsidR="00D34428" w:rsidRDefault="00000000" w:rsidP="006F487F">
      <w:pPr>
        <w:pStyle w:val="Brdtekst"/>
        <w:spacing w:line="360" w:lineRule="auto"/>
      </w:pPr>
      <w:r>
        <w:rPr>
          <w:i/>
          <w:iCs/>
        </w:rPr>
        <w:t>One repetition maximum and power</w:t>
      </w:r>
      <w:r>
        <w:t xml:space="preserve"> The 1RM test and 10-repetitions power test were measured with a Keiser AIR300 Leg press (Keiser Corporation, Fresno, USA). As a specific warm-up, the participants performed 4 repetitions at ~50% of 1RM. Maximal one repetition leg press strength was defined as the maximal load lifted in a controlled fashion, starting from a knee angle of 90 degrees, within 5kg. From the ~50% of 1RM warm-up, the load was increased at most by increments between 10-40kg for the initial attempts, and at least between 5-10kg when the participants signified being near their maximal effort. Resting time between 1RM attempts was 30 seconds.</w:t>
      </w:r>
    </w:p>
    <w:p w14:paraId="7BF491E1" w14:textId="77777777" w:rsidR="00D34428" w:rsidRDefault="00000000" w:rsidP="006F487F">
      <w:pPr>
        <w:pStyle w:val="Brdtekst"/>
        <w:spacing w:line="360" w:lineRule="auto"/>
      </w:pPr>
      <w:r>
        <w:rPr>
          <w:i/>
          <w:iCs/>
        </w:rPr>
        <w:t>Maximal isometric bicep curl</w:t>
      </w:r>
      <w:r>
        <w:t xml:space="preserve"> Maximal isometric force of the bicep muscle was measured with a MuscleLab force sensor (Ergotest Innovation AS, Stathelle, Norway), at a fixed elbow angle of 90 degrees. The participants were given one warm-up attempt per arm, and two attempts to perform their maximal force development in the bicep exercise. The isometric tests were concluded when the participants reached a plateau, peak torque development decreased (which on average occurred between 2-4 seconds into the test), or after 10 seconds.</w:t>
      </w:r>
    </w:p>
    <w:p w14:paraId="5126FB4F" w14:textId="77777777" w:rsidR="006F487F" w:rsidRDefault="006F487F" w:rsidP="006F487F">
      <w:pPr>
        <w:pStyle w:val="Brdtekst"/>
        <w:spacing w:line="360" w:lineRule="auto"/>
      </w:pPr>
    </w:p>
    <w:p w14:paraId="7BF491E2" w14:textId="77777777" w:rsidR="00D34428" w:rsidRDefault="00000000" w:rsidP="006F487F">
      <w:pPr>
        <w:pStyle w:val="Overskrift2"/>
        <w:spacing w:line="360" w:lineRule="auto"/>
      </w:pPr>
      <w:bookmarkStart w:id="7" w:name="measurement-of-body-mass-composition"/>
      <w:bookmarkEnd w:id="6"/>
      <w:r>
        <w:lastRenderedPageBreak/>
        <w:t>Measurement of body mass composition</w:t>
      </w:r>
    </w:p>
    <w:p w14:paraId="7BF491E3" w14:textId="77777777" w:rsidR="00D34428" w:rsidRDefault="00000000" w:rsidP="006F487F">
      <w:pPr>
        <w:pStyle w:val="FirstParagraph"/>
        <w:spacing w:line="360" w:lineRule="auto"/>
      </w:pPr>
      <w:r>
        <w:t>Body mass composition, muscle thickness and CSA was determined using dual-energy x-ray absorptiometry (DXA), ultrasound, and magnetic resonance imaging (MRI), respectively. DXA scans were conducted according to the manufacturer’s standard protocol, and care was taken to match the region of interest on pre and post images. MRI was measured at Revmatismesykehuset (at Inland Hospital) in a non-fasted state at the same time of day (+/- 2hrs), in accordance with the manufacturer’s protocol (S-Scan, Esaote Europe B.V., Maastricht, the Netherlands). Muscle thickness of m. vastus lateralis and m. rectus femoris were measured using B-mode ultrasonography (SmartUs EXT-1 M, Telemed, Vilnius, Lithuania) with a 39 mm 12 MHz, linear array probe. Transverse images were obtained ~60% distally from the trochanter major towards the femoral lateral epicondyle. Three images were captured for each muscle at each time point, where the probe was relocated to the same position between each image. The position of the probe was marked on the skin and subsequently marked on a soft transparent plastic sheet superimposed on the thigh. Landmarks such as moles and scars were also marked on the plastic sheet for relocation of the scanned areas during post-training measurements. During analysis, pre and post images from the same participant were analysed consecutively using the Fiji software [SOURCE]. The average muscle thickness of the three images captured per muscle per time point was used for further analyses.</w:t>
      </w:r>
    </w:p>
    <w:p w14:paraId="7BF491E4" w14:textId="77777777" w:rsidR="00D34428" w:rsidRDefault="00000000" w:rsidP="006F487F">
      <w:pPr>
        <w:pStyle w:val="Overskrift2"/>
        <w:spacing w:line="360" w:lineRule="auto"/>
      </w:pPr>
      <w:bookmarkStart w:id="8" w:name="total-rna-extraction"/>
      <w:bookmarkEnd w:id="7"/>
      <w:r>
        <w:t>Total RNA extraction</w:t>
      </w:r>
    </w:p>
    <w:p w14:paraId="7BF491E5" w14:textId="77777777" w:rsidR="00D34428" w:rsidRDefault="00000000" w:rsidP="006F487F">
      <w:pPr>
        <w:pStyle w:val="FirstParagraph"/>
        <w:spacing w:line="360" w:lineRule="auto"/>
      </w:pPr>
      <w:r>
        <w:t>Total RNA was extracted using TRIzol from muscle tissue homogenised using 0.5mm RNase-free Zirconium beads (~50 ul; Next Advanced, Averill Park, NY, USA) and mechanical agitation (Bullet Blender, Next Advanced, Averill Park, NY, USA). Chloroform (Sigma-Aldrich, Oslo, Norway) was used for phase separation, and the RNA pellet was precipitated with isopropanol (VWR International, Oslo, Norway). To enable analysis of target gene expression per unit tissue weight</w:t>
      </w:r>
      <w:r>
        <w:rPr>
          <w:vertAlign w:val="superscript"/>
        </w:rPr>
        <w:t>29,30</w:t>
      </w:r>
      <w:r>
        <w:t>, an exogenous RNA control (Lambda, λ polyA External Standard Kit, Takara Bio Inc., Shiga, Japan) was added at a fixed amount to each sample (0.04 ng ml</w:t>
      </w:r>
      <w:r>
        <w:rPr>
          <w:vertAlign w:val="superscript"/>
        </w:rPr>
        <w:t>-1</w:t>
      </w:r>
      <w:r>
        <w:t xml:space="preserve"> of TRIzol reagent). For assessment of RNA content and purity, RNA was eluted in TE buffer (1:2) and assessed via spectrophotometry. All samples had a 260 nm to 280 nm </w:t>
      </w:r>
      <w:r>
        <w:lastRenderedPageBreak/>
        <w:t xml:space="preserve">ratio &gt; 1.9 (Adjust). The RNA stock was stored at -80°C until further analyses. Before quantitative analyses of total RNA, samples with known loss of RNA during extraction (n = ..) or a deviation from the observed RNA to muscle tissue weight relationship larger than 3 </w:t>
      </w:r>
      <m:oMath>
        <m:r>
          <m:rPr>
            <m:sty m:val="p"/>
          </m:rPr>
          <w:rPr>
            <w:rFonts w:ascii="Cambria Math" w:hAnsi="Cambria Math"/>
          </w:rPr>
          <m:t>×</m:t>
        </m:r>
      </m:oMath>
      <w:r>
        <w:t xml:space="preserve"> (Adjust) residual SD while accounting for training status (n = ..) were removed from the data set. Total RNA was normalised to wet muscle weight and log transformed before statistical analyses. </w:t>
      </w:r>
    </w:p>
    <w:p w14:paraId="6DD9D684" w14:textId="77777777" w:rsidR="006F487F" w:rsidRDefault="006F487F" w:rsidP="006F487F">
      <w:pPr>
        <w:pStyle w:val="Brdtekst"/>
      </w:pPr>
    </w:p>
    <w:p w14:paraId="0C34B203" w14:textId="77777777" w:rsidR="006F487F" w:rsidRDefault="006F487F" w:rsidP="006F487F">
      <w:pPr>
        <w:pStyle w:val="Brdtekst"/>
      </w:pPr>
    </w:p>
    <w:p w14:paraId="7917FDD6" w14:textId="77777777" w:rsidR="006F487F" w:rsidRDefault="006F487F" w:rsidP="006F487F">
      <w:pPr>
        <w:pStyle w:val="Brdtekst"/>
      </w:pPr>
    </w:p>
    <w:p w14:paraId="67F72900" w14:textId="77777777" w:rsidR="006F487F" w:rsidRDefault="006F487F" w:rsidP="006F487F">
      <w:pPr>
        <w:pStyle w:val="Brdtekst"/>
      </w:pPr>
    </w:p>
    <w:p w14:paraId="0A721DAD" w14:textId="77777777" w:rsidR="006F487F" w:rsidRDefault="006F487F" w:rsidP="006F487F">
      <w:pPr>
        <w:pStyle w:val="Brdtekst"/>
      </w:pPr>
    </w:p>
    <w:p w14:paraId="6E14CD06" w14:textId="77777777" w:rsidR="006F487F" w:rsidRDefault="006F487F" w:rsidP="006F487F">
      <w:pPr>
        <w:pStyle w:val="Brdtekst"/>
      </w:pPr>
    </w:p>
    <w:p w14:paraId="76D03249" w14:textId="77777777" w:rsidR="006F487F" w:rsidRDefault="006F487F" w:rsidP="006F487F">
      <w:pPr>
        <w:pStyle w:val="Brdtekst"/>
      </w:pPr>
    </w:p>
    <w:p w14:paraId="1D568ECE" w14:textId="77777777" w:rsidR="006F487F" w:rsidRDefault="006F487F" w:rsidP="006F487F">
      <w:pPr>
        <w:pStyle w:val="Brdtekst"/>
      </w:pPr>
    </w:p>
    <w:p w14:paraId="5A2B3DB1" w14:textId="77777777" w:rsidR="006F487F" w:rsidRDefault="006F487F" w:rsidP="006F487F">
      <w:pPr>
        <w:pStyle w:val="Brdtekst"/>
      </w:pPr>
    </w:p>
    <w:p w14:paraId="4711E821" w14:textId="77777777" w:rsidR="006F487F" w:rsidRDefault="006F487F" w:rsidP="006F487F">
      <w:pPr>
        <w:pStyle w:val="Brdtekst"/>
      </w:pPr>
    </w:p>
    <w:p w14:paraId="0D5EFFF4" w14:textId="77777777" w:rsidR="006F487F" w:rsidRDefault="006F487F" w:rsidP="006F487F">
      <w:pPr>
        <w:pStyle w:val="Brdtekst"/>
      </w:pPr>
    </w:p>
    <w:p w14:paraId="796B8E53" w14:textId="77777777" w:rsidR="006F487F" w:rsidRDefault="006F487F" w:rsidP="006F487F">
      <w:pPr>
        <w:pStyle w:val="Brdtekst"/>
      </w:pPr>
    </w:p>
    <w:p w14:paraId="49921C2E" w14:textId="77777777" w:rsidR="006F487F" w:rsidRDefault="006F487F" w:rsidP="006F487F">
      <w:pPr>
        <w:pStyle w:val="Brdtekst"/>
      </w:pPr>
    </w:p>
    <w:p w14:paraId="6EA98248" w14:textId="77777777" w:rsidR="006F487F" w:rsidRDefault="006F487F" w:rsidP="006F487F">
      <w:pPr>
        <w:pStyle w:val="Brdtekst"/>
      </w:pPr>
    </w:p>
    <w:p w14:paraId="3642BF0D" w14:textId="77777777" w:rsidR="006F487F" w:rsidRDefault="006F487F" w:rsidP="006F487F">
      <w:pPr>
        <w:pStyle w:val="Brdtekst"/>
      </w:pPr>
    </w:p>
    <w:p w14:paraId="07F7FBB3" w14:textId="77777777" w:rsidR="006F487F" w:rsidRDefault="006F487F" w:rsidP="006F487F">
      <w:pPr>
        <w:pStyle w:val="Brdtekst"/>
      </w:pPr>
    </w:p>
    <w:p w14:paraId="7E061FF9" w14:textId="77777777" w:rsidR="006F487F" w:rsidRDefault="006F487F" w:rsidP="006F487F">
      <w:pPr>
        <w:pStyle w:val="Brdtekst"/>
      </w:pPr>
    </w:p>
    <w:p w14:paraId="1B0E4BFF" w14:textId="77777777" w:rsidR="006F487F" w:rsidRPr="006F487F" w:rsidRDefault="006F487F" w:rsidP="006F487F">
      <w:pPr>
        <w:pStyle w:val="Brdtekst"/>
      </w:pPr>
    </w:p>
    <w:p w14:paraId="7BF491E6" w14:textId="77777777" w:rsidR="00D34428" w:rsidRDefault="00000000" w:rsidP="006F487F">
      <w:pPr>
        <w:pStyle w:val="Overskrift1"/>
        <w:spacing w:line="360" w:lineRule="auto"/>
      </w:pPr>
      <w:bookmarkStart w:id="9" w:name="references"/>
      <w:bookmarkEnd w:id="0"/>
      <w:bookmarkEnd w:id="8"/>
      <w:r>
        <w:lastRenderedPageBreak/>
        <w:t>References</w:t>
      </w:r>
    </w:p>
    <w:p w14:paraId="7BF491E7" w14:textId="77777777" w:rsidR="00D34428" w:rsidRDefault="00000000" w:rsidP="006F487F">
      <w:pPr>
        <w:pStyle w:val="Bibliografi"/>
        <w:spacing w:line="360" w:lineRule="auto"/>
      </w:pPr>
      <w:bookmarkStart w:id="10" w:name="ref-fragala_resistance_2019"/>
      <w:bookmarkStart w:id="11" w:name="refs"/>
      <w:r>
        <w:t xml:space="preserve">1 </w:t>
      </w:r>
      <w:r>
        <w:tab/>
        <w:t xml:space="preserve">Fragala MS, Cadore EL, Dorgo S et al. </w:t>
      </w:r>
      <w:hyperlink r:id="rId7">
        <w:r>
          <w:rPr>
            <w:rStyle w:val="Hyperkobling"/>
          </w:rPr>
          <w:t>Resistance Training for Older Adults: Position Statement From the National Strength and Conditioning Association</w:t>
        </w:r>
      </w:hyperlink>
      <w:r>
        <w:t xml:space="preserve">. </w:t>
      </w:r>
      <w:r>
        <w:rPr>
          <w:i/>
          <w:iCs/>
        </w:rPr>
        <w:t>Journal of Strength and Conditioning Research</w:t>
      </w:r>
      <w:r>
        <w:t>. 2019;33(8):2019–2052.</w:t>
      </w:r>
    </w:p>
    <w:p w14:paraId="7BF491E8" w14:textId="77777777" w:rsidR="00D34428" w:rsidRDefault="00000000" w:rsidP="006F487F">
      <w:pPr>
        <w:pStyle w:val="Bibliografi"/>
        <w:spacing w:line="360" w:lineRule="auto"/>
      </w:pPr>
      <w:bookmarkStart w:id="12" w:name="ref-timmons_molecular_2016"/>
      <w:bookmarkEnd w:id="10"/>
      <w:r>
        <w:t xml:space="preserve">2 </w:t>
      </w:r>
      <w:r>
        <w:tab/>
        <w:t xml:space="preserve">Timmons JA, Gallagher IJ. </w:t>
      </w:r>
      <w:hyperlink r:id="rId8">
        <w:r>
          <w:rPr>
            <w:rStyle w:val="Hyperkobling"/>
          </w:rPr>
          <w:t>Molecular studies of exercise, skeletal muscle, and ageing</w:t>
        </w:r>
      </w:hyperlink>
      <w:r>
        <w:t xml:space="preserve">. </w:t>
      </w:r>
      <w:r>
        <w:rPr>
          <w:i/>
          <w:iCs/>
        </w:rPr>
        <w:t>F1000Research</w:t>
      </w:r>
      <w:r>
        <w:t>. 2016;5:1087.</w:t>
      </w:r>
    </w:p>
    <w:p w14:paraId="7BF491E9" w14:textId="77777777" w:rsidR="00D34428" w:rsidRDefault="00000000" w:rsidP="006F487F">
      <w:pPr>
        <w:pStyle w:val="Bibliografi"/>
        <w:spacing w:line="360" w:lineRule="auto"/>
      </w:pPr>
      <w:bookmarkStart w:id="13" w:name="ref-li_associations_2018"/>
      <w:bookmarkEnd w:id="12"/>
      <w:r>
        <w:t xml:space="preserve">3 </w:t>
      </w:r>
      <w:r>
        <w:tab/>
        <w:t xml:space="preserve">Li R, Xia J, Zhang X et al. </w:t>
      </w:r>
      <w:hyperlink r:id="rId9">
        <w:r>
          <w:rPr>
            <w:rStyle w:val="Hyperkobling"/>
          </w:rPr>
          <w:t>Associations of Muscle Mass and Strength with All-Cause Mortality among US Older Adults</w:t>
        </w:r>
      </w:hyperlink>
      <w:r>
        <w:t xml:space="preserve">. </w:t>
      </w:r>
      <w:r>
        <w:rPr>
          <w:i/>
          <w:iCs/>
        </w:rPr>
        <w:t>Medicine &amp; Science in Sports &amp; Exercise</w:t>
      </w:r>
      <w:r>
        <w:t>. 2018;50(3):458–467.</w:t>
      </w:r>
    </w:p>
    <w:p w14:paraId="7BF491EA" w14:textId="77777777" w:rsidR="00D34428" w:rsidRDefault="00000000" w:rsidP="006F487F">
      <w:pPr>
        <w:pStyle w:val="Bibliografi"/>
        <w:spacing w:line="360" w:lineRule="auto"/>
      </w:pPr>
      <w:bookmarkStart w:id="14" w:name="ref-scheerman_sarcopenia_2021"/>
      <w:bookmarkEnd w:id="13"/>
      <w:r>
        <w:t xml:space="preserve">4 </w:t>
      </w:r>
      <w:r>
        <w:tab/>
        <w:t xml:space="preserve">Scheerman K, Meskers CGM, Verlaan S, Maier AB. </w:t>
      </w:r>
      <w:hyperlink r:id="rId10">
        <w:r>
          <w:rPr>
            <w:rStyle w:val="Hyperkobling"/>
          </w:rPr>
          <w:t>Sarcopenia, Low Handgrip Strength, and Low Absolute Muscle Mass Predict Long-Term Mortality in Older Hospitalized Patients: An Observational Inception Cohort Study</w:t>
        </w:r>
      </w:hyperlink>
      <w:r>
        <w:t xml:space="preserve">. </w:t>
      </w:r>
      <w:r>
        <w:rPr>
          <w:i/>
          <w:iCs/>
        </w:rPr>
        <w:t>Journal of the American Medical Directors Association</w:t>
      </w:r>
      <w:r>
        <w:t>. 2021;22(4):816–820.e2.</w:t>
      </w:r>
    </w:p>
    <w:p w14:paraId="7BF491EB" w14:textId="77777777" w:rsidR="00D34428" w:rsidRDefault="00000000" w:rsidP="006F487F">
      <w:pPr>
        <w:pStyle w:val="Bibliografi"/>
        <w:spacing w:line="360" w:lineRule="auto"/>
      </w:pPr>
      <w:bookmarkStart w:id="15" w:name="ref-chen_is_2023"/>
      <w:bookmarkEnd w:id="14"/>
      <w:r>
        <w:t xml:space="preserve">5 </w:t>
      </w:r>
      <w:r>
        <w:tab/>
        <w:t xml:space="preserve">Chen YC, Chen W-C, Liu C-W et al. </w:t>
      </w:r>
      <w:hyperlink r:id="rId11">
        <w:r>
          <w:rPr>
            <w:rStyle w:val="Hyperkobling"/>
          </w:rPr>
          <w:t>Is moderate resistance training adequate for older adults with sarcopenia? A systematic review and network meta-analysis of RCTs</w:t>
        </w:r>
      </w:hyperlink>
      <w:r>
        <w:t xml:space="preserve">. </w:t>
      </w:r>
      <w:r>
        <w:rPr>
          <w:i/>
          <w:iCs/>
        </w:rPr>
        <w:t>European Review of Aging and Physical Activity</w:t>
      </w:r>
      <w:r>
        <w:t>. 2023;20(1):22.</w:t>
      </w:r>
    </w:p>
    <w:p w14:paraId="7BF491EC" w14:textId="77777777" w:rsidR="00D34428" w:rsidRDefault="00000000" w:rsidP="006F487F">
      <w:pPr>
        <w:pStyle w:val="Bibliografi"/>
        <w:spacing w:line="360" w:lineRule="auto"/>
      </w:pPr>
      <w:bookmarkStart w:id="16" w:name="ref-hamarsland_native_2019"/>
      <w:bookmarkEnd w:id="15"/>
      <w:r>
        <w:t xml:space="preserve">6 </w:t>
      </w:r>
      <w:r>
        <w:tab/>
        <w:t xml:space="preserve">Hamarsland H, Johansen MK, Seeberg F et al. </w:t>
      </w:r>
      <w:hyperlink r:id="rId12">
        <w:r>
          <w:rPr>
            <w:rStyle w:val="Hyperkobling"/>
          </w:rPr>
          <w:t>Native Whey Induces Similar Adaptation to Strength Training as Milk, despite Higher Levels of Leucine, in Elderly Individuals</w:t>
        </w:r>
      </w:hyperlink>
      <w:r>
        <w:t xml:space="preserve">. </w:t>
      </w:r>
      <w:r>
        <w:rPr>
          <w:i/>
          <w:iCs/>
        </w:rPr>
        <w:t>Nutrients</w:t>
      </w:r>
      <w:r>
        <w:t>. 2019;11(9):2094.</w:t>
      </w:r>
    </w:p>
    <w:p w14:paraId="7BF491ED" w14:textId="77777777" w:rsidR="00D34428" w:rsidRDefault="00000000" w:rsidP="006F487F">
      <w:pPr>
        <w:pStyle w:val="Bibliografi"/>
        <w:spacing w:line="360" w:lineRule="auto"/>
      </w:pPr>
      <w:bookmarkStart w:id="17" w:name="ref-marzuca-nassr_muscle_2024"/>
      <w:bookmarkEnd w:id="16"/>
      <w:r>
        <w:t xml:space="preserve">7 </w:t>
      </w:r>
      <w:r>
        <w:tab/>
        <w:t xml:space="preserve">Marzuca-Nassr GN, Alegría-Molina A, SanMartín-Calísto Y et al. </w:t>
      </w:r>
      <w:hyperlink r:id="rId13">
        <w:r>
          <w:rPr>
            <w:rStyle w:val="Hyperkobling"/>
          </w:rPr>
          <w:t>Muscle Mass and Strength Gains Following Resistance Exercise Training in Older Adults 65–75 Years and Older Adults Above 85 Years</w:t>
        </w:r>
      </w:hyperlink>
      <w:r>
        <w:t xml:space="preserve">. </w:t>
      </w:r>
      <w:r>
        <w:rPr>
          <w:i/>
          <w:iCs/>
        </w:rPr>
        <w:t>International Journal of Sport Nutrition and Exercise Metabolism</w:t>
      </w:r>
      <w:r>
        <w:t>. 2024;34(1):11–19.</w:t>
      </w:r>
    </w:p>
    <w:p w14:paraId="7BF491EE" w14:textId="77777777" w:rsidR="00D34428" w:rsidRDefault="00000000" w:rsidP="006F487F">
      <w:pPr>
        <w:pStyle w:val="Bibliografi"/>
        <w:spacing w:line="360" w:lineRule="auto"/>
      </w:pPr>
      <w:bookmarkStart w:id="18" w:name="ref-paulussen_anabolic_2021"/>
      <w:bookmarkEnd w:id="17"/>
      <w:r>
        <w:t xml:space="preserve">8 </w:t>
      </w:r>
      <w:r>
        <w:tab/>
        <w:t xml:space="preserve">Paulussen KJM, McKenna CF, Beals JW, Wilund KR, Salvador AF, Burd NA. </w:t>
      </w:r>
      <w:hyperlink r:id="rId14">
        <w:r>
          <w:rPr>
            <w:rStyle w:val="Hyperkobling"/>
          </w:rPr>
          <w:t>Anabolic Resistance of Muscle Protein Turnover Comes in Various Shapes and Sizes</w:t>
        </w:r>
      </w:hyperlink>
      <w:r>
        <w:t xml:space="preserve">. </w:t>
      </w:r>
      <w:r>
        <w:rPr>
          <w:i/>
          <w:iCs/>
        </w:rPr>
        <w:t>Frontiers in Nutrition</w:t>
      </w:r>
      <w:r>
        <w:t>. 2021;8:615849.</w:t>
      </w:r>
    </w:p>
    <w:p w14:paraId="7BF491EF" w14:textId="77777777" w:rsidR="00D34428" w:rsidRDefault="00000000" w:rsidP="006F487F">
      <w:pPr>
        <w:pStyle w:val="Bibliografi"/>
        <w:spacing w:line="360" w:lineRule="auto"/>
      </w:pPr>
      <w:bookmarkStart w:id="19" w:name="ref-bamman_cluster_2007"/>
      <w:bookmarkEnd w:id="18"/>
      <w:r>
        <w:lastRenderedPageBreak/>
        <w:t xml:space="preserve">9 </w:t>
      </w:r>
      <w:r>
        <w:tab/>
        <w:t xml:space="preserve">Bamman MM, Petrella JK, Kim J, Mayhew DL, Cross JM. </w:t>
      </w:r>
      <w:hyperlink r:id="rId15">
        <w:r>
          <w:rPr>
            <w:rStyle w:val="Hyperkobling"/>
          </w:rPr>
          <w:t>Cluster analysis tests the importance of myogenic gene expression during myofiber hypertrophy in humans</w:t>
        </w:r>
      </w:hyperlink>
      <w:r>
        <w:t xml:space="preserve">. </w:t>
      </w:r>
      <w:r>
        <w:rPr>
          <w:i/>
          <w:iCs/>
        </w:rPr>
        <w:t>Journal of Applied Physiology</w:t>
      </w:r>
      <w:r>
        <w:t>. 2007;102(6):2232–2239.</w:t>
      </w:r>
    </w:p>
    <w:p w14:paraId="7BF491F0" w14:textId="77777777" w:rsidR="00D34428" w:rsidRDefault="00000000" w:rsidP="006F487F">
      <w:pPr>
        <w:pStyle w:val="Bibliografi"/>
        <w:spacing w:line="360" w:lineRule="auto"/>
      </w:pPr>
      <w:bookmarkStart w:id="20" w:name="ref-hammarstrom_benefits_2020-1"/>
      <w:bookmarkEnd w:id="19"/>
      <w:r>
        <w:t xml:space="preserve">10 </w:t>
      </w:r>
      <w:r>
        <w:tab/>
        <w:t xml:space="preserve">Hammarström D, Øfsteng S, Koll L et al. </w:t>
      </w:r>
      <w:hyperlink r:id="rId16">
        <w:r>
          <w:rPr>
            <w:rStyle w:val="Hyperkobling"/>
          </w:rPr>
          <w:t>Benefits of higher resistance‐training volume are related to ribosome biogenesis</w:t>
        </w:r>
      </w:hyperlink>
      <w:r>
        <w:t xml:space="preserve">. </w:t>
      </w:r>
      <w:r>
        <w:rPr>
          <w:i/>
          <w:iCs/>
        </w:rPr>
        <w:t>The Journal of Physiology</w:t>
      </w:r>
      <w:r>
        <w:t>. 2020;598(3):543–565.</w:t>
      </w:r>
    </w:p>
    <w:p w14:paraId="7BF491F1" w14:textId="77777777" w:rsidR="00D34428" w:rsidRDefault="00000000" w:rsidP="006F487F">
      <w:pPr>
        <w:pStyle w:val="Bibliografi"/>
        <w:spacing w:line="360" w:lineRule="auto"/>
      </w:pPr>
      <w:bookmarkStart w:id="21" w:name="ref-hubal_variability_2005"/>
      <w:bookmarkEnd w:id="20"/>
      <w:r>
        <w:t xml:space="preserve">11 </w:t>
      </w:r>
      <w:r>
        <w:tab/>
        <w:t xml:space="preserve">Hubal MJ, Gordish-Dressman H, Thompson PD et al. Variability in Muscle Size and Strength Gain after Unilateral Resistance Training. </w:t>
      </w:r>
      <w:r>
        <w:rPr>
          <w:i/>
          <w:iCs/>
        </w:rPr>
        <w:t>Medicine &amp; Science in Sports &amp; Exercise</w:t>
      </w:r>
      <w:r>
        <w:t>. 2005;37(6):964–972.</w:t>
      </w:r>
    </w:p>
    <w:p w14:paraId="7BF491F2" w14:textId="77777777" w:rsidR="00D34428" w:rsidRDefault="00000000" w:rsidP="006F487F">
      <w:pPr>
        <w:pStyle w:val="Bibliografi"/>
        <w:spacing w:line="360" w:lineRule="auto"/>
      </w:pPr>
      <w:bookmarkStart w:id="22" w:name="ref-stec_effects_2015"/>
      <w:bookmarkEnd w:id="21"/>
      <w:r>
        <w:t xml:space="preserve">12 </w:t>
      </w:r>
      <w:r>
        <w:tab/>
        <w:t xml:space="preserve">Stec MJ, Mayhew DL, Bamman MM. </w:t>
      </w:r>
      <w:hyperlink r:id="rId17">
        <w:r>
          <w:rPr>
            <w:rStyle w:val="Hyperkobling"/>
          </w:rPr>
          <w:t>The effects of age and resistance loading on skeletal muscle ribosome biogenesis</w:t>
        </w:r>
      </w:hyperlink>
      <w:r>
        <w:t xml:space="preserve">. </w:t>
      </w:r>
      <w:r>
        <w:rPr>
          <w:i/>
          <w:iCs/>
        </w:rPr>
        <w:t>Journal of Applied Physiology</w:t>
      </w:r>
      <w:r>
        <w:t>. 2015;119(8):851–857.</w:t>
      </w:r>
    </w:p>
    <w:p w14:paraId="7BF491F3" w14:textId="77777777" w:rsidR="00D34428" w:rsidRDefault="00000000" w:rsidP="006F487F">
      <w:pPr>
        <w:pStyle w:val="Bibliografi"/>
        <w:spacing w:line="360" w:lineRule="auto"/>
      </w:pPr>
      <w:bookmarkStart w:id="23" w:name="ref-stec_ribosome_2016-1"/>
      <w:bookmarkEnd w:id="22"/>
      <w:r>
        <w:t xml:space="preserve">13 </w:t>
      </w:r>
      <w:r>
        <w:tab/>
        <w:t xml:space="preserve">Stec MJ, Kelly NA, Many GM, Windham ST, Tuggle SC, Bamman MM. </w:t>
      </w:r>
      <w:hyperlink r:id="rId18">
        <w:r>
          <w:rPr>
            <w:rStyle w:val="Hyperkobling"/>
          </w:rPr>
          <w:t>Ribosome biogenesis may augment resistance training-induced myofiber hypertrophy and is required for myotube growth in vitro</w:t>
        </w:r>
      </w:hyperlink>
      <w:r>
        <w:t xml:space="preserve">. </w:t>
      </w:r>
      <w:r>
        <w:rPr>
          <w:i/>
          <w:iCs/>
        </w:rPr>
        <w:t>American Journal of Physiology-Endocrinology and Metabolism</w:t>
      </w:r>
      <w:r>
        <w:t>. 2016;310(8):E652–E661.</w:t>
      </w:r>
    </w:p>
    <w:p w14:paraId="7BF491F4" w14:textId="77777777" w:rsidR="00D34428" w:rsidRDefault="00000000" w:rsidP="006F487F">
      <w:pPr>
        <w:pStyle w:val="Bibliografi"/>
        <w:spacing w:line="360" w:lineRule="auto"/>
      </w:pPr>
      <w:bookmarkStart w:id="24" w:name="ref-timmons_variability_2011"/>
      <w:bookmarkEnd w:id="23"/>
      <w:r>
        <w:t xml:space="preserve">14 </w:t>
      </w:r>
      <w:r>
        <w:tab/>
        <w:t xml:space="preserve">Timmons JA. </w:t>
      </w:r>
      <w:hyperlink r:id="rId19">
        <w:r>
          <w:rPr>
            <w:rStyle w:val="Hyperkobling"/>
          </w:rPr>
          <w:t>Variability in training-induced skeletal muscle adaptation</w:t>
        </w:r>
      </w:hyperlink>
      <w:r>
        <w:t xml:space="preserve">. </w:t>
      </w:r>
      <w:r>
        <w:rPr>
          <w:i/>
          <w:iCs/>
        </w:rPr>
        <w:t>Journal of Applied Physiology</w:t>
      </w:r>
      <w:r>
        <w:t>. 2011;110(3):846–853.</w:t>
      </w:r>
    </w:p>
    <w:p w14:paraId="7BF491F5" w14:textId="77777777" w:rsidR="00D34428" w:rsidRDefault="00000000" w:rsidP="006F487F">
      <w:pPr>
        <w:pStyle w:val="Bibliografi"/>
        <w:spacing w:line="360" w:lineRule="auto"/>
      </w:pPr>
      <w:bookmarkStart w:id="25" w:name="ref-hodson_molecular_2019"/>
      <w:bookmarkEnd w:id="24"/>
      <w:r>
        <w:t xml:space="preserve">15 </w:t>
      </w:r>
      <w:r>
        <w:tab/>
        <w:t xml:space="preserve">Hodson N, West DWD, Philp A, Burd NA, Moore DR. </w:t>
      </w:r>
      <w:hyperlink r:id="rId20">
        <w:r>
          <w:rPr>
            <w:rStyle w:val="Hyperkobling"/>
          </w:rPr>
          <w:t>Molecular regulation of human skeletal muscle protein synthesis in response to exercise and nutrients: A compass for overcoming age-related anabolic resistance</w:t>
        </w:r>
      </w:hyperlink>
      <w:r>
        <w:t xml:space="preserve">. </w:t>
      </w:r>
      <w:r>
        <w:rPr>
          <w:i/>
          <w:iCs/>
        </w:rPr>
        <w:t>American Journal of Physiology-Cell Physiology</w:t>
      </w:r>
      <w:r>
        <w:t>. 2019;317(6):C1061–C1078.</w:t>
      </w:r>
    </w:p>
    <w:p w14:paraId="7BF491F6" w14:textId="77777777" w:rsidR="00D34428" w:rsidRDefault="00000000" w:rsidP="006F487F">
      <w:pPr>
        <w:pStyle w:val="Bibliografi"/>
        <w:spacing w:line="360" w:lineRule="auto"/>
      </w:pPr>
      <w:bookmarkStart w:id="26" w:name="ref-atherton_muscle_2012"/>
      <w:bookmarkEnd w:id="25"/>
      <w:r>
        <w:t xml:space="preserve">16 </w:t>
      </w:r>
      <w:r>
        <w:tab/>
        <w:t xml:space="preserve">Atherton PJ, Smith K. </w:t>
      </w:r>
      <w:hyperlink r:id="rId21">
        <w:r>
          <w:rPr>
            <w:rStyle w:val="Hyperkobling"/>
          </w:rPr>
          <w:t>Muscle protein synthesis in response to nutrition and exercise</w:t>
        </w:r>
      </w:hyperlink>
      <w:r>
        <w:t xml:space="preserve">. </w:t>
      </w:r>
      <w:r>
        <w:rPr>
          <w:i/>
          <w:iCs/>
        </w:rPr>
        <w:t>The Journal of Physiology</w:t>
      </w:r>
      <w:r>
        <w:t>. 2012;590(5):1049–1057.</w:t>
      </w:r>
    </w:p>
    <w:p w14:paraId="7BF491F7" w14:textId="77777777" w:rsidR="00D34428" w:rsidRDefault="00000000" w:rsidP="006F487F">
      <w:pPr>
        <w:pStyle w:val="Bibliografi"/>
        <w:spacing w:line="360" w:lineRule="auto"/>
      </w:pPr>
      <w:bookmarkStart w:id="27" w:name="ref-wall_aging_2015"/>
      <w:bookmarkEnd w:id="26"/>
      <w:r>
        <w:t xml:space="preserve">17 </w:t>
      </w:r>
      <w:r>
        <w:tab/>
        <w:t xml:space="preserve">Wall BT, Gorissen SH, Pennings B et al. </w:t>
      </w:r>
      <w:hyperlink r:id="rId22">
        <w:r>
          <w:rPr>
            <w:rStyle w:val="Hyperkobling"/>
          </w:rPr>
          <w:t>Aging Is Accompanied by a Blunted Muscle Protein Synthetic Response to Protein Ingestion</w:t>
        </w:r>
      </w:hyperlink>
      <w:r>
        <w:t xml:space="preserve">. </w:t>
      </w:r>
      <w:r>
        <w:rPr>
          <w:i/>
          <w:iCs/>
        </w:rPr>
        <w:t>PloS One</w:t>
      </w:r>
      <w:r>
        <w:t>. 2015;10(11):e0140903.</w:t>
      </w:r>
    </w:p>
    <w:p w14:paraId="7BF491F8" w14:textId="77777777" w:rsidR="00D34428" w:rsidRDefault="00000000" w:rsidP="006F487F">
      <w:pPr>
        <w:pStyle w:val="Bibliografi"/>
        <w:spacing w:line="360" w:lineRule="auto"/>
      </w:pPr>
      <w:bookmarkStart w:id="28" w:name="ref-markofski_effect_2015"/>
      <w:bookmarkEnd w:id="27"/>
      <w:r>
        <w:lastRenderedPageBreak/>
        <w:t xml:space="preserve">18 </w:t>
      </w:r>
      <w:r>
        <w:tab/>
        <w:t xml:space="preserve">Markofski MM, Dickinson JM, Drummond MJ et al. </w:t>
      </w:r>
      <w:hyperlink r:id="rId23">
        <w:r>
          <w:rPr>
            <w:rStyle w:val="Hyperkobling"/>
          </w:rPr>
          <w:t>Effect of age on basal muscle protein synthesis and mTORC1 signaling in a large cohort of young and older men and women</w:t>
        </w:r>
      </w:hyperlink>
      <w:r>
        <w:t xml:space="preserve">. </w:t>
      </w:r>
      <w:r>
        <w:rPr>
          <w:i/>
          <w:iCs/>
        </w:rPr>
        <w:t>Experimental Gerontology</w:t>
      </w:r>
      <w:r>
        <w:t>. 2015;65:1–7.</w:t>
      </w:r>
    </w:p>
    <w:p w14:paraId="7BF491F9" w14:textId="77777777" w:rsidR="00D34428" w:rsidRDefault="00000000" w:rsidP="006F487F">
      <w:pPr>
        <w:pStyle w:val="Bibliografi"/>
        <w:spacing w:line="360" w:lineRule="auto"/>
      </w:pPr>
      <w:bookmarkStart w:id="29" w:name="ref-chaillou_does_2023"/>
      <w:bookmarkEnd w:id="28"/>
      <w:r>
        <w:t xml:space="preserve">19 </w:t>
      </w:r>
      <w:r>
        <w:tab/>
        <w:t xml:space="preserve">Chaillou T, Montiel-Rojas D. </w:t>
      </w:r>
      <w:hyperlink r:id="rId24">
        <w:r>
          <w:rPr>
            <w:rStyle w:val="Hyperkobling"/>
          </w:rPr>
          <w:t>Does the blunted stimulation of skeletal muscle protein synthesis by aging in response to mechanical load result from impaired ribosome biogenesis?</w:t>
        </w:r>
      </w:hyperlink>
      <w:r>
        <w:t xml:space="preserve"> </w:t>
      </w:r>
      <w:r>
        <w:rPr>
          <w:i/>
          <w:iCs/>
        </w:rPr>
        <w:t>Frontiers in Aging</w:t>
      </w:r>
      <w:r>
        <w:t>. 2023;4:1171850.</w:t>
      </w:r>
    </w:p>
    <w:p w14:paraId="7BF491FA" w14:textId="77777777" w:rsidR="00D34428" w:rsidRDefault="00000000" w:rsidP="006F487F">
      <w:pPr>
        <w:pStyle w:val="Bibliografi"/>
        <w:spacing w:line="360" w:lineRule="auto"/>
      </w:pPr>
      <w:bookmarkStart w:id="30" w:name="ref-figueiredo_regulation_2019"/>
      <w:bookmarkEnd w:id="29"/>
      <w:r>
        <w:t xml:space="preserve">20 </w:t>
      </w:r>
      <w:r>
        <w:tab/>
        <w:t xml:space="preserve">Figueiredo VC, McCarthy JJ. </w:t>
      </w:r>
      <w:hyperlink r:id="rId25">
        <w:r>
          <w:rPr>
            <w:rStyle w:val="Hyperkobling"/>
          </w:rPr>
          <w:t>Regulation of Ribosome Biogenesis in Skeletal Muscle Hypertrophy</w:t>
        </w:r>
      </w:hyperlink>
      <w:r>
        <w:t xml:space="preserve">. </w:t>
      </w:r>
      <w:r>
        <w:rPr>
          <w:i/>
          <w:iCs/>
        </w:rPr>
        <w:t>Physiology</w:t>
      </w:r>
      <w:r>
        <w:t>. 2019;34(1):30–42.</w:t>
      </w:r>
    </w:p>
    <w:p w14:paraId="7BF491FB" w14:textId="77777777" w:rsidR="00D34428" w:rsidRDefault="00000000" w:rsidP="006F487F">
      <w:pPr>
        <w:pStyle w:val="Bibliografi"/>
        <w:spacing w:line="360" w:lineRule="auto"/>
      </w:pPr>
      <w:bookmarkStart w:id="31" w:name="ref-figueiredo_revisiting_2019"/>
      <w:bookmarkEnd w:id="30"/>
      <w:r>
        <w:t xml:space="preserve">21 </w:t>
      </w:r>
      <w:r>
        <w:tab/>
        <w:t xml:space="preserve">Figueiredo VC. </w:t>
      </w:r>
      <w:hyperlink r:id="rId26">
        <w:r>
          <w:rPr>
            <w:rStyle w:val="Hyperkobling"/>
          </w:rPr>
          <w:t>Revisiting the roles of protein synthesis during skeletal muscle hypertrophy induced by exercise</w:t>
        </w:r>
      </w:hyperlink>
      <w:r>
        <w:t xml:space="preserve">. </w:t>
      </w:r>
      <w:r>
        <w:rPr>
          <w:i/>
          <w:iCs/>
        </w:rPr>
        <w:t>American Journal of Physiology-Regulatory, Integrative and Comparative Physiology</w:t>
      </w:r>
      <w:r>
        <w:t>. 2019;317(5):R709–R718.</w:t>
      </w:r>
    </w:p>
    <w:p w14:paraId="7BF491FC" w14:textId="77777777" w:rsidR="00D34428" w:rsidRDefault="00000000" w:rsidP="006F487F">
      <w:pPr>
        <w:pStyle w:val="Bibliografi"/>
        <w:spacing w:line="360" w:lineRule="auto"/>
      </w:pPr>
      <w:bookmarkStart w:id="32" w:name="ref-hammarstrom_benefits_2020"/>
      <w:bookmarkEnd w:id="31"/>
      <w:r w:rsidRPr="006F487F">
        <w:rPr>
          <w:lang w:val="nb-NO"/>
        </w:rPr>
        <w:t xml:space="preserve">22 </w:t>
      </w:r>
      <w:r w:rsidRPr="006F487F">
        <w:rPr>
          <w:lang w:val="nb-NO"/>
        </w:rPr>
        <w:tab/>
        <w:t xml:space="preserve">Hammarström D, Øfsteng S, Koll L et al. </w:t>
      </w:r>
      <w:hyperlink r:id="rId27">
        <w:r>
          <w:rPr>
            <w:rStyle w:val="Hyperkobling"/>
          </w:rPr>
          <w:t>Benefits of higher resistance‐training volume are related to ribosome biogenesis</w:t>
        </w:r>
      </w:hyperlink>
      <w:r>
        <w:t xml:space="preserve">. </w:t>
      </w:r>
      <w:r>
        <w:rPr>
          <w:i/>
          <w:iCs/>
        </w:rPr>
        <w:t>The Journal of Physiology</w:t>
      </w:r>
      <w:r>
        <w:t>. 2020;598(3):543–565.</w:t>
      </w:r>
    </w:p>
    <w:p w14:paraId="7BF491FD" w14:textId="77777777" w:rsidR="00D34428" w:rsidRDefault="00000000" w:rsidP="006F487F">
      <w:pPr>
        <w:pStyle w:val="Bibliografi"/>
        <w:spacing w:line="360" w:lineRule="auto"/>
      </w:pPr>
      <w:bookmarkStart w:id="33" w:name="ref-stec_ribosome_2016"/>
      <w:bookmarkEnd w:id="32"/>
      <w:r>
        <w:t xml:space="preserve">23 </w:t>
      </w:r>
      <w:r>
        <w:tab/>
        <w:t xml:space="preserve">Stec MJ, Kelly NA, Many GM, Windham ST, Tuggle SC, Bamman MM. </w:t>
      </w:r>
      <w:hyperlink r:id="rId28">
        <w:r>
          <w:rPr>
            <w:rStyle w:val="Hyperkobling"/>
          </w:rPr>
          <w:t>Ribosome biogenesis may augment resistance training-induced myofiber hypertrophy and is required for myotube growth in vitro</w:t>
        </w:r>
      </w:hyperlink>
      <w:r>
        <w:t xml:space="preserve">. </w:t>
      </w:r>
      <w:r>
        <w:rPr>
          <w:i/>
          <w:iCs/>
        </w:rPr>
        <w:t>American Journal of Physiology-Endocrinology and Metabolism</w:t>
      </w:r>
      <w:r>
        <w:t>. 2016;310(8):E652–E661.</w:t>
      </w:r>
    </w:p>
    <w:p w14:paraId="7BF491FE" w14:textId="77777777" w:rsidR="00D34428" w:rsidRDefault="00000000" w:rsidP="006F487F">
      <w:pPr>
        <w:pStyle w:val="Bibliografi"/>
        <w:spacing w:line="360" w:lineRule="auto"/>
      </w:pPr>
      <w:bookmarkStart w:id="34" w:name="ref-lixandrao_higher_2024"/>
      <w:bookmarkEnd w:id="33"/>
      <w:r>
        <w:t xml:space="preserve">24 </w:t>
      </w:r>
      <w:r>
        <w:tab/>
        <w:t xml:space="preserve">Lixandrão ME, Bamman M, Vechin FC et al. </w:t>
      </w:r>
      <w:hyperlink r:id="rId29">
        <w:r>
          <w:rPr>
            <w:rStyle w:val="Hyperkobling"/>
          </w:rPr>
          <w:t>Higher resistance training volume offsets muscle hypertrophy non-responsiveness in older individuals</w:t>
        </w:r>
      </w:hyperlink>
      <w:r>
        <w:t xml:space="preserve">. </w:t>
      </w:r>
      <w:r>
        <w:rPr>
          <w:i/>
          <w:iCs/>
        </w:rPr>
        <w:t>Journal of Applied Physiology</w:t>
      </w:r>
      <w:r>
        <w:t>. 2024;japplphysiol.00670.2023.</w:t>
      </w:r>
    </w:p>
    <w:p w14:paraId="7BF491FF" w14:textId="77777777" w:rsidR="00D34428" w:rsidRDefault="00000000" w:rsidP="006F487F">
      <w:pPr>
        <w:pStyle w:val="Bibliografi"/>
        <w:spacing w:line="360" w:lineRule="auto"/>
      </w:pPr>
      <w:bookmarkStart w:id="35" w:name="ref-bonomini_metabolic_2015"/>
      <w:bookmarkEnd w:id="34"/>
      <w:r>
        <w:t xml:space="preserve">25 </w:t>
      </w:r>
      <w:r>
        <w:tab/>
        <w:t xml:space="preserve">Bonomini F, Rodella LF, Rezzani R. </w:t>
      </w:r>
      <w:hyperlink r:id="rId30">
        <w:r>
          <w:rPr>
            <w:rStyle w:val="Hyperkobling"/>
          </w:rPr>
          <w:t>Metabolic Syndrome, Aging and Involvement of Oxidative Stress</w:t>
        </w:r>
      </w:hyperlink>
      <w:r>
        <w:t xml:space="preserve">. </w:t>
      </w:r>
      <w:r>
        <w:rPr>
          <w:i/>
          <w:iCs/>
        </w:rPr>
        <w:t>Aging and disease</w:t>
      </w:r>
      <w:r>
        <w:t>. 2015;6(2):109.</w:t>
      </w:r>
    </w:p>
    <w:p w14:paraId="7BF49200" w14:textId="77777777" w:rsidR="00D34428" w:rsidRDefault="00000000" w:rsidP="006F487F">
      <w:pPr>
        <w:pStyle w:val="Bibliografi"/>
        <w:spacing w:line="360" w:lineRule="auto"/>
      </w:pPr>
      <w:bookmarkStart w:id="36" w:name="ref-north_intersection_2012"/>
      <w:bookmarkEnd w:id="35"/>
      <w:r>
        <w:t xml:space="preserve">26 </w:t>
      </w:r>
      <w:r>
        <w:tab/>
        <w:t xml:space="preserve">North BJ, Sinclair DA. </w:t>
      </w:r>
      <w:hyperlink r:id="rId31">
        <w:r>
          <w:rPr>
            <w:rStyle w:val="Hyperkobling"/>
          </w:rPr>
          <w:t>The Intersection Between Aging and Cardiovascular Disease</w:t>
        </w:r>
      </w:hyperlink>
      <w:r>
        <w:t xml:space="preserve">. </w:t>
      </w:r>
      <w:r>
        <w:rPr>
          <w:i/>
          <w:iCs/>
        </w:rPr>
        <w:t>Circulation Research</w:t>
      </w:r>
      <w:r>
        <w:t>. 2012;110(8):1097–1108.</w:t>
      </w:r>
    </w:p>
    <w:p w14:paraId="7BF49201" w14:textId="77777777" w:rsidR="00D34428" w:rsidRDefault="00000000" w:rsidP="006F487F">
      <w:pPr>
        <w:pStyle w:val="Bibliografi"/>
        <w:spacing w:line="360" w:lineRule="auto"/>
      </w:pPr>
      <w:bookmarkStart w:id="37" w:name="ref-westcott_resistance_2012"/>
      <w:bookmarkEnd w:id="36"/>
      <w:r>
        <w:t xml:space="preserve">27 </w:t>
      </w:r>
      <w:r>
        <w:tab/>
        <w:t xml:space="preserve">Westcott WL. </w:t>
      </w:r>
      <w:hyperlink r:id="rId32">
        <w:r>
          <w:rPr>
            <w:rStyle w:val="Hyperkobling"/>
          </w:rPr>
          <w:t>Resistance Training is Medicine: Effects of Strength Training on Health</w:t>
        </w:r>
      </w:hyperlink>
      <w:r>
        <w:t xml:space="preserve">. </w:t>
      </w:r>
      <w:r>
        <w:rPr>
          <w:i/>
          <w:iCs/>
        </w:rPr>
        <w:t>Current Sports Medicine Reports</w:t>
      </w:r>
      <w:r>
        <w:t>. 2012;11(4):209–216.</w:t>
      </w:r>
    </w:p>
    <w:p w14:paraId="7BF49202" w14:textId="77777777" w:rsidR="00D34428" w:rsidRPr="006F487F" w:rsidRDefault="00000000" w:rsidP="006F487F">
      <w:pPr>
        <w:pStyle w:val="Bibliografi"/>
        <w:spacing w:line="360" w:lineRule="auto"/>
        <w:rPr>
          <w:lang w:val="nb-NO"/>
        </w:rPr>
      </w:pPr>
      <w:bookmarkStart w:id="38" w:name="ref-strasser_resistance_2010"/>
      <w:bookmarkEnd w:id="37"/>
      <w:r>
        <w:lastRenderedPageBreak/>
        <w:t xml:space="preserve">28 </w:t>
      </w:r>
      <w:r>
        <w:tab/>
        <w:t xml:space="preserve">Strasser B, Siebert U, Schobersberger W. </w:t>
      </w:r>
      <w:hyperlink r:id="rId33">
        <w:r>
          <w:rPr>
            <w:rStyle w:val="Hyperkobling"/>
          </w:rPr>
          <w:t>Resistance Training in the Treatment of the Metabolic Syndrome: A Systematic Review and Meta-Analysis of the Effect of Resistance Training on Metabolic Clustering in Patients with Abnormal Glucose Metabolism</w:t>
        </w:r>
      </w:hyperlink>
      <w:r>
        <w:t xml:space="preserve">. </w:t>
      </w:r>
      <w:r w:rsidRPr="006F487F">
        <w:rPr>
          <w:i/>
          <w:iCs/>
          <w:lang w:val="nb-NO"/>
        </w:rPr>
        <w:t xml:space="preserve">Sports </w:t>
      </w:r>
      <w:proofErr w:type="spellStart"/>
      <w:r w:rsidRPr="006F487F">
        <w:rPr>
          <w:i/>
          <w:iCs/>
          <w:lang w:val="nb-NO"/>
        </w:rPr>
        <w:t>Medicine</w:t>
      </w:r>
      <w:proofErr w:type="spellEnd"/>
      <w:r w:rsidRPr="006F487F">
        <w:rPr>
          <w:lang w:val="nb-NO"/>
        </w:rPr>
        <w:t>. 2010;40(5):397–415.</w:t>
      </w:r>
    </w:p>
    <w:p w14:paraId="7BF49203" w14:textId="77777777" w:rsidR="00D34428" w:rsidRDefault="00000000" w:rsidP="006F487F">
      <w:pPr>
        <w:pStyle w:val="Bibliografi"/>
        <w:spacing w:line="360" w:lineRule="auto"/>
      </w:pPr>
      <w:bookmarkStart w:id="39" w:name="ref-ellefsen_improved_2008"/>
      <w:bookmarkEnd w:id="38"/>
      <w:r w:rsidRPr="006F487F">
        <w:rPr>
          <w:lang w:val="nb-NO"/>
        </w:rPr>
        <w:t xml:space="preserve">29 </w:t>
      </w:r>
      <w:r w:rsidRPr="006F487F">
        <w:rPr>
          <w:lang w:val="nb-NO"/>
        </w:rPr>
        <w:tab/>
        <w:t xml:space="preserve">Ellefsen S, </w:t>
      </w:r>
      <w:proofErr w:type="spellStart"/>
      <w:r w:rsidRPr="006F487F">
        <w:rPr>
          <w:lang w:val="nb-NO"/>
        </w:rPr>
        <w:t>Stensløkken</w:t>
      </w:r>
      <w:proofErr w:type="spellEnd"/>
      <w:r w:rsidRPr="006F487F">
        <w:rPr>
          <w:lang w:val="nb-NO"/>
        </w:rPr>
        <w:t xml:space="preserve"> K-O, Sandvik GK, Kristensen TA, Nilsson GE. </w:t>
      </w:r>
      <w:hyperlink r:id="rId34">
        <w:r>
          <w:rPr>
            <w:rStyle w:val="Hyperkobling"/>
          </w:rPr>
          <w:t>Improved normalization of real-time reverse transcriptase polymerase chain reaction data using an external RNA control</w:t>
        </w:r>
      </w:hyperlink>
      <w:r>
        <w:t xml:space="preserve">. </w:t>
      </w:r>
      <w:r>
        <w:rPr>
          <w:i/>
          <w:iCs/>
        </w:rPr>
        <w:t>Analytical Biochemistry</w:t>
      </w:r>
      <w:r>
        <w:t>. 2008;376(1):83–93.</w:t>
      </w:r>
    </w:p>
    <w:p w14:paraId="7BF49204" w14:textId="77777777" w:rsidR="00D34428" w:rsidRDefault="00000000" w:rsidP="006F487F">
      <w:pPr>
        <w:pStyle w:val="Bibliografi"/>
        <w:spacing w:line="360" w:lineRule="auto"/>
      </w:pPr>
      <w:bookmarkStart w:id="40" w:name="ref-ellefsen_reliable_2014"/>
      <w:bookmarkEnd w:id="39"/>
      <w:r>
        <w:t xml:space="preserve">30 </w:t>
      </w:r>
      <w:r>
        <w:tab/>
        <w:t xml:space="preserve">Ellefsen S, Vikmoen O, Zacharoff E et al. </w:t>
      </w:r>
      <w:hyperlink r:id="rId35">
        <w:r>
          <w:rPr>
            <w:rStyle w:val="Hyperkobling"/>
          </w:rPr>
          <w:t>Reliable determination of training-induced alterations in muscle fiber composition in human skeletal muscle using quantitative polymerase chain reaction: Muscle fiber typing using qPCR</w:t>
        </w:r>
      </w:hyperlink>
      <w:r>
        <w:t xml:space="preserve">. </w:t>
      </w:r>
      <w:r>
        <w:rPr>
          <w:i/>
          <w:iCs/>
        </w:rPr>
        <w:t>Scandinavian Journal of Medicine &amp; Science in Sports</w:t>
      </w:r>
      <w:r>
        <w:t>. 2014;24(5):e332–e342.</w:t>
      </w:r>
      <w:bookmarkEnd w:id="9"/>
      <w:bookmarkEnd w:id="11"/>
      <w:bookmarkEnd w:id="40"/>
    </w:p>
    <w:sectPr w:rsidR="00D34428" w:rsidSect="00FB6456">
      <w:pgSz w:w="12240" w:h="15840"/>
      <w:pgMar w:top="1417" w:right="1417" w:bottom="1417" w:left="1417" w:header="708" w:footer="708" w:gutter="0"/>
      <w:lnNumType w:countBy="1" w:restart="continuous"/>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EB47B" w14:textId="77777777" w:rsidR="00C56A99" w:rsidRDefault="00C56A99">
      <w:pPr>
        <w:spacing w:after="0"/>
      </w:pPr>
      <w:r>
        <w:separator/>
      </w:r>
    </w:p>
  </w:endnote>
  <w:endnote w:type="continuationSeparator" w:id="0">
    <w:p w14:paraId="6BBE7C37" w14:textId="77777777" w:rsidR="00C56A99" w:rsidRDefault="00C56A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22A67" w14:textId="77777777" w:rsidR="00C56A99" w:rsidRDefault="00C56A99">
      <w:r>
        <w:separator/>
      </w:r>
    </w:p>
  </w:footnote>
  <w:footnote w:type="continuationSeparator" w:id="0">
    <w:p w14:paraId="0E9DBE7B" w14:textId="77777777" w:rsidR="00C56A99" w:rsidRDefault="00C56A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11219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129858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4428"/>
    <w:rsid w:val="006F487F"/>
    <w:rsid w:val="00A52AC3"/>
    <w:rsid w:val="00C56A99"/>
    <w:rsid w:val="00D34428"/>
    <w:rsid w:val="00FB645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491CE"/>
  <w15:docId w15:val="{670EDD95-FBA2-404F-A1BA-3B1F8A5AA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Overskrift2">
    <w:name w:val="heading 2"/>
    <w:basedOn w:val="Normal"/>
    <w:next w:val="Brdteks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Overskrift3">
    <w:name w:val="heading 3"/>
    <w:basedOn w:val="Normal"/>
    <w:next w:val="Brdteks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Brdteks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Overskrift5">
    <w:name w:val="heading 5"/>
    <w:basedOn w:val="Normal"/>
    <w:next w:val="Brdteks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Overskrift6">
    <w:name w:val="heading 6"/>
    <w:basedOn w:val="Normal"/>
    <w:next w:val="Brdteks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Overskrift7">
    <w:name w:val="heading 7"/>
    <w:basedOn w:val="Normal"/>
    <w:next w:val="Brdteks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Overskrift8">
    <w:name w:val="heading 8"/>
    <w:basedOn w:val="Normal"/>
    <w:next w:val="Brdteks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Overskrift9">
    <w:name w:val="heading 9"/>
    <w:basedOn w:val="Normal"/>
    <w:next w:val="Brdteks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tel">
    <w:name w:val="Title"/>
    <w:basedOn w:val="Normal"/>
    <w:next w:val="Brdteks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dertittel">
    <w:name w:val="Subtitle"/>
    <w:basedOn w:val="Tittel"/>
    <w:next w:val="Brdtekst"/>
    <w:qFormat/>
    <w:pPr>
      <w:spacing w:before="240"/>
    </w:pPr>
    <w:rPr>
      <w:sz w:val="30"/>
      <w:szCs w:val="30"/>
    </w:rPr>
  </w:style>
  <w:style w:type="paragraph" w:customStyle="1" w:styleId="Author">
    <w:name w:val="Author"/>
    <w:next w:val="Brdtekst"/>
    <w:qFormat/>
    <w:pPr>
      <w:keepNext/>
      <w:keepLines/>
      <w:jc w:val="center"/>
    </w:pPr>
  </w:style>
  <w:style w:type="paragraph" w:styleId="Dato">
    <w:name w:val="Date"/>
    <w:next w:val="Brdtekst"/>
    <w:qFormat/>
    <w:pPr>
      <w:keepNext/>
      <w:keepLines/>
      <w:jc w:val="center"/>
    </w:pPr>
  </w:style>
  <w:style w:type="paragraph" w:customStyle="1" w:styleId="Abstract">
    <w:name w:val="Abstract"/>
    <w:basedOn w:val="Normal"/>
    <w:next w:val="Brdtekst"/>
    <w:qFormat/>
    <w:pPr>
      <w:keepNext/>
      <w:keepLines/>
      <w:spacing w:before="300" w:after="300"/>
    </w:pPr>
    <w:rPr>
      <w:sz w:val="20"/>
      <w:szCs w:val="20"/>
    </w:rPr>
  </w:style>
  <w:style w:type="paragraph" w:styleId="Bibliografi">
    <w:name w:val="Bibliography"/>
    <w:basedOn w:val="Normal"/>
    <w:qFormat/>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rPr>
      <w:color w:val="4F81BD" w:themeColor="accent1"/>
    </w:rPr>
  </w:style>
  <w:style w:type="paragraph" w:styleId="Overskriftforinnholdsfortegnelse">
    <w:name w:val="TOC Heading"/>
    <w:basedOn w:val="Overskrift1"/>
    <w:next w:val="Brdteks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Linjenummer">
    <w:name w:val="line number"/>
    <w:basedOn w:val="Standardskriftforavsnitt"/>
    <w:rsid w:val="00FB64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23/ijsnem.2023-0087" TargetMode="External"/><Relationship Id="rId18" Type="http://schemas.openxmlformats.org/officeDocument/2006/relationships/hyperlink" Target="https://doi.org/10.1152/ajpendo.00486.2015" TargetMode="External"/><Relationship Id="rId26" Type="http://schemas.openxmlformats.org/officeDocument/2006/relationships/hyperlink" Target="https://doi.org/10.1152/ajpregu.00162.2019" TargetMode="External"/><Relationship Id="rId21" Type="http://schemas.openxmlformats.org/officeDocument/2006/relationships/hyperlink" Target="https://doi.org/10.1113/jphysiol.2011.225003" TargetMode="External"/><Relationship Id="rId34" Type="http://schemas.openxmlformats.org/officeDocument/2006/relationships/hyperlink" Target="https://doi.org/10.1016/j.ab.2008.01.028" TargetMode="External"/><Relationship Id="rId7" Type="http://schemas.openxmlformats.org/officeDocument/2006/relationships/hyperlink" Target="https://doi.org/10.1519/JSC.0000000000003230" TargetMode="External"/><Relationship Id="rId12" Type="http://schemas.openxmlformats.org/officeDocument/2006/relationships/hyperlink" Target="https://doi.org/10.3390/nu11092094" TargetMode="External"/><Relationship Id="rId17" Type="http://schemas.openxmlformats.org/officeDocument/2006/relationships/hyperlink" Target="https://doi.org/10.1152/japplphysiol.00489.2015" TargetMode="External"/><Relationship Id="rId25" Type="http://schemas.openxmlformats.org/officeDocument/2006/relationships/hyperlink" Target="https://doi.org/10.1152/physiol.00034.2018" TargetMode="External"/><Relationship Id="rId33" Type="http://schemas.openxmlformats.org/officeDocument/2006/relationships/hyperlink" Target="https://doi.org/10.2165/11531380-000000000-00000" TargetMode="External"/><Relationship Id="rId2" Type="http://schemas.openxmlformats.org/officeDocument/2006/relationships/styles" Target="styles.xml"/><Relationship Id="rId16" Type="http://schemas.openxmlformats.org/officeDocument/2006/relationships/hyperlink" Target="https://doi.org/10.1113/JP278455" TargetMode="External"/><Relationship Id="rId20" Type="http://schemas.openxmlformats.org/officeDocument/2006/relationships/hyperlink" Target="https://doi.org/10.1152/ajpcell.00209.2019" TargetMode="External"/><Relationship Id="rId29" Type="http://schemas.openxmlformats.org/officeDocument/2006/relationships/hyperlink" Target="https://doi.org/10.1152/japplphysiol.00670.202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86/s11556-023-00333-4" TargetMode="External"/><Relationship Id="rId24" Type="http://schemas.openxmlformats.org/officeDocument/2006/relationships/hyperlink" Target="https://doi.org/10.3389/fragi.2023.1171850" TargetMode="External"/><Relationship Id="rId32" Type="http://schemas.openxmlformats.org/officeDocument/2006/relationships/hyperlink" Target="https://doi.org/10.1249/JSR.0b013e31825dabb8"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152/japplphysiol.00024.2007" TargetMode="External"/><Relationship Id="rId23" Type="http://schemas.openxmlformats.org/officeDocument/2006/relationships/hyperlink" Target="https://doi.org/10.1016/j.exger.2015.02.015" TargetMode="External"/><Relationship Id="rId28" Type="http://schemas.openxmlformats.org/officeDocument/2006/relationships/hyperlink" Target="https://doi.org/10.1152/ajpendo.00486.2015" TargetMode="External"/><Relationship Id="rId36" Type="http://schemas.openxmlformats.org/officeDocument/2006/relationships/fontTable" Target="fontTable.xml"/><Relationship Id="rId10" Type="http://schemas.openxmlformats.org/officeDocument/2006/relationships/hyperlink" Target="https://doi.org/10.1016/j.jamda.2020.12.016" TargetMode="External"/><Relationship Id="rId19" Type="http://schemas.openxmlformats.org/officeDocument/2006/relationships/hyperlink" Target="https://doi.org/10.1152/japplphysiol.00934.2010" TargetMode="External"/><Relationship Id="rId31" Type="http://schemas.openxmlformats.org/officeDocument/2006/relationships/hyperlink" Target="https://doi.org/10.1161/CIRCRESAHA.111.246876" TargetMode="External"/><Relationship Id="rId4" Type="http://schemas.openxmlformats.org/officeDocument/2006/relationships/webSettings" Target="webSettings.xml"/><Relationship Id="rId9" Type="http://schemas.openxmlformats.org/officeDocument/2006/relationships/hyperlink" Target="https://doi.org/10.1249/MSS.0000000000001448" TargetMode="External"/><Relationship Id="rId14" Type="http://schemas.openxmlformats.org/officeDocument/2006/relationships/hyperlink" Target="https://doi.org/10.3389/fnut.2021.615849" TargetMode="External"/><Relationship Id="rId22" Type="http://schemas.openxmlformats.org/officeDocument/2006/relationships/hyperlink" Target="https://doi.org/10.1371/journal.pone.0140903" TargetMode="External"/><Relationship Id="rId27" Type="http://schemas.openxmlformats.org/officeDocument/2006/relationships/hyperlink" Target="https://doi.org/10.1113/JP278455" TargetMode="External"/><Relationship Id="rId30" Type="http://schemas.openxmlformats.org/officeDocument/2006/relationships/hyperlink" Target="https://doi.org/10.14336/AD.2014.0305" TargetMode="External"/><Relationship Id="rId35" Type="http://schemas.openxmlformats.org/officeDocument/2006/relationships/hyperlink" Target="https://doi.org/10.1111/sms.12185" TargetMode="External"/><Relationship Id="rId8" Type="http://schemas.openxmlformats.org/officeDocument/2006/relationships/hyperlink" Target="https://doi.org/10.12688/f1000research.8255.1"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12</Pages>
  <Words>3893</Words>
  <Characters>20639</Characters>
  <Application>Microsoft Office Word</Application>
  <DocSecurity>0</DocSecurity>
  <Lines>171</Lines>
  <Paragraphs>48</Paragraphs>
  <ScaleCrop>false</ScaleCrop>
  <Company>HINN</Company>
  <LinksUpToDate>false</LinksUpToDate>
  <CharactersWithSpaces>24484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Kristian Lian</cp:lastModifiedBy>
  <cp:revision>3</cp:revision>
  <dcterms:created xsi:type="dcterms:W3CDTF">2025-12-01T09:17:00Z</dcterms:created>
  <dcterms:modified xsi:type="dcterms:W3CDTF">2025-12-01T09:28:00Z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resources/Phd-bibliography.bib</vt:lpwstr>
  </property>
  <property fmtid="{D5CDD505-2E9C-101B-9397-08002B2CF9AE}" pid="4" name="csl">
    <vt:lpwstr>resources/acta-physiologica.csl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