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introduction"/>
    <w:p>
      <w:pPr>
        <w:pStyle w:val="Heading1"/>
      </w:pPr>
      <w:r>
        <w:t xml:space="preserve">Introduction</w:t>
      </w:r>
    </w:p>
    <w:p>
      <w:pPr>
        <w:pStyle w:val="FirstParagraph"/>
      </w:pPr>
      <w:r>
        <w:t xml:space="preserve">&lt;&lt;&lt;&lt;&lt;&lt;&lt; HEAD</w:t>
      </w:r>
      <w:r>
        <w:t xml:space="preserve"> </w:t>
      </w:r>
      <w:r>
        <w:t xml:space="preserve">Resistance training (RT) is recommended as the best non-pharmacological strategy to ameliorate age-related declines in physical functionality due to losses of skeletal muscle mass and -strength</w:t>
      </w:r>
      <w:r>
        <w:rPr>
          <w:vertAlign w:val="superscript"/>
        </w:rPr>
        <w:t xml:space="preserve">1</w:t>
      </w:r>
      <w:r>
        <w:t xml:space="preserve">, and such benefits are expected irrespective of age at onset of structured and repeated RT</w:t>
      </w:r>
      <w:r>
        <w:rPr>
          <w:vertAlign w:val="superscript"/>
        </w:rPr>
        <w:t xml:space="preserve">1,2</w:t>
      </w:r>
      <w:r>
        <w:t xml:space="preserve">. However, previous studies find variations in how individuals respond to RT, regardless of age and sex</w:t>
      </w:r>
      <w:r>
        <w:rPr>
          <w:vertAlign w:val="superscript"/>
        </w:rPr>
        <w:t xml:space="preserve">8</w:t>
      </w:r>
      <w:r>
        <w:t xml:space="preserve">. Since lower skeletal muscle mass and -strength are associated with higher risks of mortality</w:t>
      </w:r>
      <w:r>
        <w:rPr>
          <w:vertAlign w:val="superscript"/>
        </w:rPr>
        <w:t xml:space="preserve">9,10</w:t>
      </w:r>
      <w:r>
        <w:t xml:space="preserve">, not benefiting after a period of RT is especially troubling for the elderly. While the underlying mechanisms of individual variations to RT are not fully elucidated, differential manifestations of aging makes the older population quite more heterogeneous than the young</w:t>
      </w:r>
      <w:r>
        <w:rPr>
          <w:vertAlign w:val="superscript"/>
        </w:rPr>
        <w:t xml:space="preserve">2,11</w:t>
      </w:r>
      <w:r>
        <w:t xml:space="preserve">. This heterogeneity in physical function is reflected by, perhaps most notably, the different presence of pathophysiological conditions such as insulin resistance, sarcopenia, and anabolic resistance</w:t>
      </w:r>
      <w:r>
        <w:rPr>
          <w:vertAlign w:val="superscript"/>
        </w:rPr>
        <w:t xml:space="preserve">1,2,11</w:t>
      </w:r>
      <w:r>
        <w:t xml:space="preserve">.</w:t>
      </w:r>
      <w:r>
        <w:t xml:space="preserve"> </w:t>
      </w:r>
      <w:r>
        <w:t xml:space="preserve"> </w:t>
      </w:r>
      <w:r>
        <w:t xml:space="preserve">=======</w:t>
      </w:r>
      <w:r>
        <w:t xml:space="preserve"> </w:t>
      </w:r>
      <w:r>
        <w:t xml:space="preserve">Resistance training (RT) is recommended as the best non-pharmacological strategy to ameliorate age-related declines in physical functionality due to losses of skeletal muscle mass and -strength</w:t>
      </w:r>
      <w:r>
        <w:rPr>
          <w:vertAlign w:val="superscript"/>
        </w:rPr>
        <w:t xml:space="preserve">1</w:t>
      </w:r>
      <w:r>
        <w:t xml:space="preserve">, and such benefits are expected irrespective of age at onset of structured and repeated RT</w:t>
      </w:r>
      <w:r>
        <w:rPr>
          <w:vertAlign w:val="superscript"/>
        </w:rPr>
        <w:t xml:space="preserve">1,2</w:t>
      </w:r>
      <w:r>
        <w:t xml:space="preserve">. However, previous studies find variations in how individuals respond to RT, regardless of age and sex</w:t>
      </w:r>
      <w:r>
        <w:rPr>
          <w:vertAlign w:val="superscript"/>
        </w:rPr>
        <w:t xml:space="preserve">8</w:t>
      </w:r>
      <w:r>
        <w:t xml:space="preserve">. Since lower skeletal muscle mass and -strength are associated with higher risks of mortality</w:t>
      </w:r>
      <w:r>
        <w:rPr>
          <w:vertAlign w:val="superscript"/>
        </w:rPr>
        <w:t xml:space="preserve">9,10</w:t>
      </w:r>
      <w:r>
        <w:t xml:space="preserve">, not benefiting from a period of RT is especially troubling for the elderly. While the underlying mechanisms of individual variations to RT are not fully elucidated, differential manifestations of aging make the older population quite more heterogeneous than the young</w:t>
      </w:r>
      <w:r>
        <w:rPr>
          <w:vertAlign w:val="superscript"/>
        </w:rPr>
        <w:t xml:space="preserve">2,11</w:t>
      </w:r>
      <w:r>
        <w:t xml:space="preserve">. This heterogeneity in physical function is reflected by, perhaps most notably, the different presence of pathophysiological conditions such as insulin resistance, sarcopenia, and anabolic resistance</w:t>
      </w:r>
      <w:r>
        <w:rPr>
          <w:vertAlign w:val="superscript"/>
        </w:rPr>
        <w:t xml:space="preserve">1,2,11</w:t>
      </w:r>
      <w:r>
        <w:t xml:space="preserve">.</w:t>
      </w:r>
      <w:r>
        <w:t xml:space="preserve"> </w:t>
      </w:r>
      <w:r>
        <w:t xml:space="preserve">&gt;&gt;&gt;&gt;&gt;&gt;&gt; be958945bb7edd0c21aadc55f4fa83663debc32d</w:t>
      </w:r>
    </w:p>
    <w:p>
      <w:pPr>
        <w:pStyle w:val="BodyText"/>
      </w:pPr>
      <w:r>
        <w:t xml:space="preserve">##Paragraph: The skeletal muscle of young may be better suited to respond to resistance training.</w:t>
      </w:r>
      <w:r>
        <w:t xml:space="preserve"> </w:t>
      </w:r>
    </w:p>
    <w:p>
      <w:pPr>
        <w:pStyle w:val="BodyText"/>
      </w:pPr>
      <w:r>
        <w:t xml:space="preserve">The relationship between insulin resistance and sarcopenia has been a hot topic, and which one leads to the other has yet to be concluded</w:t>
      </w:r>
      <w:r>
        <w:rPr>
          <w:vertAlign w:val="superscript"/>
        </w:rPr>
        <w:t xml:space="preserve">2,12</w:t>
      </w:r>
      <w:r>
        <w:t xml:space="preserve">. Nevertheless, lean body mass and thigh skeletal muscle cross-sectional area is maintained despite the presence of insulin resistance and inflammation</w:t>
      </w:r>
      <w:r>
        <w:rPr>
          <w:vertAlign w:val="superscript"/>
        </w:rPr>
        <w:t xml:space="preserve">2,13,14</w:t>
      </w:r>
      <w:r>
        <w:t xml:space="preserve">, while sarcopenia is known as age-related progressive loss of muscle mass and -strength</w:t>
      </w:r>
      <w:r>
        <w:rPr>
          <w:vertAlign w:val="superscript"/>
        </w:rPr>
        <w:t xml:space="preserve">1,2</w:t>
      </w:r>
      <w:r>
        <w:t xml:space="preserve">. Furthermore, a lower response in muscle protein synthesis (MPS) after RT has been observed in the old compared to young individuals, described as anabolic resistance</w:t>
      </w:r>
      <w:r>
        <w:rPr>
          <w:vertAlign w:val="superscript"/>
        </w:rPr>
        <w:t xml:space="preserve">15,16</w:t>
      </w:r>
      <w:r>
        <w:t xml:space="preserve">. Whether anabolic resistance is a contributor to or a consequence of sarcopenia is uncertain, but it does indicate a less responsive skeletal muscle mass in the elderly</w:t>
      </w:r>
      <w:r>
        <w:rPr>
          <w:vertAlign w:val="superscript"/>
        </w:rPr>
        <w:t xml:space="preserve">15,16</w:t>
      </w:r>
      <w:r>
        <w:t xml:space="preserve">. More precisely, studeis suggest that baseline levels of muscle protein synthesis</w:t>
      </w:r>
      <w:r>
        <w:t xml:space="preserve"> </w:t>
      </w:r>
      <w:r>
        <w:rPr>
          <w:iCs/>
          <w:i/>
        </w:rPr>
        <w:t xml:space="preserve">per se</w:t>
      </w:r>
      <w:r>
        <w:t xml:space="preserve"> </w:t>
      </w:r>
      <w:r>
        <w:t xml:space="preserve">do not differ with age, rather, the proteins influencing MPS (e.g. mTOR) are elevated in fasted muscle from the elderly compared to young</w:t>
      </w:r>
      <w:r>
        <w:rPr>
          <w:vertAlign w:val="superscript"/>
        </w:rPr>
        <w:t xml:space="preserve">2,11,17</w:t>
      </w:r>
      <w:r>
        <w:t xml:space="preserve">. Such a discrepancy in MPS is proposed to represent either a compensation to increased muscle loading due to decreased muscle mass with age, or dysregulation of the mTOR complex</w:t>
      </w:r>
      <w:r>
        <w:rPr>
          <w:vertAlign w:val="superscript"/>
        </w:rPr>
        <w:t xml:space="preserve">2</w:t>
      </w:r>
      <w:r>
        <w:t xml:space="preserve">. In a rodent synergist ablation model, it was evident that the elderly mice had lower transcription of ribosomal genes compared with young, and returned faster to baseline in the old mice</w:t>
      </w:r>
      <w:r>
        <w:rPr>
          <w:vertAlign w:val="superscript"/>
        </w:rPr>
        <w:t xml:space="preserve">2,18</w:t>
      </w:r>
      <w:r>
        <w:t xml:space="preserve">. Transcription of ribosomal genes occur downstream of mTOR, and can therefore reflect some degree of mTOR dysregulation in elderly mice</w:t>
      </w:r>
      <w:r>
        <w:rPr>
          <w:vertAlign w:val="superscript"/>
        </w:rPr>
        <w:t xml:space="preserve">2,18</w:t>
      </w:r>
      <w:r>
        <w:t xml:space="preserve">.</w:t>
      </w:r>
    </w:p>
    <w:p>
      <w:pPr>
        <w:pStyle w:val="BodyText"/>
      </w:pPr>
      <w:r>
        <w:t xml:space="preserve">##Paragraph: Ribosome biogenesis is a common denominator in those who do not experience expected benefits of RT, across age. (either include in third paragraph or make a fourth)</w:t>
      </w:r>
    </w:p>
    <w:p>
      <w:pPr>
        <w:pStyle w:val="BodyText"/>
      </w:pPr>
      <w:r>
        <w:t xml:space="preserve">A reduced transcription of ribosomal genes may however occur across age, since a blunted accumulation of total RNA has been observed in both young and old, coinciding with lesser benefits of RT</w:t>
      </w:r>
      <w:r>
        <w:rPr>
          <w:vertAlign w:val="superscript"/>
        </w:rPr>
        <w:t xml:space="preserve">6,19,20</w:t>
      </w:r>
      <w:r>
        <w:t xml:space="preserve">. Ribosomes are the protein factories of the cell, and the increase in ribosomal content (translational capacity) following onset of RT is believed to provide support for skeletal muscle fibre hypertrophy</w:t>
      </w:r>
      <w:r>
        <w:rPr>
          <w:vertAlign w:val="superscript"/>
        </w:rPr>
        <w:t xml:space="preserve">21,22</w:t>
      </w:r>
      <w:r>
        <w:t xml:space="preserve">. Results from our laboratory, as well as others, suggests that the accumulation of total RNA (a proxy marker of ribosome biogenesis) peaks between 2-4 weeks after onset of RT (depending on training volume)</w:t>
      </w:r>
      <w:r>
        <w:rPr>
          <w:vertAlign w:val="superscript"/>
        </w:rPr>
        <w:t xml:space="preserve">19,20,23</w:t>
      </w:r>
      <w:r>
        <w:t xml:space="preserve">, remain elevated throughout 7 weeks of RT</w:t>
      </w:r>
      <w:r>
        <w:rPr>
          <w:vertAlign w:val="superscript"/>
        </w:rPr>
        <w:t xml:space="preserve">24–26</w:t>
      </w:r>
      <w:r>
        <w:t xml:space="preserve">, and returns to baseline after 8 weeks</w:t>
      </w:r>
      <w:r>
        <w:rPr>
          <w:vertAlign w:val="superscript"/>
        </w:rPr>
        <w:t xml:space="preserve">25,27,28</w:t>
      </w:r>
      <w:r>
        <w:t xml:space="preserve">. This increase in total RNA shortly following onset of RT is observed both in untrained</w:t>
      </w:r>
      <w:r>
        <w:rPr>
          <w:vertAlign w:val="superscript"/>
        </w:rPr>
        <w:t xml:space="preserve">6,19,20,24</w:t>
      </w:r>
      <w:r>
        <w:t xml:space="preserve"> </w:t>
      </w:r>
      <w:r>
        <w:t xml:space="preserve">and moderately trained</w:t>
      </w:r>
      <w:r>
        <w:rPr>
          <w:vertAlign w:val="superscript"/>
        </w:rPr>
        <w:t xml:space="preserve">23,25</w:t>
      </w:r>
      <w:r>
        <w:t xml:space="preserve"> </w:t>
      </w:r>
      <w:r>
        <w:t xml:space="preserve">individuals, alongside increases in muscle mass and/or -strength</w:t>
      </w:r>
      <w:r>
        <w:rPr>
          <w:vertAlign w:val="superscript"/>
        </w:rPr>
        <w:t xml:space="preserve">19,23</w:t>
      </w:r>
      <w:r>
        <w:t xml:space="preserve">.</w:t>
      </w:r>
      <w:r>
        <w:t xml:space="preserve"> </w:t>
      </w:r>
      <w:r>
        <w:t xml:space="preserve">Regardless of age, individuals who respond to RT exhibit an accumulation in the markers of ribosome biogenesis (e.g., total RNA and rRNA), compared to those who do not experience benefits of RT</w:t>
      </w:r>
      <w:r>
        <w:rPr>
          <w:vertAlign w:val="superscript"/>
        </w:rPr>
        <w:t xml:space="preserve">6,19,20</w:t>
      </w:r>
      <w:r>
        <w:t xml:space="preserve">.</w:t>
      </w:r>
      <w:r>
        <w:t xml:space="preserve"> </w:t>
      </w:r>
      <w:r>
        <w:t xml:space="preserve">. The findings from Hammarstrom et al.</w:t>
      </w:r>
      <w:r>
        <w:rPr>
          <w:vertAlign w:val="superscript"/>
        </w:rPr>
        <w:t xml:space="preserve">19</w:t>
      </w:r>
      <w:r>
        <w:t xml:space="preserve"> </w:t>
      </w:r>
      <w:r>
        <w:t xml:space="preserve">and Stec et al.</w:t>
      </w:r>
      <w:r>
        <w:rPr>
          <w:vertAlign w:val="superscript"/>
        </w:rPr>
        <w:t xml:space="preserve">20</w:t>
      </w:r>
      <w:r>
        <w:t xml:space="preserve"> </w:t>
      </w:r>
      <w:r>
        <w:t xml:space="preserve">along with research from Figueiredo et al.</w:t>
      </w:r>
      <w:r>
        <w:rPr>
          <w:vertAlign w:val="superscript"/>
        </w:rPr>
        <w:t xml:space="preserve">21,22</w:t>
      </w:r>
      <w:r>
        <w:t xml:space="preserve"> </w:t>
      </w:r>
      <w:r>
        <w:t xml:space="preserve"> </w:t>
      </w:r>
      <w:r>
        <w:t xml:space="preserve">suggests that ribosome biogenesis is indeed a prerequisite for RT-induced adaptations, increasing the translational capacity of the exercised skeletal muscle to support a higher MPS and thus hypertrophy.</w:t>
      </w:r>
      <w:r>
        <w:t xml:space="preserve"> </w:t>
      </w:r>
      <w:r>
        <w:t xml:space="preserve">Though occuring regardless of age, the variation in ribosome biogenesis is proposed to be larger or more impactful among the elderly, and recent investigations find an impaired ribosome biogenesis in aging skeletal muscle to be a likely contributor to anabolic resistance</w:t>
      </w:r>
      <w:r>
        <w:rPr>
          <w:vertAlign w:val="superscript"/>
        </w:rPr>
        <w:t xml:space="preserve">11,29</w:t>
      </w:r>
      <w:r>
        <w:t xml:space="preserve">. However, in rodents and human cell cultures, application of an exercise stimulus shifts aging muscle towards a younger profile</w:t>
      </w:r>
      <w:r>
        <w:rPr>
          <w:vertAlign w:val="superscript"/>
        </w:rPr>
        <w:t xml:space="preserve">30</w:t>
      </w:r>
      <w:r>
        <w:t xml:space="preserve">, potentially representing a treatment to the age-related impairment of ribosome biogenesis and subsequently anabolic resistance.</w:t>
      </w:r>
    </w:p>
    <w:p>
      <w:pPr>
        <w:pStyle w:val="BodyText"/>
      </w:pPr>
      <w:r>
        <w:t xml:space="preserve">##Paragraph: Increased training volume is expected to enhance the adaptations to RT, and elderly may need a higher training volume than young</w:t>
      </w:r>
    </w:p>
    <w:p>
      <w:pPr>
        <w:pStyle w:val="BodyText"/>
      </w:pPr>
      <w:r>
        <w:t xml:space="preserve">The dose-response relationship between resistance training volume and skeletal muscle hypertrophy has previously been described</w:t>
      </w:r>
      <w:r>
        <w:rPr>
          <w:vertAlign w:val="superscript"/>
        </w:rPr>
        <w:t xml:space="preserve">31,32</w:t>
      </w:r>
      <w:r>
        <w:t xml:space="preserve">, where a higher training volume elicits a stronger hypertrophic signal in the skeletal muscle. Therefore, an increased RT volume should in theory provide sufficient hypertrophic stimulus to the less responsive skeletal muscle of the elderly and ensure prevention or treatment of age-related conditions such as sarcopenia..</w:t>
      </w:r>
    </w:p>
    <w:p>
      <w:pPr>
        <w:pStyle w:val="BodyText"/>
      </w:pPr>
      <w:r>
        <w:t xml:space="preserve">it is logical that a higher RT volume may be necessary to elicit responses in the elderly compared to the young</w:t>
      </w:r>
    </w:p>
    <w:p>
      <w:pPr>
        <w:pStyle w:val="BodyText"/>
      </w:pPr>
      <w:r>
        <w:t xml:space="preserve">Anabolic resistance suggests that aging muscle is less responsive to exercise stimuli</w:t>
      </w:r>
      <w:r>
        <w:rPr>
          <w:vertAlign w:val="superscript"/>
        </w:rPr>
        <w:t xml:space="preserve">15,16</w:t>
      </w:r>
      <w:r>
        <w:t xml:space="preserve">,</w:t>
      </w:r>
    </w:p>
    <w:p>
      <w:pPr>
        <w:pStyle w:val="BodyText"/>
      </w:pPr>
      <w:r>
        <w:t xml:space="preserve">Currently, the literature suggests that the ability to synthesise ribosomes is affected by both resistance training</w:t>
      </w:r>
      <w:r>
        <w:rPr>
          <w:vertAlign w:val="superscript"/>
        </w:rPr>
        <w:t xml:space="preserve">19,21,33</w:t>
      </w:r>
      <w:r>
        <w:t xml:space="preserve"> </w:t>
      </w:r>
      <w:r>
        <w:t xml:space="preserve">and age whereas RT should initiate ribosome biogenesis, a response that may be reduced in the elderly. Therefore, it is necessary to determine how to optimise RT to ensure such initation of ribosome biogenesis.</w:t>
      </w:r>
    </w:p>
    <w:p>
      <w:pPr>
        <w:pStyle w:val="BodyText"/>
      </w:pPr>
      <w:r>
        <w:t xml:space="preserve">Fifth paragraph: Therefore, the present study aims to investigate the effects of 12 weeks with low versus moderate RT training volumes on muscle mass accretion in healthy untrained young and old..</w:t>
      </w:r>
    </w:p>
    <w:bookmarkEnd w:id="20"/>
    <w:bookmarkStart w:id="85" w:name="references"/>
    <w:p>
      <w:pPr>
        <w:pStyle w:val="Heading1"/>
      </w:pPr>
      <w:r>
        <w:t xml:space="preserve">References</w:t>
      </w:r>
    </w:p>
    <w:bookmarkStart w:id="84" w:name="refs"/>
    <w:bookmarkStart w:id="22" w:name="ref-fragala_resistance_2019"/>
    <w:p>
      <w:pPr>
        <w:pStyle w:val="Bibliography"/>
      </w:pPr>
      <w:r>
        <w:t xml:space="preserve">1</w:t>
      </w:r>
      <w:r>
        <w:t xml:space="preserve"> </w:t>
      </w:r>
      <w:r>
        <w:t xml:space="preserve">	</w:t>
      </w:r>
      <w:r>
        <w:t xml:space="preserve">Fragala MS, Cadore EL, Dorgo S et al.</w:t>
      </w:r>
      <w:r>
        <w:t xml:space="preserve"> </w:t>
      </w:r>
      <w:hyperlink r:id="rId21">
        <w:r>
          <w:rPr>
            <w:rStyle w:val="Hyperlink"/>
          </w:rPr>
          <w:t xml:space="preserve">Resistance</w:t>
        </w:r>
        <w:r>
          <w:rPr>
            <w:rStyle w:val="Hyperlink"/>
          </w:rPr>
          <w:t xml:space="preserve"> </w:t>
        </w:r>
        <w:r>
          <w:rPr>
            <w:rStyle w:val="Hyperlink"/>
          </w:rPr>
          <w:t xml:space="preserve">Training</w:t>
        </w:r>
        <w:r>
          <w:rPr>
            <w:rStyle w:val="Hyperlink"/>
          </w:rPr>
          <w:t xml:space="preserve"> </w:t>
        </w:r>
        <w:r>
          <w:rPr>
            <w:rStyle w:val="Hyperlink"/>
          </w:rPr>
          <w:t xml:space="preserve">for</w:t>
        </w:r>
        <w:r>
          <w:rPr>
            <w:rStyle w:val="Hyperlink"/>
          </w:rPr>
          <w:t xml:space="preserve"> </w:t>
        </w:r>
        <w:r>
          <w:rPr>
            <w:rStyle w:val="Hyperlink"/>
          </w:rPr>
          <w:t xml:space="preserve">Older</w:t>
        </w:r>
        <w:r>
          <w:rPr>
            <w:rStyle w:val="Hyperlink"/>
          </w:rPr>
          <w:t xml:space="preserve"> </w:t>
        </w:r>
        <w:r>
          <w:rPr>
            <w:rStyle w:val="Hyperlink"/>
          </w:rPr>
          <w:t xml:space="preserve">Adults</w:t>
        </w:r>
        <w:r>
          <w:rPr>
            <w:rStyle w:val="Hyperlink"/>
          </w:rPr>
          <w:t xml:space="preserve">:</w:t>
        </w:r>
        <w:r>
          <w:rPr>
            <w:rStyle w:val="Hyperlink"/>
          </w:rPr>
          <w:t xml:space="preserve"> </w:t>
        </w:r>
        <w:r>
          <w:rPr>
            <w:rStyle w:val="Hyperlink"/>
          </w:rPr>
          <w:t xml:space="preserve">Position</w:t>
        </w:r>
        <w:r>
          <w:rPr>
            <w:rStyle w:val="Hyperlink"/>
          </w:rPr>
          <w:t xml:space="preserve"> </w:t>
        </w:r>
        <w:r>
          <w:rPr>
            <w:rStyle w:val="Hyperlink"/>
          </w:rPr>
          <w:t xml:space="preserve">Statement</w:t>
        </w:r>
        <w:r>
          <w:rPr>
            <w:rStyle w:val="Hyperlink"/>
          </w:rPr>
          <w:t xml:space="preserve"> </w:t>
        </w:r>
        <w:r>
          <w:rPr>
            <w:rStyle w:val="Hyperlink"/>
          </w:rPr>
          <w:t xml:space="preserve">From</w:t>
        </w:r>
        <w:r>
          <w:rPr>
            <w:rStyle w:val="Hyperlink"/>
          </w:rPr>
          <w:t xml:space="preserve"> </w:t>
        </w:r>
        <w:r>
          <w:rPr>
            <w:rStyle w:val="Hyperlink"/>
          </w:rPr>
          <w:t xml:space="preserve">the</w:t>
        </w:r>
        <w:r>
          <w:rPr>
            <w:rStyle w:val="Hyperlink"/>
          </w:rPr>
          <w:t xml:space="preserve"> </w:t>
        </w:r>
        <w:r>
          <w:rPr>
            <w:rStyle w:val="Hyperlink"/>
          </w:rPr>
          <w:t xml:space="preserve">National</w:t>
        </w:r>
        <w:r>
          <w:rPr>
            <w:rStyle w:val="Hyperlink"/>
          </w:rPr>
          <w:t xml:space="preserve"> </w:t>
        </w:r>
        <w:r>
          <w:rPr>
            <w:rStyle w:val="Hyperlink"/>
          </w:rPr>
          <w:t xml:space="preserve">Strength</w:t>
        </w:r>
        <w:r>
          <w:rPr>
            <w:rStyle w:val="Hyperlink"/>
          </w:rPr>
          <w:t xml:space="preserve"> </w:t>
        </w:r>
        <w:r>
          <w:rPr>
            <w:rStyle w:val="Hyperlink"/>
          </w:rPr>
          <w:t xml:space="preserve">and</w:t>
        </w:r>
        <w:r>
          <w:rPr>
            <w:rStyle w:val="Hyperlink"/>
          </w:rPr>
          <w:t xml:space="preserve"> </w:t>
        </w:r>
        <w:r>
          <w:rPr>
            <w:rStyle w:val="Hyperlink"/>
          </w:rPr>
          <w:t xml:space="preserve">Conditioning</w:t>
        </w:r>
        <w:r>
          <w:rPr>
            <w:rStyle w:val="Hyperlink"/>
          </w:rPr>
          <w:t xml:space="preserve"> </w:t>
        </w:r>
        <w:r>
          <w:rPr>
            <w:rStyle w:val="Hyperlink"/>
          </w:rPr>
          <w:t xml:space="preserve">Association</w:t>
        </w:r>
      </w:hyperlink>
      <w:r>
        <w:t xml:space="preserve">.</w:t>
      </w:r>
      <w:r>
        <w:t xml:space="preserve"> </w:t>
      </w:r>
      <w:r>
        <w:rPr>
          <w:iCs/>
          <w:i/>
        </w:rPr>
        <w:t xml:space="preserve">Journal of Strength and Conditioning Research</w:t>
      </w:r>
      <w:r>
        <w:t xml:space="preserve">. 2019;33(8):2019–2052.</w:t>
      </w:r>
    </w:p>
    <w:bookmarkEnd w:id="22"/>
    <w:bookmarkStart w:id="24" w:name="ref-timmons_molecular_2016"/>
    <w:p>
      <w:pPr>
        <w:pStyle w:val="Bibliography"/>
      </w:pPr>
      <w:r>
        <w:t xml:space="preserve">2</w:t>
      </w:r>
      <w:r>
        <w:t xml:space="preserve"> </w:t>
      </w:r>
      <w:r>
        <w:t xml:space="preserve">	</w:t>
      </w:r>
      <w:r>
        <w:t xml:space="preserve">Timmons JA, Gallagher IJ.</w:t>
      </w:r>
      <w:r>
        <w:t xml:space="preserve"> </w:t>
      </w:r>
      <w:hyperlink r:id="rId23">
        <w:r>
          <w:rPr>
            <w:rStyle w:val="Hyperlink"/>
          </w:rPr>
          <w:t xml:space="preserve">Molecular studies of exercise, skeletal muscle, and ageing</w:t>
        </w:r>
      </w:hyperlink>
      <w:r>
        <w:t xml:space="preserve">.</w:t>
      </w:r>
      <w:r>
        <w:t xml:space="preserve"> </w:t>
      </w:r>
      <w:r>
        <w:rPr>
          <w:iCs/>
          <w:i/>
        </w:rPr>
        <w:t xml:space="preserve">F1000Research</w:t>
      </w:r>
      <w:r>
        <w:t xml:space="preserve">. 2016;5:1087.</w:t>
      </w:r>
    </w:p>
    <w:bookmarkEnd w:id="24"/>
    <w:bookmarkStart w:id="26" w:name="ref-bamman_cluster_2007"/>
    <w:p>
      <w:pPr>
        <w:pStyle w:val="Bibliography"/>
      </w:pPr>
      <w:r>
        <w:t xml:space="preserve">3</w:t>
      </w:r>
      <w:r>
        <w:t xml:space="preserve"> </w:t>
      </w:r>
      <w:r>
        <w:t xml:space="preserve">	</w:t>
      </w:r>
      <w:r>
        <w:t xml:space="preserve">Bamman MM, Petrella JK, Kim J, Mayhew DL, Cross JM.</w:t>
      </w:r>
      <w:r>
        <w:t xml:space="preserve"> </w:t>
      </w:r>
      <w:hyperlink r:id="rId25">
        <w:r>
          <w:rPr>
            <w:rStyle w:val="Hyperlink"/>
          </w:rPr>
          <w:t xml:space="preserve">Cluster analysis tests the importance of myogenic gene expression during myofiber hypertrophy in humans</w:t>
        </w:r>
      </w:hyperlink>
      <w:r>
        <w:t xml:space="preserve">.</w:t>
      </w:r>
      <w:r>
        <w:t xml:space="preserve"> </w:t>
      </w:r>
      <w:r>
        <w:rPr>
          <w:iCs/>
          <w:i/>
        </w:rPr>
        <w:t xml:space="preserve">Journal of Applied Physiology</w:t>
      </w:r>
      <w:r>
        <w:t xml:space="preserve">. 2007;102(6):2232–2239.</w:t>
      </w:r>
    </w:p>
    <w:bookmarkEnd w:id="26"/>
    <w:bookmarkStart w:id="28" w:name="ref-hammarstrom_benefits_2020-1"/>
    <w:p>
      <w:pPr>
        <w:pStyle w:val="Bibliography"/>
      </w:pPr>
      <w:r>
        <w:t xml:space="preserve">4</w:t>
      </w:r>
      <w:r>
        <w:t xml:space="preserve"> </w:t>
      </w:r>
      <w:r>
        <w:t xml:space="preserve">	</w:t>
      </w:r>
      <w:r>
        <w:t xml:space="preserve">Hammarström D, Øfsteng S, Koll L et al.</w:t>
      </w:r>
      <w:r>
        <w:t xml:space="preserve"> </w:t>
      </w:r>
      <w:hyperlink r:id="rId27">
        <w:r>
          <w:rPr>
            <w:rStyle w:val="Hyperlink"/>
          </w:rPr>
          <w:t xml:space="preserve">Benefits of higher resistance‐training volume are related to ribosome biogenesis</w:t>
        </w:r>
      </w:hyperlink>
      <w:r>
        <w:t xml:space="preserve">.</w:t>
      </w:r>
      <w:r>
        <w:t xml:space="preserve"> </w:t>
      </w:r>
      <w:r>
        <w:rPr>
          <w:iCs/>
          <w:i/>
        </w:rPr>
        <w:t xml:space="preserve">The Journal of Physiology</w:t>
      </w:r>
      <w:r>
        <w:t xml:space="preserve">. 2020;598(3):543–565.</w:t>
      </w:r>
    </w:p>
    <w:bookmarkEnd w:id="28"/>
    <w:bookmarkStart w:id="29" w:name="ref-hubal_variability_2005"/>
    <w:p>
      <w:pPr>
        <w:pStyle w:val="Bibliography"/>
      </w:pPr>
      <w:r>
        <w:t xml:space="preserve">5</w:t>
      </w:r>
      <w:r>
        <w:t xml:space="preserve"> </w:t>
      </w:r>
      <w:r>
        <w:t xml:space="preserve">	</w:t>
      </w:r>
      <w:r>
        <w:t xml:space="preserve">Hubal MJ, Gordish-Dressman H, Thompson PD et al. Variability in</w:t>
      </w:r>
      <w:r>
        <w:t xml:space="preserve"> </w:t>
      </w:r>
      <w:r>
        <w:t xml:space="preserve">Muscle</w:t>
      </w:r>
      <w:r>
        <w:t xml:space="preserve"> </w:t>
      </w:r>
      <w:r>
        <w:t xml:space="preserve">Size</w:t>
      </w:r>
      <w:r>
        <w:t xml:space="preserve"> </w:t>
      </w:r>
      <w:r>
        <w:t xml:space="preserve">and</w:t>
      </w:r>
      <w:r>
        <w:t xml:space="preserve"> </w:t>
      </w:r>
      <w:r>
        <w:t xml:space="preserve">Strength</w:t>
      </w:r>
      <w:r>
        <w:t xml:space="preserve"> </w:t>
      </w:r>
      <w:r>
        <w:t xml:space="preserve">Gain</w:t>
      </w:r>
      <w:r>
        <w:t xml:space="preserve"> </w:t>
      </w:r>
      <w:r>
        <w:t xml:space="preserve">after</w:t>
      </w:r>
      <w:r>
        <w:t xml:space="preserve"> </w:t>
      </w:r>
      <w:r>
        <w:t xml:space="preserve">Unilateral</w:t>
      </w:r>
      <w:r>
        <w:t xml:space="preserve"> </w:t>
      </w:r>
      <w:r>
        <w:t xml:space="preserve">Resistance</w:t>
      </w:r>
      <w:r>
        <w:t xml:space="preserve"> </w:t>
      </w:r>
      <w:r>
        <w:t xml:space="preserve">Training</w:t>
      </w:r>
      <w:r>
        <w:t xml:space="preserve">.</w:t>
      </w:r>
      <w:r>
        <w:t xml:space="preserve"> </w:t>
      </w:r>
      <w:r>
        <w:rPr>
          <w:iCs/>
          <w:i/>
        </w:rPr>
        <w:t xml:space="preserve">Medicine &amp; Science in Sports &amp; Exercise</w:t>
      </w:r>
      <w:r>
        <w:t xml:space="preserve">. 2005;37(6):964–972.</w:t>
      </w:r>
    </w:p>
    <w:bookmarkEnd w:id="29"/>
    <w:bookmarkStart w:id="31" w:name="ref-stec_effects_2015"/>
    <w:p>
      <w:pPr>
        <w:pStyle w:val="Bibliography"/>
      </w:pPr>
      <w:r>
        <w:t xml:space="preserve">6</w:t>
      </w:r>
      <w:r>
        <w:t xml:space="preserve"> </w:t>
      </w:r>
      <w:r>
        <w:t xml:space="preserve">	</w:t>
      </w:r>
      <w:r>
        <w:t xml:space="preserve">Stec MJ, Mayhew DL, Bamman MM.</w:t>
      </w:r>
      <w:r>
        <w:t xml:space="preserve"> </w:t>
      </w:r>
      <w:hyperlink r:id="rId30">
        <w:r>
          <w:rPr>
            <w:rStyle w:val="Hyperlink"/>
          </w:rPr>
          <w:t xml:space="preserve">The effects of age and resistance loading on skeletal muscle ribosome biogenesis</w:t>
        </w:r>
      </w:hyperlink>
      <w:r>
        <w:t xml:space="preserve">.</w:t>
      </w:r>
      <w:r>
        <w:t xml:space="preserve"> </w:t>
      </w:r>
      <w:r>
        <w:rPr>
          <w:iCs/>
          <w:i/>
        </w:rPr>
        <w:t xml:space="preserve">Journal of Applied Physiology</w:t>
      </w:r>
      <w:r>
        <w:t xml:space="preserve">. 2015;119(8):851–857.</w:t>
      </w:r>
    </w:p>
    <w:bookmarkEnd w:id="31"/>
    <w:bookmarkStart w:id="33" w:name="ref-stec_ribosome_2016-1"/>
    <w:p>
      <w:pPr>
        <w:pStyle w:val="Bibliography"/>
      </w:pPr>
      <w:r>
        <w:t xml:space="preserve">7</w:t>
      </w:r>
      <w:r>
        <w:t xml:space="preserve"> </w:t>
      </w:r>
      <w:r>
        <w:t xml:space="preserve">	</w:t>
      </w:r>
      <w:r>
        <w:t xml:space="preserve">Stec MJ, Kelly NA, Many GM, Windham ST, Tuggle SC, Bamman MM.</w:t>
      </w:r>
      <w:r>
        <w:t xml:space="preserve"> </w:t>
      </w:r>
      <w:hyperlink r:id="rId32">
        <w:r>
          <w:rPr>
            <w:rStyle w:val="Hyperlink"/>
          </w:rPr>
          <w:t xml:space="preserve">Ribosome biogenesis may augment resistance training-induced myofiber hypertrophy and is required for myotube growth in vitro</w:t>
        </w:r>
      </w:hyperlink>
      <w:r>
        <w:t xml:space="preserve">.</w:t>
      </w:r>
      <w:r>
        <w:t xml:space="preserve"> </w:t>
      </w:r>
      <w:r>
        <w:rPr>
          <w:iCs/>
          <w:i/>
        </w:rPr>
        <w:t xml:space="preserve">American Journal of Physiology-Endocrinology and Metabolism</w:t>
      </w:r>
      <w:r>
        <w:t xml:space="preserve">. 2016;310(8):E652–E661.</w:t>
      </w:r>
    </w:p>
    <w:bookmarkEnd w:id="33"/>
    <w:bookmarkStart w:id="35" w:name="ref-timmons_variability_2011"/>
    <w:p>
      <w:pPr>
        <w:pStyle w:val="Bibliography"/>
      </w:pPr>
      <w:r>
        <w:t xml:space="preserve">8</w:t>
      </w:r>
      <w:r>
        <w:t xml:space="preserve"> </w:t>
      </w:r>
      <w:r>
        <w:t xml:space="preserve">	</w:t>
      </w:r>
      <w:r>
        <w:t xml:space="preserve">Timmons JA.</w:t>
      </w:r>
      <w:r>
        <w:t xml:space="preserve"> </w:t>
      </w:r>
      <w:hyperlink r:id="rId34">
        <w:r>
          <w:rPr>
            <w:rStyle w:val="Hyperlink"/>
          </w:rPr>
          <w:t xml:space="preserve">Variability in training-induced skeletal muscle adaptation</w:t>
        </w:r>
      </w:hyperlink>
      <w:r>
        <w:t xml:space="preserve">.</w:t>
      </w:r>
      <w:r>
        <w:t xml:space="preserve"> </w:t>
      </w:r>
      <w:r>
        <w:rPr>
          <w:iCs/>
          <w:i/>
        </w:rPr>
        <w:t xml:space="preserve">Journal of Applied Physiology</w:t>
      </w:r>
      <w:r>
        <w:t xml:space="preserve">. 2011;110(3):846–853.</w:t>
      </w:r>
    </w:p>
    <w:bookmarkEnd w:id="35"/>
    <w:bookmarkStart w:id="37" w:name="ref-li_associations_2018"/>
    <w:p>
      <w:pPr>
        <w:pStyle w:val="Bibliography"/>
      </w:pPr>
      <w:r>
        <w:t xml:space="preserve">9</w:t>
      </w:r>
      <w:r>
        <w:t xml:space="preserve"> </w:t>
      </w:r>
      <w:r>
        <w:t xml:space="preserve">	</w:t>
      </w:r>
      <w:r>
        <w:t xml:space="preserve">Li R, Xia J, Zhang X et al.</w:t>
      </w:r>
      <w:r>
        <w:t xml:space="preserve"> </w:t>
      </w:r>
      <w:hyperlink r:id="rId36">
        <w:r>
          <w:rPr>
            <w:rStyle w:val="Hyperlink"/>
          </w:rPr>
          <w:t xml:space="preserve">Associations of</w:t>
        </w:r>
        <w:r>
          <w:rPr>
            <w:rStyle w:val="Hyperlink"/>
          </w:rPr>
          <w:t xml:space="preserve"> </w:t>
        </w:r>
        <w:r>
          <w:rPr>
            <w:rStyle w:val="Hyperlink"/>
          </w:rPr>
          <w:t xml:space="preserve">Muscle</w:t>
        </w:r>
        <w:r>
          <w:rPr>
            <w:rStyle w:val="Hyperlink"/>
          </w:rPr>
          <w:t xml:space="preserve"> </w:t>
        </w:r>
        <w:r>
          <w:rPr>
            <w:rStyle w:val="Hyperlink"/>
          </w:rPr>
          <w:t xml:space="preserve">Mass</w:t>
        </w:r>
        <w:r>
          <w:rPr>
            <w:rStyle w:val="Hyperlink"/>
          </w:rPr>
          <w:t xml:space="preserve"> </w:t>
        </w:r>
        <w:r>
          <w:rPr>
            <w:rStyle w:val="Hyperlink"/>
          </w:rPr>
          <w:t xml:space="preserve">and</w:t>
        </w:r>
        <w:r>
          <w:rPr>
            <w:rStyle w:val="Hyperlink"/>
          </w:rPr>
          <w:t xml:space="preserve"> </w:t>
        </w:r>
        <w:r>
          <w:rPr>
            <w:rStyle w:val="Hyperlink"/>
          </w:rPr>
          <w:t xml:space="preserve">Strength</w:t>
        </w:r>
        <w:r>
          <w:rPr>
            <w:rStyle w:val="Hyperlink"/>
          </w:rPr>
          <w:t xml:space="preserve"> </w:t>
        </w:r>
        <w:r>
          <w:rPr>
            <w:rStyle w:val="Hyperlink"/>
          </w:rPr>
          <w:t xml:space="preserve">with</w:t>
        </w:r>
        <w:r>
          <w:rPr>
            <w:rStyle w:val="Hyperlink"/>
          </w:rPr>
          <w:t xml:space="preserve"> </w:t>
        </w:r>
        <w:r>
          <w:rPr>
            <w:rStyle w:val="Hyperlink"/>
          </w:rPr>
          <w:t xml:space="preserve">All</w:t>
        </w:r>
        <w:r>
          <w:rPr>
            <w:rStyle w:val="Hyperlink"/>
          </w:rPr>
          <w:t xml:space="preserve">-</w:t>
        </w:r>
        <w:r>
          <w:rPr>
            <w:rStyle w:val="Hyperlink"/>
          </w:rPr>
          <w:t xml:space="preserve">Cause</w:t>
        </w:r>
        <w:r>
          <w:rPr>
            <w:rStyle w:val="Hyperlink"/>
          </w:rPr>
          <w:t xml:space="preserve"> </w:t>
        </w:r>
        <w:r>
          <w:rPr>
            <w:rStyle w:val="Hyperlink"/>
          </w:rPr>
          <w:t xml:space="preserve">Mortality</w:t>
        </w:r>
        <w:r>
          <w:rPr>
            <w:rStyle w:val="Hyperlink"/>
          </w:rPr>
          <w:t xml:space="preserve"> </w:t>
        </w:r>
        <w:r>
          <w:rPr>
            <w:rStyle w:val="Hyperlink"/>
          </w:rPr>
          <w:t xml:space="preserve">among</w:t>
        </w:r>
        <w:r>
          <w:rPr>
            <w:rStyle w:val="Hyperlink"/>
          </w:rPr>
          <w:t xml:space="preserve"> </w:t>
        </w:r>
        <w:r>
          <w:rPr>
            <w:rStyle w:val="Hyperlink"/>
          </w:rPr>
          <w:t xml:space="preserve">US</w:t>
        </w:r>
        <w:r>
          <w:rPr>
            <w:rStyle w:val="Hyperlink"/>
          </w:rPr>
          <w:t xml:space="preserve"> </w:t>
        </w:r>
        <w:r>
          <w:rPr>
            <w:rStyle w:val="Hyperlink"/>
          </w:rPr>
          <w:t xml:space="preserve">Older</w:t>
        </w:r>
        <w:r>
          <w:rPr>
            <w:rStyle w:val="Hyperlink"/>
          </w:rPr>
          <w:t xml:space="preserve"> </w:t>
        </w:r>
        <w:r>
          <w:rPr>
            <w:rStyle w:val="Hyperlink"/>
          </w:rPr>
          <w:t xml:space="preserve">Adults</w:t>
        </w:r>
      </w:hyperlink>
      <w:r>
        <w:t xml:space="preserve">.</w:t>
      </w:r>
      <w:r>
        <w:t xml:space="preserve"> </w:t>
      </w:r>
      <w:r>
        <w:rPr>
          <w:iCs/>
          <w:i/>
        </w:rPr>
        <w:t xml:space="preserve">Medicine &amp; Science in Sports &amp; Exercise</w:t>
      </w:r>
      <w:r>
        <w:t xml:space="preserve">. 2018;50(3):458–467.</w:t>
      </w:r>
    </w:p>
    <w:bookmarkEnd w:id="37"/>
    <w:bookmarkStart w:id="39" w:name="ref-scheerman_sarcopenia_2021"/>
    <w:p>
      <w:pPr>
        <w:pStyle w:val="Bibliography"/>
      </w:pPr>
      <w:r>
        <w:t xml:space="preserve">10</w:t>
      </w:r>
      <w:r>
        <w:t xml:space="preserve"> </w:t>
      </w:r>
      <w:r>
        <w:t xml:space="preserve">	</w:t>
      </w:r>
      <w:r>
        <w:t xml:space="preserve">Scheerman K, Meskers CGM, Verlaan S, Maier AB.</w:t>
      </w:r>
      <w:r>
        <w:t xml:space="preserve"> </w:t>
      </w:r>
      <w:hyperlink r:id="rId38">
        <w:r>
          <w:rPr>
            <w:rStyle w:val="Hyperlink"/>
          </w:rPr>
          <w:t xml:space="preserve">Sarcopenia,</w:t>
        </w:r>
        <w:r>
          <w:rPr>
            <w:rStyle w:val="Hyperlink"/>
          </w:rPr>
          <w:t xml:space="preserve"> </w:t>
        </w:r>
        <w:r>
          <w:rPr>
            <w:rStyle w:val="Hyperlink"/>
          </w:rPr>
          <w:t xml:space="preserve">Low</w:t>
        </w:r>
        <w:r>
          <w:rPr>
            <w:rStyle w:val="Hyperlink"/>
          </w:rPr>
          <w:t xml:space="preserve"> </w:t>
        </w:r>
        <w:r>
          <w:rPr>
            <w:rStyle w:val="Hyperlink"/>
          </w:rPr>
          <w:t xml:space="preserve">Handgrip</w:t>
        </w:r>
        <w:r>
          <w:rPr>
            <w:rStyle w:val="Hyperlink"/>
          </w:rPr>
          <w:t xml:space="preserve"> </w:t>
        </w:r>
        <w:r>
          <w:rPr>
            <w:rStyle w:val="Hyperlink"/>
          </w:rPr>
          <w:t xml:space="preserve">Strength</w:t>
        </w:r>
        <w:r>
          <w:rPr>
            <w:rStyle w:val="Hyperlink"/>
          </w:rPr>
          <w:t xml:space="preserve">, and</w:t>
        </w:r>
        <w:r>
          <w:rPr>
            <w:rStyle w:val="Hyperlink"/>
          </w:rPr>
          <w:t xml:space="preserve"> </w:t>
        </w:r>
        <w:r>
          <w:rPr>
            <w:rStyle w:val="Hyperlink"/>
          </w:rPr>
          <w:t xml:space="preserve">Low</w:t>
        </w:r>
        <w:r>
          <w:rPr>
            <w:rStyle w:val="Hyperlink"/>
          </w:rPr>
          <w:t xml:space="preserve"> </w:t>
        </w:r>
        <w:r>
          <w:rPr>
            <w:rStyle w:val="Hyperlink"/>
          </w:rPr>
          <w:t xml:space="preserve">Absolute</w:t>
        </w:r>
        <w:r>
          <w:rPr>
            <w:rStyle w:val="Hyperlink"/>
          </w:rPr>
          <w:t xml:space="preserve"> </w:t>
        </w:r>
        <w:r>
          <w:rPr>
            <w:rStyle w:val="Hyperlink"/>
          </w:rPr>
          <w:t xml:space="preserve">Muscle</w:t>
        </w:r>
        <w:r>
          <w:rPr>
            <w:rStyle w:val="Hyperlink"/>
          </w:rPr>
          <w:t xml:space="preserve"> </w:t>
        </w:r>
        <w:r>
          <w:rPr>
            <w:rStyle w:val="Hyperlink"/>
          </w:rPr>
          <w:t xml:space="preserve">Mass</w:t>
        </w:r>
        <w:r>
          <w:rPr>
            <w:rStyle w:val="Hyperlink"/>
          </w:rPr>
          <w:t xml:space="preserve"> </w:t>
        </w:r>
        <w:r>
          <w:rPr>
            <w:rStyle w:val="Hyperlink"/>
          </w:rPr>
          <w:t xml:space="preserve">Predict</w:t>
        </w:r>
        <w:r>
          <w:rPr>
            <w:rStyle w:val="Hyperlink"/>
          </w:rPr>
          <w:t xml:space="preserve"> </w:t>
        </w:r>
        <w:r>
          <w:rPr>
            <w:rStyle w:val="Hyperlink"/>
          </w:rPr>
          <w:t xml:space="preserve">Long</w:t>
        </w:r>
        <w:r>
          <w:rPr>
            <w:rStyle w:val="Hyperlink"/>
          </w:rPr>
          <w:t xml:space="preserve">-</w:t>
        </w:r>
        <w:r>
          <w:rPr>
            <w:rStyle w:val="Hyperlink"/>
          </w:rPr>
          <w:t xml:space="preserve">Term</w:t>
        </w:r>
        <w:r>
          <w:rPr>
            <w:rStyle w:val="Hyperlink"/>
          </w:rPr>
          <w:t xml:space="preserve"> </w:t>
        </w:r>
        <w:r>
          <w:rPr>
            <w:rStyle w:val="Hyperlink"/>
          </w:rPr>
          <w:t xml:space="preserve">Mortality</w:t>
        </w:r>
        <w:r>
          <w:rPr>
            <w:rStyle w:val="Hyperlink"/>
          </w:rPr>
          <w:t xml:space="preserve"> </w:t>
        </w:r>
        <w:r>
          <w:rPr>
            <w:rStyle w:val="Hyperlink"/>
          </w:rPr>
          <w:t xml:space="preserve">in</w:t>
        </w:r>
        <w:r>
          <w:rPr>
            <w:rStyle w:val="Hyperlink"/>
          </w:rPr>
          <w:t xml:space="preserve"> </w:t>
        </w:r>
        <w:r>
          <w:rPr>
            <w:rStyle w:val="Hyperlink"/>
          </w:rPr>
          <w:t xml:space="preserve">Older</w:t>
        </w:r>
        <w:r>
          <w:rPr>
            <w:rStyle w:val="Hyperlink"/>
          </w:rPr>
          <w:t xml:space="preserve"> </w:t>
        </w:r>
        <w:r>
          <w:rPr>
            <w:rStyle w:val="Hyperlink"/>
          </w:rPr>
          <w:t xml:space="preserve">Hospitalized</w:t>
        </w:r>
        <w:r>
          <w:rPr>
            <w:rStyle w:val="Hyperlink"/>
          </w:rPr>
          <w:t xml:space="preserve"> </w:t>
        </w:r>
        <w:r>
          <w:rPr>
            <w:rStyle w:val="Hyperlink"/>
          </w:rPr>
          <w:t xml:space="preserve">Patients</w:t>
        </w:r>
        <w:r>
          <w:rPr>
            <w:rStyle w:val="Hyperlink"/>
          </w:rPr>
          <w:t xml:space="preserve">:</w:t>
        </w:r>
        <w:r>
          <w:rPr>
            <w:rStyle w:val="Hyperlink"/>
          </w:rPr>
          <w:t xml:space="preserve"> </w:t>
        </w:r>
        <w:r>
          <w:rPr>
            <w:rStyle w:val="Hyperlink"/>
          </w:rPr>
          <w:t xml:space="preserve">An</w:t>
        </w:r>
        <w:r>
          <w:rPr>
            <w:rStyle w:val="Hyperlink"/>
          </w:rPr>
          <w:t xml:space="preserve"> </w:t>
        </w:r>
        <w:r>
          <w:rPr>
            <w:rStyle w:val="Hyperlink"/>
          </w:rPr>
          <w:t xml:space="preserve">Observational</w:t>
        </w:r>
        <w:r>
          <w:rPr>
            <w:rStyle w:val="Hyperlink"/>
          </w:rPr>
          <w:t xml:space="preserve"> </w:t>
        </w:r>
        <w:r>
          <w:rPr>
            <w:rStyle w:val="Hyperlink"/>
          </w:rPr>
          <w:t xml:space="preserve">Inception</w:t>
        </w:r>
        <w:r>
          <w:rPr>
            <w:rStyle w:val="Hyperlink"/>
          </w:rPr>
          <w:t xml:space="preserve"> </w:t>
        </w:r>
        <w:r>
          <w:rPr>
            <w:rStyle w:val="Hyperlink"/>
          </w:rPr>
          <w:t xml:space="preserve">Cohort</w:t>
        </w:r>
        <w:r>
          <w:rPr>
            <w:rStyle w:val="Hyperlink"/>
          </w:rPr>
          <w:t xml:space="preserve"> </w:t>
        </w:r>
        <w:r>
          <w:rPr>
            <w:rStyle w:val="Hyperlink"/>
          </w:rPr>
          <w:t xml:space="preserve">Study</w:t>
        </w:r>
      </w:hyperlink>
      <w:r>
        <w:t xml:space="preserve">.</w:t>
      </w:r>
      <w:r>
        <w:t xml:space="preserve"> </w:t>
      </w:r>
      <w:r>
        <w:rPr>
          <w:iCs/>
          <w:i/>
        </w:rPr>
        <w:t xml:space="preserve">Journal of the American Medical Directors Association</w:t>
      </w:r>
      <w:r>
        <w:t xml:space="preserve">. 2021;22(4):816–820.e2.</w:t>
      </w:r>
    </w:p>
    <w:bookmarkEnd w:id="39"/>
    <w:bookmarkStart w:id="41" w:name="ref-hodson_molecular_2019"/>
    <w:p>
      <w:pPr>
        <w:pStyle w:val="Bibliography"/>
      </w:pPr>
      <w:r>
        <w:t xml:space="preserve">11</w:t>
      </w:r>
      <w:r>
        <w:t xml:space="preserve"> </w:t>
      </w:r>
      <w:r>
        <w:t xml:space="preserve">	</w:t>
      </w:r>
      <w:r>
        <w:t xml:space="preserve">Hodson N, West DWD, Philp A, Burd NA, Moore DR.</w:t>
      </w:r>
      <w:r>
        <w:t xml:space="preserve"> </w:t>
      </w:r>
      <w:hyperlink r:id="rId40">
        <w:r>
          <w:rPr>
            <w:rStyle w:val="Hyperlink"/>
          </w:rPr>
          <w:t xml:space="preserve">Molecular regulation of human skeletal muscle protein synthesis in response to exercise and nutrients: A compass for overcoming age-related anabolic resistance</w:t>
        </w:r>
      </w:hyperlink>
      <w:r>
        <w:t xml:space="preserve">.</w:t>
      </w:r>
      <w:r>
        <w:t xml:space="preserve"> </w:t>
      </w:r>
      <w:r>
        <w:rPr>
          <w:iCs/>
          <w:i/>
        </w:rPr>
        <w:t xml:space="preserve">American Journal of Physiology-Cell Physiology</w:t>
      </w:r>
      <w:r>
        <w:t xml:space="preserve">. 2019;317(6):C1061–C1078.</w:t>
      </w:r>
    </w:p>
    <w:bookmarkEnd w:id="41"/>
    <w:bookmarkStart w:id="43" w:name="ref-liu_causal_2023"/>
    <w:p>
      <w:pPr>
        <w:pStyle w:val="Bibliography"/>
      </w:pPr>
      <w:r>
        <w:t xml:space="preserve">12</w:t>
      </w:r>
      <w:r>
        <w:t xml:space="preserve"> </w:t>
      </w:r>
      <w:r>
        <w:t xml:space="preserve">	</w:t>
      </w:r>
      <w:r>
        <w:t xml:space="preserve">Liu Z-J, Zhu C-F.</w:t>
      </w:r>
      <w:r>
        <w:t xml:space="preserve"> </w:t>
      </w:r>
      <w:hyperlink r:id="rId42">
        <w:r>
          <w:rPr>
            <w:rStyle w:val="Hyperlink"/>
          </w:rPr>
          <w:t xml:space="preserve">Causal relationship between insulin resistance and sarcopenia</w:t>
        </w:r>
      </w:hyperlink>
      <w:r>
        <w:t xml:space="preserve">.</w:t>
      </w:r>
      <w:r>
        <w:t xml:space="preserve"> </w:t>
      </w:r>
      <w:r>
        <w:rPr>
          <w:iCs/>
          <w:i/>
        </w:rPr>
        <w:t xml:space="preserve">Diabetology &amp; Metabolic Syndrome</w:t>
      </w:r>
      <w:r>
        <w:t xml:space="preserve">. 2023;15(1):46.</w:t>
      </w:r>
    </w:p>
    <w:bookmarkEnd w:id="43"/>
    <w:bookmarkStart w:id="45" w:name="ref-kim_body_2013"/>
    <w:p>
      <w:pPr>
        <w:pStyle w:val="Bibliography"/>
      </w:pPr>
      <w:r>
        <w:t xml:space="preserve">13</w:t>
      </w:r>
      <w:r>
        <w:t xml:space="preserve"> </w:t>
      </w:r>
      <w:r>
        <w:t xml:space="preserve">	</w:t>
      </w:r>
      <w:r>
        <w:t xml:space="preserve">Kim TN, Park MS, Yang SJ et al.</w:t>
      </w:r>
      <w:r>
        <w:t xml:space="preserve"> </w:t>
      </w:r>
      <w:hyperlink r:id="rId44">
        <w:r>
          <w:rPr>
            <w:rStyle w:val="Hyperlink"/>
          </w:rPr>
          <w:t xml:space="preserve">Body</w:t>
        </w:r>
        <w:r>
          <w:rPr>
            <w:rStyle w:val="Hyperlink"/>
          </w:rPr>
          <w:t xml:space="preserve"> </w:t>
        </w:r>
        <w:r>
          <w:rPr>
            <w:rStyle w:val="Hyperlink"/>
          </w:rPr>
          <w:t xml:space="preserve">Size</w:t>
        </w:r>
        <w:r>
          <w:rPr>
            <w:rStyle w:val="Hyperlink"/>
          </w:rPr>
          <w:t xml:space="preserve"> </w:t>
        </w:r>
        <w:r>
          <w:rPr>
            <w:rStyle w:val="Hyperlink"/>
          </w:rPr>
          <w:t xml:space="preserve">Phenotypes</w:t>
        </w:r>
        <w:r>
          <w:rPr>
            <w:rStyle w:val="Hyperlink"/>
          </w:rPr>
          <w:t xml:space="preserve"> </w:t>
        </w:r>
        <w:r>
          <w:rPr>
            <w:rStyle w:val="Hyperlink"/>
          </w:rPr>
          <w:t xml:space="preserve">and</w:t>
        </w:r>
        <w:r>
          <w:rPr>
            <w:rStyle w:val="Hyperlink"/>
          </w:rPr>
          <w:t xml:space="preserve"> </w:t>
        </w:r>
        <w:r>
          <w:rPr>
            <w:rStyle w:val="Hyperlink"/>
          </w:rPr>
          <w:t xml:space="preserve">Low</w:t>
        </w:r>
        <w:r>
          <w:rPr>
            <w:rStyle w:val="Hyperlink"/>
          </w:rPr>
          <w:t xml:space="preserve"> </w:t>
        </w:r>
        <w:r>
          <w:rPr>
            <w:rStyle w:val="Hyperlink"/>
          </w:rPr>
          <w:t xml:space="preserve">Muscle</w:t>
        </w:r>
        <w:r>
          <w:rPr>
            <w:rStyle w:val="Hyperlink"/>
          </w:rPr>
          <w:t xml:space="preserve"> </w:t>
        </w:r>
        <w:r>
          <w:rPr>
            <w:rStyle w:val="Hyperlink"/>
          </w:rPr>
          <w:t xml:space="preserve">Mass</w:t>
        </w:r>
        <w:r>
          <w:rPr>
            <w:rStyle w:val="Hyperlink"/>
          </w:rPr>
          <w:t xml:space="preserve">:</w:t>
        </w:r>
        <w:r>
          <w:rPr>
            <w:rStyle w:val="Hyperlink"/>
          </w:rPr>
          <w:t xml:space="preserve"> </w:t>
        </w:r>
        <w:r>
          <w:rPr>
            <w:rStyle w:val="Hyperlink"/>
          </w:rPr>
          <w:t xml:space="preserve">The</w:t>
        </w:r>
        <w:r>
          <w:rPr>
            <w:rStyle w:val="Hyperlink"/>
          </w:rPr>
          <w:t xml:space="preserve"> </w:t>
        </w:r>
        <w:r>
          <w:rPr>
            <w:rStyle w:val="Hyperlink"/>
          </w:rPr>
          <w:t xml:space="preserve">Korean</w:t>
        </w:r>
        <w:r>
          <w:rPr>
            <w:rStyle w:val="Hyperlink"/>
          </w:rPr>
          <w:t xml:space="preserve"> </w:t>
        </w:r>
        <w:r>
          <w:rPr>
            <w:rStyle w:val="Hyperlink"/>
          </w:rPr>
          <w:t xml:space="preserve">Sarcopenic</w:t>
        </w:r>
        <w:r>
          <w:rPr>
            <w:rStyle w:val="Hyperlink"/>
          </w:rPr>
          <w:t xml:space="preserve"> </w:t>
        </w:r>
        <w:r>
          <w:rPr>
            <w:rStyle w:val="Hyperlink"/>
          </w:rPr>
          <w:t xml:space="preserve">Obesity</w:t>
        </w:r>
        <w:r>
          <w:rPr>
            <w:rStyle w:val="Hyperlink"/>
          </w:rPr>
          <w:t xml:space="preserve"> </w:t>
        </w:r>
        <w:r>
          <w:rPr>
            <w:rStyle w:val="Hyperlink"/>
          </w:rPr>
          <w:t xml:space="preserve">Study</w:t>
        </w:r>
        <w:r>
          <w:rPr>
            <w:rStyle w:val="Hyperlink"/>
          </w:rPr>
          <w:t xml:space="preserve"> </w:t>
        </w:r>
        <w:r>
          <w:rPr>
            <w:rStyle w:val="Hyperlink"/>
          </w:rPr>
          <w:t xml:space="preserve">(</w:t>
        </w:r>
        <w:r>
          <w:rPr>
            <w:rStyle w:val="Hyperlink"/>
          </w:rPr>
          <w:t xml:space="preserve">KSOS</w:t>
        </w:r>
        <w:r>
          <w:rPr>
            <w:rStyle w:val="Hyperlink"/>
          </w:rPr>
          <w:t xml:space="preserve">)</w:t>
        </w:r>
      </w:hyperlink>
      <w:r>
        <w:t xml:space="preserve">.</w:t>
      </w:r>
      <w:r>
        <w:t xml:space="preserve"> </w:t>
      </w:r>
      <w:r>
        <w:rPr>
          <w:iCs/>
          <w:i/>
        </w:rPr>
        <w:t xml:space="preserve">The Journal of Clinical Endocrinology &amp; Metabolism</w:t>
      </w:r>
      <w:r>
        <w:t xml:space="preserve">. 2013;98(2):811–817.</w:t>
      </w:r>
    </w:p>
    <w:bookmarkEnd w:id="45"/>
    <w:bookmarkStart w:id="47" w:name="ref-loenneke_obesity_2016"/>
    <w:p>
      <w:pPr>
        <w:pStyle w:val="Bibliography"/>
      </w:pPr>
      <w:r>
        <w:t xml:space="preserve">14</w:t>
      </w:r>
      <w:r>
        <w:t xml:space="preserve"> </w:t>
      </w:r>
      <w:r>
        <w:t xml:space="preserve">	</w:t>
      </w:r>
      <w:r>
        <w:t xml:space="preserve">Loenneke JP, Loprinzi PD.</w:t>
      </w:r>
      <w:r>
        <w:t xml:space="preserve"> </w:t>
      </w:r>
      <w:hyperlink r:id="rId46">
        <w:r>
          <w:rPr>
            <w:rStyle w:val="Hyperlink"/>
          </w:rPr>
          <w:t xml:space="preserve">Obesity is associated with insulin resistance but not skeletal muscle dysfunction or all-cause mortality</w:t>
        </w:r>
      </w:hyperlink>
      <w:r>
        <w:t xml:space="preserve">.</w:t>
      </w:r>
      <w:r>
        <w:t xml:space="preserve"> </w:t>
      </w:r>
      <w:r>
        <w:rPr>
          <w:iCs/>
          <w:i/>
        </w:rPr>
        <w:t xml:space="preserve">AGE</w:t>
      </w:r>
      <w:r>
        <w:t xml:space="preserve">. 2016;38(1):2.</w:t>
      </w:r>
    </w:p>
    <w:bookmarkEnd w:id="47"/>
    <w:bookmarkStart w:id="49" w:name="ref-atherton_muscle_2012"/>
    <w:p>
      <w:pPr>
        <w:pStyle w:val="Bibliography"/>
      </w:pPr>
      <w:r>
        <w:t xml:space="preserve">15</w:t>
      </w:r>
      <w:r>
        <w:t xml:space="preserve"> </w:t>
      </w:r>
      <w:r>
        <w:t xml:space="preserve">	</w:t>
      </w:r>
      <w:r>
        <w:t xml:space="preserve">Atherton PJ, Smith K.</w:t>
      </w:r>
      <w:r>
        <w:t xml:space="preserve"> </w:t>
      </w:r>
      <w:hyperlink r:id="rId48">
        <w:r>
          <w:rPr>
            <w:rStyle w:val="Hyperlink"/>
          </w:rPr>
          <w:t xml:space="preserve">Muscle protein synthesis in response to nutrition and exercise</w:t>
        </w:r>
      </w:hyperlink>
      <w:r>
        <w:t xml:space="preserve">.</w:t>
      </w:r>
      <w:r>
        <w:t xml:space="preserve"> </w:t>
      </w:r>
      <w:r>
        <w:rPr>
          <w:iCs/>
          <w:i/>
        </w:rPr>
        <w:t xml:space="preserve">The Journal of Physiology</w:t>
      </w:r>
      <w:r>
        <w:t xml:space="preserve">. 2012;590(5):1049–1057.</w:t>
      </w:r>
    </w:p>
    <w:bookmarkEnd w:id="49"/>
    <w:bookmarkStart w:id="51" w:name="ref-wall_aging_2015"/>
    <w:p>
      <w:pPr>
        <w:pStyle w:val="Bibliography"/>
      </w:pPr>
      <w:r>
        <w:t xml:space="preserve">16</w:t>
      </w:r>
      <w:r>
        <w:t xml:space="preserve"> </w:t>
      </w:r>
      <w:r>
        <w:t xml:space="preserve">	</w:t>
      </w:r>
      <w:r>
        <w:t xml:space="preserve">Wall BT, Gorissen SH, Pennings B et al.</w:t>
      </w:r>
      <w:r>
        <w:t xml:space="preserve"> </w:t>
      </w:r>
      <w:hyperlink r:id="rId50">
        <w:r>
          <w:rPr>
            <w:rStyle w:val="Hyperlink"/>
          </w:rPr>
          <w:t xml:space="preserve">Aging</w:t>
        </w:r>
        <w:r>
          <w:rPr>
            <w:rStyle w:val="Hyperlink"/>
          </w:rPr>
          <w:t xml:space="preserve"> </w:t>
        </w:r>
        <w:r>
          <w:rPr>
            <w:rStyle w:val="Hyperlink"/>
          </w:rPr>
          <w:t xml:space="preserve">Is</w:t>
        </w:r>
        <w:r>
          <w:rPr>
            <w:rStyle w:val="Hyperlink"/>
          </w:rPr>
          <w:t xml:space="preserve"> </w:t>
        </w:r>
        <w:r>
          <w:rPr>
            <w:rStyle w:val="Hyperlink"/>
          </w:rPr>
          <w:t xml:space="preserve">Accompanied</w:t>
        </w:r>
        <w:r>
          <w:rPr>
            <w:rStyle w:val="Hyperlink"/>
          </w:rPr>
          <w:t xml:space="preserve"> </w:t>
        </w:r>
        <w:r>
          <w:rPr>
            <w:rStyle w:val="Hyperlink"/>
          </w:rPr>
          <w:t xml:space="preserve">by a</w:t>
        </w:r>
        <w:r>
          <w:rPr>
            <w:rStyle w:val="Hyperlink"/>
          </w:rPr>
          <w:t xml:space="preserve"> </w:t>
        </w:r>
        <w:r>
          <w:rPr>
            <w:rStyle w:val="Hyperlink"/>
          </w:rPr>
          <w:t xml:space="preserve">Blunted</w:t>
        </w:r>
        <w:r>
          <w:rPr>
            <w:rStyle w:val="Hyperlink"/>
          </w:rPr>
          <w:t xml:space="preserve"> </w:t>
        </w:r>
        <w:r>
          <w:rPr>
            <w:rStyle w:val="Hyperlink"/>
          </w:rPr>
          <w:t xml:space="preserve">Muscle</w:t>
        </w:r>
        <w:r>
          <w:rPr>
            <w:rStyle w:val="Hyperlink"/>
          </w:rPr>
          <w:t xml:space="preserve"> </w:t>
        </w:r>
        <w:r>
          <w:rPr>
            <w:rStyle w:val="Hyperlink"/>
          </w:rPr>
          <w:t xml:space="preserve">Protein</w:t>
        </w:r>
        <w:r>
          <w:rPr>
            <w:rStyle w:val="Hyperlink"/>
          </w:rPr>
          <w:t xml:space="preserve"> </w:t>
        </w:r>
        <w:r>
          <w:rPr>
            <w:rStyle w:val="Hyperlink"/>
          </w:rPr>
          <w:t xml:space="preserve">Synthetic</w:t>
        </w:r>
        <w:r>
          <w:rPr>
            <w:rStyle w:val="Hyperlink"/>
          </w:rPr>
          <w:t xml:space="preserve"> </w:t>
        </w:r>
        <w:r>
          <w:rPr>
            <w:rStyle w:val="Hyperlink"/>
          </w:rPr>
          <w:t xml:space="preserve">Response</w:t>
        </w:r>
        <w:r>
          <w:rPr>
            <w:rStyle w:val="Hyperlink"/>
          </w:rPr>
          <w:t xml:space="preserve"> </w:t>
        </w:r>
        <w:r>
          <w:rPr>
            <w:rStyle w:val="Hyperlink"/>
          </w:rPr>
          <w:t xml:space="preserve">to</w:t>
        </w:r>
        <w:r>
          <w:rPr>
            <w:rStyle w:val="Hyperlink"/>
          </w:rPr>
          <w:t xml:space="preserve"> </w:t>
        </w:r>
        <w:r>
          <w:rPr>
            <w:rStyle w:val="Hyperlink"/>
          </w:rPr>
          <w:t xml:space="preserve">Protein</w:t>
        </w:r>
        <w:r>
          <w:rPr>
            <w:rStyle w:val="Hyperlink"/>
          </w:rPr>
          <w:t xml:space="preserve"> </w:t>
        </w:r>
        <w:r>
          <w:rPr>
            <w:rStyle w:val="Hyperlink"/>
          </w:rPr>
          <w:t xml:space="preserve">Ingestion</w:t>
        </w:r>
      </w:hyperlink>
      <w:r>
        <w:t xml:space="preserve">.</w:t>
      </w:r>
      <w:r>
        <w:t xml:space="preserve"> </w:t>
      </w:r>
      <w:r>
        <w:rPr>
          <w:iCs/>
          <w:i/>
        </w:rPr>
        <w:t xml:space="preserve">PloS One</w:t>
      </w:r>
      <w:r>
        <w:t xml:space="preserve">. 2015;10(11):e0140903.</w:t>
      </w:r>
    </w:p>
    <w:bookmarkEnd w:id="51"/>
    <w:bookmarkStart w:id="53" w:name="ref-markofski_effect_2015"/>
    <w:p>
      <w:pPr>
        <w:pStyle w:val="Bibliography"/>
      </w:pPr>
      <w:r>
        <w:t xml:space="preserve">17</w:t>
      </w:r>
      <w:r>
        <w:t xml:space="preserve"> </w:t>
      </w:r>
      <w:r>
        <w:t xml:space="preserve">	</w:t>
      </w:r>
      <w:r>
        <w:t xml:space="preserve">Markofski MM, Dickinson JM, Drummond MJ et al.</w:t>
      </w:r>
      <w:r>
        <w:t xml:space="preserve"> </w:t>
      </w:r>
      <w:hyperlink r:id="rId52">
        <w:r>
          <w:rPr>
            <w:rStyle w:val="Hyperlink"/>
          </w:rPr>
          <w:t xml:space="preserve">Effect of age on basal muscle protein synthesis and</w:t>
        </w:r>
        <w:r>
          <w:rPr>
            <w:rStyle w:val="Hyperlink"/>
          </w:rPr>
          <w:t xml:space="preserve"> </w:t>
        </w:r>
        <w:r>
          <w:rPr>
            <w:rStyle w:val="Hyperlink"/>
          </w:rPr>
          <w:t xml:space="preserve">mTORC1</w:t>
        </w:r>
        <w:r>
          <w:rPr>
            <w:rStyle w:val="Hyperlink"/>
          </w:rPr>
          <w:t xml:space="preserve"> </w:t>
        </w:r>
        <w:r>
          <w:rPr>
            <w:rStyle w:val="Hyperlink"/>
          </w:rPr>
          <w:t xml:space="preserve">signaling in a large cohort of young and older men and women</w:t>
        </w:r>
      </w:hyperlink>
      <w:r>
        <w:t xml:space="preserve">.</w:t>
      </w:r>
      <w:r>
        <w:t xml:space="preserve"> </w:t>
      </w:r>
      <w:r>
        <w:rPr>
          <w:iCs/>
          <w:i/>
        </w:rPr>
        <w:t xml:space="preserve">Experimental Gerontology</w:t>
      </w:r>
      <w:r>
        <w:t xml:space="preserve">. 2015;65:1–7.</w:t>
      </w:r>
    </w:p>
    <w:bookmarkEnd w:id="53"/>
    <w:bookmarkStart w:id="55" w:name="ref-kirby_blunted_2015"/>
    <w:p>
      <w:pPr>
        <w:pStyle w:val="Bibliography"/>
      </w:pPr>
      <w:r>
        <w:t xml:space="preserve">18</w:t>
      </w:r>
      <w:r>
        <w:t xml:space="preserve"> </w:t>
      </w:r>
      <w:r>
        <w:t xml:space="preserve">	</w:t>
      </w:r>
      <w:r>
        <w:t xml:space="preserve">Kirby TJ, Lee JD, England JH, Chaillou T, Esser KA, McCarthy JJ.</w:t>
      </w:r>
      <w:r>
        <w:t xml:space="preserve"> </w:t>
      </w:r>
      <w:hyperlink r:id="rId54">
        <w:r>
          <w:rPr>
            <w:rStyle w:val="Hyperlink"/>
          </w:rPr>
          <w:t xml:space="preserve">Blunted hypertrophic response in aged skeletal muscle is associated with decreased ribosome biogenesis</w:t>
        </w:r>
      </w:hyperlink>
      <w:r>
        <w:t xml:space="preserve">.</w:t>
      </w:r>
      <w:r>
        <w:t xml:space="preserve"> </w:t>
      </w:r>
      <w:r>
        <w:rPr>
          <w:iCs/>
          <w:i/>
        </w:rPr>
        <w:t xml:space="preserve">Journal of Applied Physiology (Bethesda, Md: 1985)</w:t>
      </w:r>
      <w:r>
        <w:t xml:space="preserve">. 2015;119(4):321–327.</w:t>
      </w:r>
    </w:p>
    <w:bookmarkEnd w:id="55"/>
    <w:bookmarkStart w:id="56" w:name="ref-hammarstrom_benefits_2020"/>
    <w:p>
      <w:pPr>
        <w:pStyle w:val="Bibliography"/>
      </w:pPr>
      <w:r>
        <w:t xml:space="preserve">19</w:t>
      </w:r>
      <w:r>
        <w:t xml:space="preserve"> </w:t>
      </w:r>
      <w:r>
        <w:t xml:space="preserve">	</w:t>
      </w:r>
      <w:r>
        <w:t xml:space="preserve">Hammarström D, Øfsteng S, Koll L et al.</w:t>
      </w:r>
      <w:r>
        <w:t xml:space="preserve"> </w:t>
      </w:r>
      <w:hyperlink r:id="rId27">
        <w:r>
          <w:rPr>
            <w:rStyle w:val="Hyperlink"/>
          </w:rPr>
          <w:t xml:space="preserve">Benefits of higher resistance‐training volume are related to ribosome biogenesis</w:t>
        </w:r>
      </w:hyperlink>
      <w:r>
        <w:t xml:space="preserve">.</w:t>
      </w:r>
      <w:r>
        <w:t xml:space="preserve"> </w:t>
      </w:r>
      <w:r>
        <w:rPr>
          <w:iCs/>
          <w:i/>
        </w:rPr>
        <w:t xml:space="preserve">The Journal of Physiology</w:t>
      </w:r>
      <w:r>
        <w:t xml:space="preserve">. 2020;598(3):543–565.</w:t>
      </w:r>
    </w:p>
    <w:bookmarkEnd w:id="56"/>
    <w:bookmarkStart w:id="57" w:name="ref-stec_ribosome_2016"/>
    <w:p>
      <w:pPr>
        <w:pStyle w:val="Bibliography"/>
      </w:pPr>
      <w:r>
        <w:t xml:space="preserve">20</w:t>
      </w:r>
      <w:r>
        <w:t xml:space="preserve"> </w:t>
      </w:r>
      <w:r>
        <w:t xml:space="preserve">	</w:t>
      </w:r>
      <w:r>
        <w:t xml:space="preserve">Stec MJ, Kelly NA, Many GM, Windham ST, Tuggle SC, Bamman MM.</w:t>
      </w:r>
      <w:r>
        <w:t xml:space="preserve"> </w:t>
      </w:r>
      <w:hyperlink r:id="rId32">
        <w:r>
          <w:rPr>
            <w:rStyle w:val="Hyperlink"/>
          </w:rPr>
          <w:t xml:space="preserve">Ribosome biogenesis may augment resistance training-induced myofiber hypertrophy and is required for myotube growth in vitro</w:t>
        </w:r>
      </w:hyperlink>
      <w:r>
        <w:t xml:space="preserve">.</w:t>
      </w:r>
      <w:r>
        <w:t xml:space="preserve"> </w:t>
      </w:r>
      <w:r>
        <w:rPr>
          <w:iCs/>
          <w:i/>
        </w:rPr>
        <w:t xml:space="preserve">American Journal of Physiology-Endocrinology and Metabolism</w:t>
      </w:r>
      <w:r>
        <w:t xml:space="preserve">. 2016;310(8):E652–E661.</w:t>
      </w:r>
    </w:p>
    <w:bookmarkEnd w:id="57"/>
    <w:bookmarkStart w:id="59" w:name="ref-figueiredo_regulation_2019"/>
    <w:p>
      <w:pPr>
        <w:pStyle w:val="Bibliography"/>
      </w:pPr>
      <w:r>
        <w:t xml:space="preserve">21</w:t>
      </w:r>
      <w:r>
        <w:t xml:space="preserve"> </w:t>
      </w:r>
      <w:r>
        <w:t xml:space="preserve">	</w:t>
      </w:r>
      <w:r>
        <w:t xml:space="preserve">Figueiredo VC, McCarthy JJ.</w:t>
      </w:r>
      <w:r>
        <w:t xml:space="preserve"> </w:t>
      </w:r>
      <w:hyperlink r:id="rId58">
        <w:r>
          <w:rPr>
            <w:rStyle w:val="Hyperlink"/>
          </w:rPr>
          <w:t xml:space="preserve">Regulation of</w:t>
        </w:r>
        <w:r>
          <w:rPr>
            <w:rStyle w:val="Hyperlink"/>
          </w:rPr>
          <w:t xml:space="preserve"> </w:t>
        </w:r>
        <w:r>
          <w:rPr>
            <w:rStyle w:val="Hyperlink"/>
          </w:rPr>
          <w:t xml:space="preserve">Ribosome</w:t>
        </w:r>
        <w:r>
          <w:rPr>
            <w:rStyle w:val="Hyperlink"/>
          </w:rPr>
          <w:t xml:space="preserve"> </w:t>
        </w:r>
        <w:r>
          <w:rPr>
            <w:rStyle w:val="Hyperlink"/>
          </w:rPr>
          <w:t xml:space="preserve">Biogenesis</w:t>
        </w:r>
        <w:r>
          <w:rPr>
            <w:rStyle w:val="Hyperlink"/>
          </w:rPr>
          <w:t xml:space="preserve"> </w:t>
        </w:r>
        <w:r>
          <w:rPr>
            <w:rStyle w:val="Hyperlink"/>
          </w:rPr>
          <w:t xml:space="preserve">in</w:t>
        </w:r>
        <w:r>
          <w:rPr>
            <w:rStyle w:val="Hyperlink"/>
          </w:rPr>
          <w:t xml:space="preserve"> </w:t>
        </w:r>
        <w:r>
          <w:rPr>
            <w:rStyle w:val="Hyperlink"/>
          </w:rPr>
          <w:t xml:space="preserve">Skeletal</w:t>
        </w:r>
        <w:r>
          <w:rPr>
            <w:rStyle w:val="Hyperlink"/>
          </w:rPr>
          <w:t xml:space="preserve"> </w:t>
        </w:r>
        <w:r>
          <w:rPr>
            <w:rStyle w:val="Hyperlink"/>
          </w:rPr>
          <w:t xml:space="preserve">Muscle</w:t>
        </w:r>
        <w:r>
          <w:rPr>
            <w:rStyle w:val="Hyperlink"/>
          </w:rPr>
          <w:t xml:space="preserve"> </w:t>
        </w:r>
        <w:r>
          <w:rPr>
            <w:rStyle w:val="Hyperlink"/>
          </w:rPr>
          <w:t xml:space="preserve">Hypertrophy</w:t>
        </w:r>
      </w:hyperlink>
      <w:r>
        <w:t xml:space="preserve">.</w:t>
      </w:r>
      <w:r>
        <w:t xml:space="preserve"> </w:t>
      </w:r>
      <w:r>
        <w:rPr>
          <w:iCs/>
          <w:i/>
        </w:rPr>
        <w:t xml:space="preserve">Physiology</w:t>
      </w:r>
      <w:r>
        <w:t xml:space="preserve">. 2019;34(1):30–42.</w:t>
      </w:r>
    </w:p>
    <w:bookmarkEnd w:id="59"/>
    <w:bookmarkStart w:id="61" w:name="ref-figueiredo_revisiting_2019"/>
    <w:p>
      <w:pPr>
        <w:pStyle w:val="Bibliography"/>
      </w:pPr>
      <w:r>
        <w:t xml:space="preserve">22</w:t>
      </w:r>
      <w:r>
        <w:t xml:space="preserve"> </w:t>
      </w:r>
      <w:r>
        <w:t xml:space="preserve">	</w:t>
      </w:r>
      <w:r>
        <w:t xml:space="preserve">Figueiredo VC.</w:t>
      </w:r>
      <w:r>
        <w:t xml:space="preserve"> </w:t>
      </w:r>
      <w:hyperlink r:id="rId60">
        <w:r>
          <w:rPr>
            <w:rStyle w:val="Hyperlink"/>
          </w:rPr>
          <w:t xml:space="preserve">Revisiting the roles of protein synthesis during skeletal muscle hypertrophy induced by exercise</w:t>
        </w:r>
      </w:hyperlink>
      <w:r>
        <w:t xml:space="preserve">.</w:t>
      </w:r>
      <w:r>
        <w:t xml:space="preserve"> </w:t>
      </w:r>
      <w:r>
        <w:rPr>
          <w:iCs/>
          <w:i/>
        </w:rPr>
        <w:t xml:space="preserve">American Journal of Physiology-Regulatory, Integrative and Comparative Physiology</w:t>
      </w:r>
      <w:r>
        <w:t xml:space="preserve">. 2019;317(5):R709–R718.</w:t>
      </w:r>
    </w:p>
    <w:bookmarkEnd w:id="61"/>
    <w:bookmarkStart w:id="63" w:name="ref-lian_glucose_2024"/>
    <w:p>
      <w:pPr>
        <w:pStyle w:val="Bibliography"/>
      </w:pPr>
      <w:r>
        <w:t xml:space="preserve">23</w:t>
      </w:r>
      <w:r>
        <w:t xml:space="preserve"> </w:t>
      </w:r>
      <w:r>
        <w:t xml:space="preserve">	</w:t>
      </w:r>
      <w:r>
        <w:t xml:space="preserve">Lian K, Hammarström D, Hamarsland H, Mølmen KS, Moen SC, Ellefsen S. Glucose ingestion before and after resistance training sessions does not augment ribosome biogenesis in healthy moderately trained young adults.</w:t>
      </w:r>
      <w:r>
        <w:t xml:space="preserve"> </w:t>
      </w:r>
      <w:r>
        <w:rPr>
          <w:iCs/>
          <w:i/>
        </w:rPr>
        <w:t xml:space="preserve">European Journal of Applied Physiology</w:t>
      </w:r>
      <w:r>
        <w:t xml:space="preserve">. 2024. doi:</w:t>
      </w:r>
      <w:hyperlink r:id="rId62">
        <w:r>
          <w:rPr>
            <w:rStyle w:val="Hyperlink"/>
          </w:rPr>
          <w:t xml:space="preserve">10.1007/s00421-024-05446-x</w:t>
        </w:r>
      </w:hyperlink>
      <w:r>
        <w:t xml:space="preserve">.</w:t>
      </w:r>
    </w:p>
    <w:bookmarkEnd w:id="63"/>
    <w:bookmarkStart w:id="65" w:name="ref-brook_synchronous_2016"/>
    <w:p>
      <w:pPr>
        <w:pStyle w:val="Bibliography"/>
      </w:pPr>
      <w:r>
        <w:t xml:space="preserve">24</w:t>
      </w:r>
      <w:r>
        <w:t xml:space="preserve"> </w:t>
      </w:r>
      <w:r>
        <w:t xml:space="preserve">	</w:t>
      </w:r>
      <w:r>
        <w:t xml:space="preserve">Brook MS, Wilkinson DJ, Mitchell WK et al.</w:t>
      </w:r>
      <w:r>
        <w:t xml:space="preserve"> </w:t>
      </w:r>
      <w:hyperlink r:id="rId64">
        <w:r>
          <w:rPr>
            <w:rStyle w:val="Hyperlink"/>
          </w:rPr>
          <w:t xml:space="preserve">Synchronous deficits in cumulative muscle protein synthesis and ribosomal biogenesis underlie age‐related anabolic resistance to exercise in humans</w:t>
        </w:r>
      </w:hyperlink>
      <w:r>
        <w:t xml:space="preserve">.</w:t>
      </w:r>
      <w:r>
        <w:t xml:space="preserve"> </w:t>
      </w:r>
      <w:r>
        <w:rPr>
          <w:iCs/>
          <w:i/>
        </w:rPr>
        <w:t xml:space="preserve">The Journal of Physiology</w:t>
      </w:r>
      <w:r>
        <w:t xml:space="preserve">. 2016;594(24):7399–7417.</w:t>
      </w:r>
    </w:p>
    <w:bookmarkEnd w:id="65"/>
    <w:bookmarkStart w:id="67" w:name="ref-figueiredo_ribosome_2015"/>
    <w:p>
      <w:pPr>
        <w:pStyle w:val="Bibliography"/>
      </w:pPr>
      <w:r>
        <w:t xml:space="preserve">25</w:t>
      </w:r>
      <w:r>
        <w:t xml:space="preserve"> </w:t>
      </w:r>
      <w:r>
        <w:t xml:space="preserve">	</w:t>
      </w:r>
      <w:r>
        <w:t xml:space="preserve">Figueiredo VC, Caldow MK, Massie V, Markworth JF, Cameron-Smith D, Blazevich AJ.</w:t>
      </w:r>
      <w:r>
        <w:t xml:space="preserve"> </w:t>
      </w:r>
      <w:hyperlink r:id="rId66">
        <w:r>
          <w:rPr>
            <w:rStyle w:val="Hyperlink"/>
          </w:rPr>
          <w:t xml:space="preserve">Ribosome biogenesis adaptation in resistance training-induced human skeletal muscle hypertrophy</w:t>
        </w:r>
      </w:hyperlink>
      <w:r>
        <w:t xml:space="preserve">.</w:t>
      </w:r>
      <w:r>
        <w:t xml:space="preserve"> </w:t>
      </w:r>
      <w:r>
        <w:rPr>
          <w:iCs/>
          <w:i/>
        </w:rPr>
        <w:t xml:space="preserve">American Journal of Physiology-Endocrinology and Metabolism</w:t>
      </w:r>
      <w:r>
        <w:t xml:space="preserve">. 2015;309(1):E72–E83.</w:t>
      </w:r>
    </w:p>
    <w:bookmarkEnd w:id="67"/>
    <w:bookmarkStart w:id="69" w:name="ref-lundberg_early_2020"/>
    <w:p>
      <w:pPr>
        <w:pStyle w:val="Bibliography"/>
      </w:pPr>
      <w:r>
        <w:t xml:space="preserve">26</w:t>
      </w:r>
      <w:r>
        <w:t xml:space="preserve"> </w:t>
      </w:r>
      <w:r>
        <w:t xml:space="preserve">	</w:t>
      </w:r>
      <w:r>
        <w:t xml:space="preserve">Lundberg TR, Martínez-Aranda LM, Sanz G et al.</w:t>
      </w:r>
      <w:r>
        <w:t xml:space="preserve"> </w:t>
      </w:r>
      <w:hyperlink r:id="rId68">
        <w:r>
          <w:rPr>
            <w:rStyle w:val="Hyperlink"/>
          </w:rPr>
          <w:t xml:space="preserve">Early accentuated muscle hypertrophy is strongly associated with myonuclear accretion</w:t>
        </w:r>
      </w:hyperlink>
      <w:r>
        <w:t xml:space="preserve">.</w:t>
      </w:r>
      <w:r>
        <w:t xml:space="preserve"> </w:t>
      </w:r>
      <w:r>
        <w:rPr>
          <w:iCs/>
          <w:i/>
        </w:rPr>
        <w:t xml:space="preserve">American Journal of Physiology-Regulatory, Integrative and Comparative Physiology</w:t>
      </w:r>
      <w:r>
        <w:t xml:space="preserve">. 2020;319(1):R50–R58.</w:t>
      </w:r>
    </w:p>
    <w:bookmarkEnd w:id="69"/>
    <w:bookmarkStart w:id="71" w:name="ref-brown_low_2024"/>
    <w:p>
      <w:pPr>
        <w:pStyle w:val="Bibliography"/>
      </w:pPr>
      <w:r>
        <w:t xml:space="preserve">27</w:t>
      </w:r>
      <w:r>
        <w:t xml:space="preserve"> </w:t>
      </w:r>
      <w:r>
        <w:t xml:space="preserve">	</w:t>
      </w:r>
      <w:r>
        <w:t xml:space="preserve">Brown A, Parise G, Thomas ACQ et al.</w:t>
      </w:r>
      <w:r>
        <w:t xml:space="preserve"> </w:t>
      </w:r>
      <w:hyperlink r:id="rId70">
        <w:r>
          <w:rPr>
            <w:rStyle w:val="Hyperlink"/>
          </w:rPr>
          <w:t xml:space="preserve">Low baseline ribosome‐related gene expression and resistance training‐induced declines in ribosome‐related gene expression are associated with skeletal muscle hypertrophy in young men and women</w:t>
        </w:r>
      </w:hyperlink>
      <w:r>
        <w:t xml:space="preserve">.</w:t>
      </w:r>
      <w:r>
        <w:t xml:space="preserve"> </w:t>
      </w:r>
      <w:r>
        <w:rPr>
          <w:iCs/>
          <w:i/>
        </w:rPr>
        <w:t xml:space="preserve">Journal of Cellular Physiology</w:t>
      </w:r>
      <w:r>
        <w:t xml:space="preserve">. 2024;239(4):e31182.</w:t>
      </w:r>
    </w:p>
    <w:bookmarkEnd w:id="71"/>
    <w:bookmarkStart w:id="73" w:name="ref-fyfe_enhanced_2018"/>
    <w:p>
      <w:pPr>
        <w:pStyle w:val="Bibliography"/>
      </w:pPr>
      <w:r>
        <w:t xml:space="preserve">28</w:t>
      </w:r>
      <w:r>
        <w:t xml:space="preserve"> </w:t>
      </w:r>
      <w:r>
        <w:t xml:space="preserve">	</w:t>
      </w:r>
      <w:r>
        <w:t xml:space="preserve">Fyfe JJ, Bishop DJ, Bartlett JD et al.</w:t>
      </w:r>
      <w:r>
        <w:t xml:space="preserve"> </w:t>
      </w:r>
      <w:hyperlink r:id="rId72">
        <w:r>
          <w:rPr>
            <w:rStyle w:val="Hyperlink"/>
          </w:rPr>
          <w:t xml:space="preserve">Enhanced skeletal muscle ribosome biogenesis, yet attenuated</w:t>
        </w:r>
        <w:r>
          <w:rPr>
            <w:rStyle w:val="Hyperlink"/>
          </w:rPr>
          <w:t xml:space="preserve"> </w:t>
        </w:r>
        <w:r>
          <w:rPr>
            <w:rStyle w:val="Hyperlink"/>
          </w:rPr>
          <w:t xml:space="preserve">mTORC1</w:t>
        </w:r>
        <w:r>
          <w:rPr>
            <w:rStyle w:val="Hyperlink"/>
          </w:rPr>
          <w:t xml:space="preserve"> </w:t>
        </w:r>
        <w:r>
          <w:rPr>
            <w:rStyle w:val="Hyperlink"/>
          </w:rPr>
          <w:t xml:space="preserve">and ribosome biogenesis-related signalling, following short-term concurrent versus single-mode resistance training</w:t>
        </w:r>
      </w:hyperlink>
      <w:r>
        <w:t xml:space="preserve">.</w:t>
      </w:r>
      <w:r>
        <w:t xml:space="preserve"> </w:t>
      </w:r>
      <w:r>
        <w:rPr>
          <w:iCs/>
          <w:i/>
        </w:rPr>
        <w:t xml:space="preserve">Scientific Reports</w:t>
      </w:r>
      <w:r>
        <w:t xml:space="preserve">. 2018;8(1):560.</w:t>
      </w:r>
    </w:p>
    <w:bookmarkEnd w:id="73"/>
    <w:bookmarkStart w:id="75" w:name="ref-chaillou_does_2023"/>
    <w:p>
      <w:pPr>
        <w:pStyle w:val="Bibliography"/>
      </w:pPr>
      <w:r>
        <w:t xml:space="preserve">29</w:t>
      </w:r>
      <w:r>
        <w:t xml:space="preserve"> </w:t>
      </w:r>
      <w:r>
        <w:t xml:space="preserve">	</w:t>
      </w:r>
      <w:r>
        <w:t xml:space="preserve">Chaillou T, Montiel-Rojas D.</w:t>
      </w:r>
      <w:r>
        <w:t xml:space="preserve"> </w:t>
      </w:r>
      <w:hyperlink r:id="rId74">
        <w:r>
          <w:rPr>
            <w:rStyle w:val="Hyperlink"/>
          </w:rPr>
          <w:t xml:space="preserve">Does the blunted stimulation of skeletal muscle protein synthesis by aging in response to mechanical load result from impaired ribosome biogenesis?</w:t>
        </w:r>
      </w:hyperlink>
      <w:r>
        <w:t xml:space="preserve"> </w:t>
      </w:r>
      <w:r>
        <w:rPr>
          <w:iCs/>
          <w:i/>
        </w:rPr>
        <w:t xml:space="preserve">Frontiers in Aging</w:t>
      </w:r>
      <w:r>
        <w:t xml:space="preserve">. 2023;4:1171850.</w:t>
      </w:r>
    </w:p>
    <w:bookmarkEnd w:id="75"/>
    <w:bookmarkStart w:id="77" w:name="ref-voisin_exercise_2024"/>
    <w:p>
      <w:pPr>
        <w:pStyle w:val="Bibliography"/>
      </w:pPr>
      <w:r>
        <w:t xml:space="preserve">30</w:t>
      </w:r>
      <w:r>
        <w:t xml:space="preserve"> </w:t>
      </w:r>
      <w:r>
        <w:t xml:space="preserve">	</w:t>
      </w:r>
      <w:r>
        <w:t xml:space="preserve">Voisin S, Seale K, Jacques M et al.</w:t>
      </w:r>
      <w:r>
        <w:t xml:space="preserve"> </w:t>
      </w:r>
      <w:hyperlink r:id="rId76">
        <w:r>
          <w:rPr>
            <w:rStyle w:val="Hyperlink"/>
          </w:rPr>
          <w:t xml:space="preserve">Exercise is associated with younger methylome and transcriptome profiles in human skeletal muscle</w:t>
        </w:r>
      </w:hyperlink>
      <w:r>
        <w:t xml:space="preserve">.</w:t>
      </w:r>
      <w:r>
        <w:t xml:space="preserve"> </w:t>
      </w:r>
      <w:r>
        <w:rPr>
          <w:iCs/>
          <w:i/>
        </w:rPr>
        <w:t xml:space="preserve">Aging Cell</w:t>
      </w:r>
      <w:r>
        <w:t xml:space="preserve">. 2024;23(1):e13859.</w:t>
      </w:r>
    </w:p>
    <w:bookmarkEnd w:id="77"/>
    <w:bookmarkStart w:id="79" w:name="ref-krieger_single_2009"/>
    <w:p>
      <w:pPr>
        <w:pStyle w:val="Bibliography"/>
      </w:pPr>
      <w:r>
        <w:t xml:space="preserve">31</w:t>
      </w:r>
      <w:r>
        <w:t xml:space="preserve"> </w:t>
      </w:r>
      <w:r>
        <w:t xml:space="preserve">	</w:t>
      </w:r>
      <w:r>
        <w:t xml:space="preserve">Krieger JW.</w:t>
      </w:r>
      <w:r>
        <w:t xml:space="preserve"> </w:t>
      </w:r>
      <w:hyperlink r:id="rId78">
        <w:r>
          <w:rPr>
            <w:rStyle w:val="Hyperlink"/>
          </w:rPr>
          <w:t xml:space="preserve">Single</w:t>
        </w:r>
        <w:r>
          <w:rPr>
            <w:rStyle w:val="Hyperlink"/>
          </w:rPr>
          <w:t xml:space="preserve"> </w:t>
        </w:r>
        <w:r>
          <w:rPr>
            <w:rStyle w:val="Hyperlink"/>
          </w:rPr>
          <w:t xml:space="preserve">Versus</w:t>
        </w:r>
        <w:r>
          <w:rPr>
            <w:rStyle w:val="Hyperlink"/>
          </w:rPr>
          <w:t xml:space="preserve"> </w:t>
        </w:r>
        <w:r>
          <w:rPr>
            <w:rStyle w:val="Hyperlink"/>
          </w:rPr>
          <w:t xml:space="preserve">Multiple</w:t>
        </w:r>
        <w:r>
          <w:rPr>
            <w:rStyle w:val="Hyperlink"/>
          </w:rPr>
          <w:t xml:space="preserve"> </w:t>
        </w:r>
        <w:r>
          <w:rPr>
            <w:rStyle w:val="Hyperlink"/>
          </w:rPr>
          <w:t xml:space="preserve">Sets</w:t>
        </w:r>
        <w:r>
          <w:rPr>
            <w:rStyle w:val="Hyperlink"/>
          </w:rPr>
          <w:t xml:space="preserve"> </w:t>
        </w:r>
        <w:r>
          <w:rPr>
            <w:rStyle w:val="Hyperlink"/>
          </w:rPr>
          <w:t xml:space="preserve">of</w:t>
        </w:r>
        <w:r>
          <w:rPr>
            <w:rStyle w:val="Hyperlink"/>
          </w:rPr>
          <w:t xml:space="preserve"> </w:t>
        </w:r>
        <w:r>
          <w:rPr>
            <w:rStyle w:val="Hyperlink"/>
          </w:rPr>
          <w:t xml:space="preserve">Resistance</w:t>
        </w:r>
        <w:r>
          <w:rPr>
            <w:rStyle w:val="Hyperlink"/>
          </w:rPr>
          <w:t xml:space="preserve"> </w:t>
        </w:r>
        <w:r>
          <w:rPr>
            <w:rStyle w:val="Hyperlink"/>
          </w:rPr>
          <w:t xml:space="preserve">Exercise</w:t>
        </w:r>
        <w:r>
          <w:rPr>
            <w:rStyle w:val="Hyperlink"/>
          </w:rPr>
          <w:t xml:space="preserve">:</w:t>
        </w:r>
        <w:r>
          <w:rPr>
            <w:rStyle w:val="Hyperlink"/>
          </w:rPr>
          <w:t xml:space="preserve"> </w:t>
        </w:r>
        <w:r>
          <w:rPr>
            <w:rStyle w:val="Hyperlink"/>
          </w:rPr>
          <w:t xml:space="preserve">A</w:t>
        </w:r>
        <w:r>
          <w:rPr>
            <w:rStyle w:val="Hyperlink"/>
          </w:rPr>
          <w:t xml:space="preserve"> </w:t>
        </w:r>
        <w:r>
          <w:rPr>
            <w:rStyle w:val="Hyperlink"/>
          </w:rPr>
          <w:t xml:space="preserve">Meta</w:t>
        </w:r>
        <w:r>
          <w:rPr>
            <w:rStyle w:val="Hyperlink"/>
          </w:rPr>
          <w:t xml:space="preserve">-</w:t>
        </w:r>
        <w:r>
          <w:rPr>
            <w:rStyle w:val="Hyperlink"/>
          </w:rPr>
          <w:t xml:space="preserve">Regression</w:t>
        </w:r>
      </w:hyperlink>
      <w:r>
        <w:t xml:space="preserve">.</w:t>
      </w:r>
      <w:r>
        <w:t xml:space="preserve"> </w:t>
      </w:r>
      <w:r>
        <w:rPr>
          <w:iCs/>
          <w:i/>
        </w:rPr>
        <w:t xml:space="preserve">Journal of Strength and Conditioning Research</w:t>
      </w:r>
      <w:r>
        <w:t xml:space="preserve">. 2009;23(6):1890–1901.</w:t>
      </w:r>
    </w:p>
    <w:bookmarkEnd w:id="79"/>
    <w:bookmarkStart w:id="81" w:name="ref-schoenfeld_dose-response_2017"/>
    <w:p>
      <w:pPr>
        <w:pStyle w:val="Bibliography"/>
      </w:pPr>
      <w:r>
        <w:t xml:space="preserve">32</w:t>
      </w:r>
      <w:r>
        <w:t xml:space="preserve"> </w:t>
      </w:r>
      <w:r>
        <w:t xml:space="preserve">	</w:t>
      </w:r>
      <w:r>
        <w:t xml:space="preserve">Schoenfeld BJ, Ogborn D, Krieger JW.</w:t>
      </w:r>
      <w:r>
        <w:t xml:space="preserve"> </w:t>
      </w:r>
      <w:hyperlink r:id="rId80">
        <w:r>
          <w:rPr>
            <w:rStyle w:val="Hyperlink"/>
          </w:rPr>
          <w:t xml:space="preserve">Dose-response relationship between weekly resistance training volume and increases in muscle mass:</w:t>
        </w:r>
        <w:r>
          <w:rPr>
            <w:rStyle w:val="Hyperlink"/>
          </w:rPr>
          <w:t xml:space="preserve"> </w:t>
        </w:r>
        <w:r>
          <w:rPr>
            <w:rStyle w:val="Hyperlink"/>
          </w:rPr>
          <w:t xml:space="preserve">A</w:t>
        </w:r>
        <w:r>
          <w:rPr>
            <w:rStyle w:val="Hyperlink"/>
          </w:rPr>
          <w:t xml:space="preserve"> </w:t>
        </w:r>
        <w:r>
          <w:rPr>
            <w:rStyle w:val="Hyperlink"/>
          </w:rPr>
          <w:t xml:space="preserve">systematic review and meta-analysis</w:t>
        </w:r>
      </w:hyperlink>
      <w:r>
        <w:t xml:space="preserve">.</w:t>
      </w:r>
      <w:r>
        <w:t xml:space="preserve"> </w:t>
      </w:r>
      <w:r>
        <w:rPr>
          <w:iCs/>
          <w:i/>
        </w:rPr>
        <w:t xml:space="preserve">Journal of Sports Sciences</w:t>
      </w:r>
      <w:r>
        <w:t xml:space="preserve">. 2017;35(11):1073–1082.</w:t>
      </w:r>
    </w:p>
    <w:bookmarkEnd w:id="81"/>
    <w:bookmarkStart w:id="83" w:name="ref-hammarstrom_ribosome_2022"/>
    <w:p>
      <w:pPr>
        <w:pStyle w:val="Bibliography"/>
      </w:pPr>
      <w:r>
        <w:t xml:space="preserve">33</w:t>
      </w:r>
      <w:r>
        <w:t xml:space="preserve"> </w:t>
      </w:r>
      <w:r>
        <w:t xml:space="preserve">	</w:t>
      </w:r>
      <w:r>
        <w:t xml:space="preserve">Hammarström D, Øfsteng SJ, Jacobsen NB, Flobergseter KB, Rønnestad BR, Ellefsen S. Ribosome accumulation during early phase resistance training in humans.</w:t>
      </w:r>
      <w:r>
        <w:t xml:space="preserve"> </w:t>
      </w:r>
      <w:r>
        <w:rPr>
          <w:iCs/>
          <w:i/>
        </w:rPr>
        <w:t xml:space="preserve">Acta Physiologica</w:t>
      </w:r>
      <w:r>
        <w:t xml:space="preserve">. 2022;235(1). doi:</w:t>
      </w:r>
      <w:hyperlink r:id="rId82">
        <w:r>
          <w:rPr>
            <w:rStyle w:val="Hyperlink"/>
          </w:rPr>
          <w:t xml:space="preserve">10.1111/apha.13806</w:t>
        </w:r>
      </w:hyperlink>
      <w:r>
        <w:t xml:space="preserve">.</w:t>
      </w:r>
    </w:p>
    <w:bookmarkEnd w:id="83"/>
    <w:bookmarkEnd w:id="84"/>
    <w:bookmarkEnd w:id="8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0" Target="https://doi.org/10.1002/jcp.31182" TargetMode="External" /><Relationship Type="http://schemas.openxmlformats.org/officeDocument/2006/relationships/hyperlink" Id="rId62" Target="https://doi.org/10.1007/s00421-024-05446-x" TargetMode="External" /><Relationship Type="http://schemas.openxmlformats.org/officeDocument/2006/relationships/hyperlink" Id="rId46" Target="https://doi.org/10.1007/s11357-015-9865-y" TargetMode="External" /><Relationship Type="http://schemas.openxmlformats.org/officeDocument/2006/relationships/hyperlink" Id="rId52" Target="https://doi.org/10.1016/j.exger.2015.02.015" TargetMode="External" /><Relationship Type="http://schemas.openxmlformats.org/officeDocument/2006/relationships/hyperlink" Id="rId38" Target="https://doi.org/10.1016/j.jamda.2020.12.016" TargetMode="External" /><Relationship Type="http://schemas.openxmlformats.org/officeDocument/2006/relationships/hyperlink" Id="rId72" Target="https://doi.org/10.1038/s41598-017-18887-6" TargetMode="External" /><Relationship Type="http://schemas.openxmlformats.org/officeDocument/2006/relationships/hyperlink" Id="rId80" Target="https://doi.org/10.1080/02640414.2016.1210197" TargetMode="External" /><Relationship Type="http://schemas.openxmlformats.org/officeDocument/2006/relationships/hyperlink" Id="rId76" Target="https://doi.org/10.1111/acel.13859" TargetMode="External" /><Relationship Type="http://schemas.openxmlformats.org/officeDocument/2006/relationships/hyperlink" Id="rId82" Target="https://doi.org/10.1111/apha.13806" TargetMode="External" /><Relationship Type="http://schemas.openxmlformats.org/officeDocument/2006/relationships/hyperlink" Id="rId64" Target="https://doi.org/10.1113/JP272857" TargetMode="External" /><Relationship Type="http://schemas.openxmlformats.org/officeDocument/2006/relationships/hyperlink" Id="rId27" Target="https://doi.org/10.1113/JP278455" TargetMode="External" /><Relationship Type="http://schemas.openxmlformats.org/officeDocument/2006/relationships/hyperlink" Id="rId48" Target="https://doi.org/10.1113/jphysiol.2011.225003" TargetMode="External" /><Relationship Type="http://schemas.openxmlformats.org/officeDocument/2006/relationships/hyperlink" Id="rId40" Target="https://doi.org/10.1152/ajpcell.00209.2019" TargetMode="External" /><Relationship Type="http://schemas.openxmlformats.org/officeDocument/2006/relationships/hyperlink" Id="rId66" Target="https://doi.org/10.1152/ajpendo.00050.2015" TargetMode="External" /><Relationship Type="http://schemas.openxmlformats.org/officeDocument/2006/relationships/hyperlink" Id="rId32" Target="https://doi.org/10.1152/ajpendo.00486.2015" TargetMode="External" /><Relationship Type="http://schemas.openxmlformats.org/officeDocument/2006/relationships/hyperlink" Id="rId68" Target="https://doi.org/10.1152/ajpregu.00061.2020" TargetMode="External" /><Relationship Type="http://schemas.openxmlformats.org/officeDocument/2006/relationships/hyperlink" Id="rId60" Target="https://doi.org/10.1152/ajpregu.00162.2019" TargetMode="External" /><Relationship Type="http://schemas.openxmlformats.org/officeDocument/2006/relationships/hyperlink" Id="rId25" Target="https://doi.org/10.1152/japplphysiol.00024.2007" TargetMode="External" /><Relationship Type="http://schemas.openxmlformats.org/officeDocument/2006/relationships/hyperlink" Id="rId54" Target="https://doi.org/10.1152/japplphysiol.00296.2015" TargetMode="External" /><Relationship Type="http://schemas.openxmlformats.org/officeDocument/2006/relationships/hyperlink" Id="rId30" Target="https://doi.org/10.1152/japplphysiol.00489.2015" TargetMode="External" /><Relationship Type="http://schemas.openxmlformats.org/officeDocument/2006/relationships/hyperlink" Id="rId34" Target="https://doi.org/10.1152/japplphysiol.00934.2010" TargetMode="External" /><Relationship Type="http://schemas.openxmlformats.org/officeDocument/2006/relationships/hyperlink" Id="rId58" Target="https://doi.org/10.1152/physiol.00034.2018" TargetMode="External" /><Relationship Type="http://schemas.openxmlformats.org/officeDocument/2006/relationships/hyperlink" Id="rId42" Target="https://doi.org/10.1186/s13098-023-01022-z" TargetMode="External" /><Relationship Type="http://schemas.openxmlformats.org/officeDocument/2006/relationships/hyperlink" Id="rId44" Target="https://doi.org/10.1210/jc.2012-3292" TargetMode="External" /><Relationship Type="http://schemas.openxmlformats.org/officeDocument/2006/relationships/hyperlink" Id="rId36" Target="https://doi.org/10.1249/MSS.0000000000001448" TargetMode="External" /><Relationship Type="http://schemas.openxmlformats.org/officeDocument/2006/relationships/hyperlink" Id="rId23" Target="https://doi.org/10.12688/f1000research.8255.1" TargetMode="External" /><Relationship Type="http://schemas.openxmlformats.org/officeDocument/2006/relationships/hyperlink" Id="rId50" Target="https://doi.org/10.1371/journal.pone.0140903" TargetMode="External" /><Relationship Type="http://schemas.openxmlformats.org/officeDocument/2006/relationships/hyperlink" Id="rId21" Target="https://doi.org/10.1519/JSC.0000000000003230" TargetMode="External" /><Relationship Type="http://schemas.openxmlformats.org/officeDocument/2006/relationships/hyperlink" Id="rId78" Target="https://doi.org/10.1519/JSC.0b013e3181b370be" TargetMode="External" /><Relationship Type="http://schemas.openxmlformats.org/officeDocument/2006/relationships/hyperlink" Id="rId74" Target="https://doi.org/10.3389/fragi.2023.1171850" TargetMode="External" /></Relationships>
</file>

<file path=word/_rels/footnotes.xml.rels><?xml version="1.0" encoding="UTF-8"?><Relationships xmlns="http://schemas.openxmlformats.org/package/2006/relationships"><Relationship Type="http://schemas.openxmlformats.org/officeDocument/2006/relationships/hyperlink" Id="rId70" Target="https://doi.org/10.1002/jcp.31182" TargetMode="External" /><Relationship Type="http://schemas.openxmlformats.org/officeDocument/2006/relationships/hyperlink" Id="rId62" Target="https://doi.org/10.1007/s00421-024-05446-x" TargetMode="External" /><Relationship Type="http://schemas.openxmlformats.org/officeDocument/2006/relationships/hyperlink" Id="rId46" Target="https://doi.org/10.1007/s11357-015-9865-y" TargetMode="External" /><Relationship Type="http://schemas.openxmlformats.org/officeDocument/2006/relationships/hyperlink" Id="rId52" Target="https://doi.org/10.1016/j.exger.2015.02.015" TargetMode="External" /><Relationship Type="http://schemas.openxmlformats.org/officeDocument/2006/relationships/hyperlink" Id="rId38" Target="https://doi.org/10.1016/j.jamda.2020.12.016" TargetMode="External" /><Relationship Type="http://schemas.openxmlformats.org/officeDocument/2006/relationships/hyperlink" Id="rId72" Target="https://doi.org/10.1038/s41598-017-18887-6" TargetMode="External" /><Relationship Type="http://schemas.openxmlformats.org/officeDocument/2006/relationships/hyperlink" Id="rId80" Target="https://doi.org/10.1080/02640414.2016.1210197" TargetMode="External" /><Relationship Type="http://schemas.openxmlformats.org/officeDocument/2006/relationships/hyperlink" Id="rId76" Target="https://doi.org/10.1111/acel.13859" TargetMode="External" /><Relationship Type="http://schemas.openxmlformats.org/officeDocument/2006/relationships/hyperlink" Id="rId82" Target="https://doi.org/10.1111/apha.13806" TargetMode="External" /><Relationship Type="http://schemas.openxmlformats.org/officeDocument/2006/relationships/hyperlink" Id="rId64" Target="https://doi.org/10.1113/JP272857" TargetMode="External" /><Relationship Type="http://schemas.openxmlformats.org/officeDocument/2006/relationships/hyperlink" Id="rId27" Target="https://doi.org/10.1113/JP278455" TargetMode="External" /><Relationship Type="http://schemas.openxmlformats.org/officeDocument/2006/relationships/hyperlink" Id="rId48" Target="https://doi.org/10.1113/jphysiol.2011.225003" TargetMode="External" /><Relationship Type="http://schemas.openxmlformats.org/officeDocument/2006/relationships/hyperlink" Id="rId40" Target="https://doi.org/10.1152/ajpcell.00209.2019" TargetMode="External" /><Relationship Type="http://schemas.openxmlformats.org/officeDocument/2006/relationships/hyperlink" Id="rId66" Target="https://doi.org/10.1152/ajpendo.00050.2015" TargetMode="External" /><Relationship Type="http://schemas.openxmlformats.org/officeDocument/2006/relationships/hyperlink" Id="rId32" Target="https://doi.org/10.1152/ajpendo.00486.2015" TargetMode="External" /><Relationship Type="http://schemas.openxmlformats.org/officeDocument/2006/relationships/hyperlink" Id="rId68" Target="https://doi.org/10.1152/ajpregu.00061.2020" TargetMode="External" /><Relationship Type="http://schemas.openxmlformats.org/officeDocument/2006/relationships/hyperlink" Id="rId60" Target="https://doi.org/10.1152/ajpregu.00162.2019" TargetMode="External" /><Relationship Type="http://schemas.openxmlformats.org/officeDocument/2006/relationships/hyperlink" Id="rId25" Target="https://doi.org/10.1152/japplphysiol.00024.2007" TargetMode="External" /><Relationship Type="http://schemas.openxmlformats.org/officeDocument/2006/relationships/hyperlink" Id="rId54" Target="https://doi.org/10.1152/japplphysiol.00296.2015" TargetMode="External" /><Relationship Type="http://schemas.openxmlformats.org/officeDocument/2006/relationships/hyperlink" Id="rId30" Target="https://doi.org/10.1152/japplphysiol.00489.2015" TargetMode="External" /><Relationship Type="http://schemas.openxmlformats.org/officeDocument/2006/relationships/hyperlink" Id="rId34" Target="https://doi.org/10.1152/japplphysiol.00934.2010" TargetMode="External" /><Relationship Type="http://schemas.openxmlformats.org/officeDocument/2006/relationships/hyperlink" Id="rId58" Target="https://doi.org/10.1152/physiol.00034.2018" TargetMode="External" /><Relationship Type="http://schemas.openxmlformats.org/officeDocument/2006/relationships/hyperlink" Id="rId42" Target="https://doi.org/10.1186/s13098-023-01022-z" TargetMode="External" /><Relationship Type="http://schemas.openxmlformats.org/officeDocument/2006/relationships/hyperlink" Id="rId44" Target="https://doi.org/10.1210/jc.2012-3292" TargetMode="External" /><Relationship Type="http://schemas.openxmlformats.org/officeDocument/2006/relationships/hyperlink" Id="rId36" Target="https://doi.org/10.1249/MSS.0000000000001448" TargetMode="External" /><Relationship Type="http://schemas.openxmlformats.org/officeDocument/2006/relationships/hyperlink" Id="rId23" Target="https://doi.org/10.12688/f1000research.8255.1" TargetMode="External" /><Relationship Type="http://schemas.openxmlformats.org/officeDocument/2006/relationships/hyperlink" Id="rId50" Target="https://doi.org/10.1371/journal.pone.0140903" TargetMode="External" /><Relationship Type="http://schemas.openxmlformats.org/officeDocument/2006/relationships/hyperlink" Id="rId21" Target="https://doi.org/10.1519/JSC.0000000000003230" TargetMode="External" /><Relationship Type="http://schemas.openxmlformats.org/officeDocument/2006/relationships/hyperlink" Id="rId78" Target="https://doi.org/10.1519/JSC.0b013e3181b370be" TargetMode="External" /><Relationship Type="http://schemas.openxmlformats.org/officeDocument/2006/relationships/hyperlink" Id="rId74" Target="https://doi.org/10.3389/fragi.2023.117185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2025-02-17T08:24:51Z</dcterms:created>
  <dcterms:modified xsi:type="dcterms:W3CDTF">2025-02-17T08:24:51Z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resources/Phd-bibliography.bib</vt:lpwstr>
  </property>
  <property fmtid="{D5CDD505-2E9C-101B-9397-08002B2CF9AE}" pid="4" name="csl">
    <vt:lpwstr>resources/acta-physiologica.csl</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