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4"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 Kristian Lian</w:t>
      </w:r>
      <w:r>
        <w:t xml:space="preserve"> </w:t>
      </w:r>
      <w:hyperlink r:id="rId22">
        <w:r>
          <w:rPr>
            <w:rStyle w:val="Hyperlink"/>
          </w:rPr>
          <w:t xml:space="preserve">https://orcid.org/0000-0002-5169-5960</w:t>
        </w:r>
      </w:hyperlink>
      <w:r>
        <w:t xml:space="preserve">, Daniel Hammarström</w:t>
      </w:r>
      <w:r>
        <w:t xml:space="preserve"> </w:t>
      </w:r>
      <w:hyperlink r:id="rId23">
        <w:r>
          <w:rPr>
            <w:rStyle w:val="Hyperlink"/>
          </w:rPr>
          <w:t xml:space="preserve">https://orcid.org/0000-0001-8360-2100</w:t>
        </w:r>
      </w:hyperlink>
      <w:r>
        <w:t xml:space="preserve">, Håvard Hamarsland</w:t>
      </w:r>
      <w:r>
        <w:t xml:space="preserve"> </w:t>
      </w:r>
      <w:hyperlink r:id="rId24">
        <w:r>
          <w:rPr>
            <w:rStyle w:val="Hyperlink"/>
          </w:rPr>
          <w:t xml:space="preserve">https://orcid.org/0000-0002-7343-2774</w:t>
        </w:r>
      </w:hyperlink>
      <w:r>
        <w:t xml:space="preserve">, Stian Ellefsen</w:t>
      </w:r>
      <w:r>
        <w:t xml:space="preserve"> </w:t>
      </w:r>
      <w:hyperlink r:id="rId25">
        <w:r>
          <w:rPr>
            <w:rStyle w:val="Hyperlink"/>
          </w:rPr>
          <w:t xml:space="preserve">https://orcid.org/0000-0003-0467-2018</w:t>
        </w:r>
      </w:hyperlink>
    </w:p>
    <w:bookmarkEnd w:id="26"/>
    <w:bookmarkStart w:id="30" w:name="abstract"/>
    <w:p>
      <w:pPr>
        <w:pStyle w:val="Heading2"/>
      </w:pPr>
      <w:r>
        <w:t xml:space="preserve">Abstract</w:t>
      </w:r>
    </w:p>
    <w:p>
      <w:pPr>
        <w:pStyle w:val="abstractstyle"/>
      </w:pPr>
      <w:r>
        <w:rPr>
          <w:bCs/>
          <w:b/>
        </w:rPr>
        <w:t xml:space="preserve">Purpose:</w:t>
      </w:r>
      <w:r>
        <w:t xml:space="preserve"> </w:t>
      </w:r>
      <w:r>
        <w:t xml:space="preserve">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pPr>
        <w:pStyle w:val="abstractstyle"/>
      </w:pPr>
      <w:r>
        <w:rPr>
          <w:bCs/>
          <w:b/>
        </w:rPr>
        <w:t xml:space="preserve">Methods:</w:t>
      </w:r>
      <w:r>
        <w:t xml:space="preserve"> </w:t>
      </w:r>
      <w:r>
        <w:t xml:space="preserve">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pPr>
        <w:pStyle w:val="abstractstyle"/>
      </w:pPr>
      <w:r>
        <w:rPr>
          <w:bCs/>
          <w:b/>
        </w:rPr>
        <w:t xml:space="preserve">Results:</w:t>
      </w:r>
      <w:r>
        <w:t xml:space="preserve"> </w:t>
      </w:r>
      <w:r>
        <w:t xml:space="preserve">Between conditions, there were no significant differences in increases of total RNA and ribosomal RNA (mean difference 7.6%, [-7.2, 24.9],</w:t>
      </w:r>
      <w:r>
        <w:t xml:space="preserve"> </w:t>
      </w:r>
      <w:r>
        <w:rPr>
          <w:iCs/>
          <w:i/>
        </w:rPr>
        <w:t xml:space="preserve">p</w:t>
      </w:r>
      <w:r>
        <w:t xml:space="preserve"> </w:t>
      </w:r>
      <w:r>
        <w:t xml:space="preserve">= 0.337,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cellular myelocytomatosis oncogene, upstream binding factor and ribosomal protein S6 (</w:t>
      </w:r>
      <w:r>
        <w:rPr>
          <w:iCs/>
          <w:i/>
        </w:rPr>
        <w:t xml:space="preserve">p</w:t>
      </w:r>
      <w:r>
        <w:t xml:space="preserve"> </w:t>
      </w:r>
      <w:r>
        <w:t xml:space="preserve">= 0.094-0.292). There was a linear relationship between upstream binding factor and total RNA, where an increase of 1 standard deviance unit of upstream binding factor equated to a</w:t>
      </w:r>
      <w:r>
        <w:t xml:space="preserve"> </w:t>
      </w:r>
      <m:oMath>
        <m:r>
          <m:rPr>
            <m:sty m:val="p"/>
          </m:rPr>
          <m:t>∼</m:t>
        </m:r>
      </m:oMath>
      <w:r>
        <w:t xml:space="preserve"> </w:t>
      </w:r>
      <w:r>
        <w:t xml:space="preserve">14% increase in total RNA (</w:t>
      </w:r>
      <w:r>
        <w:rPr>
          <w:iCs/>
          <w:i/>
        </w:rPr>
        <w:t xml:space="preserve">p</w:t>
      </w:r>
      <w:r>
        <w:t xml:space="preserve"> </w:t>
      </w:r>
      <w:r>
        <w:t xml:space="preserve">= 0.003).</w:t>
      </w:r>
    </w:p>
    <w:p>
      <w:pPr>
        <w:pStyle w:val="abstractstyle"/>
      </w:pPr>
      <w:r>
        <w:rPr>
          <w:bCs/>
          <w:b/>
        </w:rPr>
        <w:t xml:space="preserve">Conclusion:</w:t>
      </w:r>
      <w:r>
        <w:t xml:space="preserve"> </w:t>
      </w:r>
      <w:r>
        <w:t xml:space="preserve">Glucose supplementation before and after RT does not augment RT-induced ribosome biogenesis after two weeks of heavy RT in moderately trained young adults.</w:t>
      </w:r>
    </w:p>
    <w:p>
      <w:pPr>
        <w:pStyle w:val="abstractstyle"/>
      </w:pPr>
      <w:r>
        <w:rPr>
          <w:bCs/>
          <w:b/>
        </w:rPr>
        <w:t xml:space="preserve">Keywords:</w:t>
      </w:r>
      <w:r>
        <w:t xml:space="preserve"> </w:t>
      </w:r>
      <w:r>
        <w:t xml:space="preserve">Glucose; hypertrophy; resistance training; ribosome; skeletal muscle.</w:t>
      </w:r>
    </w:p>
    <w:bookmarkStart w:id="27" w:name="statements-and-declarations"/>
    <w:p>
      <w:pPr>
        <w:pStyle w:val="Heading3"/>
      </w:pPr>
      <w:r>
        <w:t xml:space="preserve">Statements and Declarations</w:t>
      </w:r>
    </w:p>
    <w:p>
      <w:pPr>
        <w:pStyle w:val="abstractstyle"/>
      </w:pPr>
      <w:r>
        <w:t xml:space="preserve">This study was financed through research funds from the Inland Norway University of Applied Sciences. There was no economic vested interest and everyone participating as researchers and associates received only a regular salary during this study.</w:t>
      </w:r>
    </w:p>
    <w:bookmarkEnd w:id="27"/>
    <w:bookmarkStart w:id="28" w:name="author-contributions"/>
    <w:p>
      <w:pPr>
        <w:pStyle w:val="Heading3"/>
      </w:pPr>
      <w:r>
        <w:t xml:space="preserve">Author contributions</w:t>
      </w:r>
    </w:p>
    <w:p>
      <w:pPr>
        <w:pStyle w:val="abstractstyle"/>
      </w:pPr>
      <w:r>
        <w:t xml:space="preserve">Data was collected at the sports science lab at the Inland Norway University of Applied Sciences, with all analyses except for serum blood samples performed at the sports science lab. Serum blood samples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bookmarkEnd w:id="28"/>
    <w:bookmarkStart w:id="29" w:name="acknowledgements"/>
    <w:p>
      <w:pPr>
        <w:pStyle w:val="Heading3"/>
      </w:pPr>
      <w:r>
        <w:t xml:space="preserve">Acknowledgements</w:t>
      </w:r>
    </w:p>
    <w:p>
      <w:pPr>
        <w:pStyle w:val="abstractstyle"/>
      </w:pPr>
      <w:r>
        <w:t xml:space="preserve">Gratitude is due, to Henriette Spilhaug Bollandsås, Nora Lerdalen Bonsak and Thea Bøhn Nyløkken for their dedication and hard work in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pPr>
        <w:pStyle w:val="abstractstyle"/>
      </w:pPr>
      <w:r>
        <w:rPr>
          <w:bCs/>
          <w:b/>
        </w:rP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9"/>
    <w:bookmarkEnd w:id="30"/>
    <w:p>
      <w:r>
        <w:br w:type="page"/>
      </w:r>
    </w:p>
    <w:bookmarkStart w:id="31" w:name="introduction"/>
    <w:p>
      <w:pPr>
        <w:pStyle w:val="Heading2"/>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While there certainly may be differences in the genetic predisposition in terms of readiness to adapt to exercise</w:t>
      </w:r>
      <w:r>
        <w:t xml:space="preserve"> </w:t>
      </w:r>
      <w:r>
        <w:t xml:space="preserve">(Thalacker-Mercer et al. 2013)</w:t>
      </w:r>
      <w:r>
        <w:t xml:space="preserve">, there are also recent studies showing that epigenetic factors such as ribosomal DNA (rDNA) availability may also impact the ability to mount an anabolic response to RT</w:t>
      </w:r>
      <w:r>
        <w:t xml:space="preserve"> </w:t>
      </w:r>
      <w:r>
        <w:t xml:space="preserve">(Figueiredo et al. 2021)</w:t>
      </w:r>
      <w:r>
        <w:t xml:space="preserve">. Indeed, the ability to synthesise ribosomes following a period of RT is connected to the magnitude of RT-induced responses in an individual</w:t>
      </w:r>
      <w:r>
        <w:t xml:space="preserve"> </w:t>
      </w:r>
      <w:r>
        <w:t xml:space="preserve">(Hammarström et al. 2020)</w:t>
      </w:r>
      <w:r>
        <w:t xml:space="preserve">. For instance, increasing training volume generally induces greater ribosome biogenesis and thus, greater benefits of RT</w:t>
      </w:r>
      <w:r>
        <w:t xml:space="preserve"> </w:t>
      </w:r>
      <w:r>
        <w:t xml:space="preserve">(Krieger 2009; Schoenfeld et al. 2017; Hammarström et al. 2020)</w:t>
      </w:r>
      <w:r>
        <w:t xml:space="preserve">.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effectively optimise RT adaptations</w:t>
      </w:r>
      <w:r>
        <w:t xml:space="preserve"> </w:t>
      </w:r>
      <w:r>
        <w:t xml:space="preserve">(Cermak et al. 2012; Lanhers et al. 2015, 2017; Morton et al. 2018)</w:t>
      </w:r>
      <w:r>
        <w:t xml:space="preserve">. However, it remains equivocal if other nutritional adjuvants such as glucose can increase the efficacy of RT</w:t>
      </w:r>
      <w:r>
        <w:t xml:space="preserve"> </w:t>
      </w:r>
      <w:r>
        <w:t xml:space="preserve">(Tezze et al. 2023)</w:t>
      </w:r>
      <w:r>
        <w:t xml:space="preserve">.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serves as a mediator for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and through transcriptional control of the upstream binding factor (UBF)</w:t>
      </w:r>
      <w:r>
        <w:t xml:space="preserve"> </w:t>
      </w:r>
      <w:r>
        <w:t xml:space="preserve">(Sanij et al. 2008; Poortinga et al. 2011)</w:t>
      </w:r>
      <w:r>
        <w:t xml:space="preserve">. Additionally, UBF phosphorylation, required for interaction with the ribosomal deoxyribonucleic acid (rDNA) promoter, is increased by high glucose in a mTORC1 dependent manner (rapamycin sensitive) in kidney glomerular epithelial cells</w:t>
      </w:r>
      <w:r>
        <w:t xml:space="preserve"> </w:t>
      </w:r>
      <w:r>
        <w:t xml:space="preserve">(Mariappan et al. 2011)</w:t>
      </w:r>
      <w:r>
        <w:t xml:space="preserve">. Independently from UBF and mTORC1, high glucose was shown to lead to chromatin remodelling, which promoted rRNA transcription in cell cultures</w:t>
      </w:r>
      <w:r>
        <w:t xml:space="preserve"> </w:t>
      </w:r>
      <w:r>
        <w:t xml:space="preserve">(Zhai et al. 2012)</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concerning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bookmarkEnd w:id="31"/>
    <w:bookmarkStart w:id="41" w:name="materials-and-methods"/>
    <w:p>
      <w:pPr>
        <w:pStyle w:val="Heading2"/>
      </w:pPr>
      <w:r>
        <w:t xml:space="preserve">Materials and methods</w:t>
      </w:r>
    </w:p>
    <w:p>
      <w:pPr>
        <w:pStyle w:val="FirstParagraph"/>
      </w:pPr>
      <w:r>
        <w:t xml:space="preserve">All participants gave their written informed consent before study enrollment. The study was approved by the regional ethical committee (REK, ID nr. 153628), pre-registered at clinicaltrials.gov (Identifier: NCT04545190), and conducted according to the Helsinki Declaration.</w:t>
      </w:r>
    </w:p>
    <w:bookmarkStart w:id="32"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2"/>
    <w:bookmarkStart w:id="3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3"/>
    <w:bookmarkStart w:id="3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w:t>
      </w:r>
      <w:r>
        <w:t xml:space="preserve"> </w:t>
      </w:r>
      <w:r>
        <w:rPr>
          <w:iCs/>
          <w:i/>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3"/>
      </w:pPr>
      <w:r>
        <w:t xml:space="preserve">Assessment of muscular strength</w:t>
      </w:r>
    </w:p>
    <w:p>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5"/>
    <w:bookmarkStart w:id="36" w:name="resistance-training-protocol"/>
    <w:p>
      <w:pPr>
        <w:pStyle w:val="Heading3"/>
      </w:pPr>
      <w:r>
        <w:t xml:space="preserve">Resistance training protocol</w:t>
      </w:r>
    </w:p>
    <w:p>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bookmarkEnd w:id="36"/>
    <w:bookmarkStart w:id="3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bookmarkEnd w:id="37"/>
    <w:bookmarkStart w:id="38" w:name="Xe19d1cdd20ecca5ae0eef771cb0196de3ad458a"/>
    <w:p>
      <w:pPr>
        <w:pStyle w:val="Heading3"/>
      </w:pPr>
      <w:r>
        <w:t xml:space="preserve">Total RNA extraction and real-time reverse transcription polymerase chain reaction</w:t>
      </w:r>
    </w:p>
    <w:p>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(Lambda,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normalised to wet muscle weight and log transformed before statistical analyses.</w:t>
      </w:r>
    </w:p>
    <w:p>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(R Core Team 2020; Hammarström et al. 2020)</w:t>
      </w:r>
      <w:r>
        <w:t xml:space="preserve">. qPCR data was normalised to wet muscle weight using the external reference gene Lambda</w:t>
      </w:r>
      <w:r>
        <w:t xml:space="preserve"> </w:t>
      </w:r>
      <w:r>
        <w:t xml:space="preserve">(Ellefsen et al. 2008; Ellefsen et al. 2014)</w:t>
      </w:r>
      <w:r>
        <w:t xml:space="preserve"> </w:t>
      </w:r>
      <w:r>
        <w:t xml:space="preserve">and analysed on the log scale on a target-by-target basis.</w:t>
      </w:r>
      <w:r>
        <w:t xml:space="preserve"> </w:t>
      </w:r>
    </w:p>
    <w:bookmarkEnd w:id="38"/>
    <w:bookmarkStart w:id="3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 xml:space="preserve">−1</w:t>
      </w:r>
      <w:r>
        <w:t xml:space="preserve"> </w:t>
      </w:r>
      <w:r>
        <w:t xml:space="preserve">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bookmarkEnd w:id="39"/>
    <w:bookmarkStart w:id="40"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(Matuschek et al. 2017)</w:t>
      </w:r>
      <w:r>
        <w:t xml:space="preserve">.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w:t>
      </w:r>
      <w:r>
        <w:t xml:space="preserve">, written for R</w:t>
      </w:r>
      <w:r>
        <w:t xml:space="preserve">(R Core Team 2020)</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p>
      <w:pPr>
        <w:pStyle w:val="BodyText"/>
      </w:pPr>
      <w:r>
        <w:t xml:space="preserve">CONTINUE PROOFREADING HERE!!!!!</w:t>
      </w:r>
    </w:p>
    <w:bookmarkEnd w:id="40"/>
    <w:bookmarkEnd w:id="41"/>
    <w:bookmarkStart w:id="43"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2" w:name="markers-of-ribosome-biogenesis"/>
    <w:p>
      <w:pPr>
        <w:pStyle w:val="Heading3"/>
      </w:pPr>
      <w:r>
        <w:t xml:space="preserve">Markers of ribosome biogenesis</w:t>
      </w:r>
    </w:p>
    <w:p>
      <w:pPr>
        <w:pStyle w:val="FirstParagraph"/>
      </w:pPr>
      <w:r>
        <w:rPr>
          <w:iCs/>
          <w:i/>
        </w:rPr>
        <w:t xml:space="preserve">Total RNA and ribosomal RNA</w:t>
      </w:r>
    </w:p>
    <w:p>
      <w:pPr>
        <w:pStyle w:val="BodyText"/>
      </w:pPr>
      <w:r>
        <w:t xml:space="preserve">From baseline to post-intervention total RNA and rRNA per unit muscle weight increased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p>
      <w:pPr>
        <w:pStyle w:val="BodyText"/>
      </w:pPr>
      <w:r>
        <w:rPr>
          <w:iCs/>
          <w:i/>
        </w:rPr>
        <w:t xml:space="preserve">Protein</w:t>
      </w:r>
    </w:p>
    <w:p>
      <w:pPr>
        <w:pStyle w:val="BodyText"/>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2"/>
    <w:bookmarkEnd w:id="43"/>
    <w:bookmarkStart w:id="47"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(Mariappan et al. 2011)</w:t>
      </w:r>
      <w:r>
        <w:t xml:space="preserve"> </w:t>
      </w:r>
      <w:r>
        <w:t xml:space="preserve">and human breast cancer cells</w:t>
      </w:r>
      <w:r>
        <w:t xml:space="preserve"> </w:t>
      </w:r>
      <w:r>
        <w:t xml:space="preserve">(Tanaka et al. 2015)</w:t>
      </w:r>
      <w:r>
        <w:t xml:space="preserve"> </w:t>
      </w:r>
      <w:r>
        <w:t xml:space="preserve">have observed glucose-induced UBF-dependent augmentation of ribosome biogenesis</w:t>
      </w:r>
      <w:r>
        <w:t xml:space="preserve"> </w:t>
      </w:r>
      <w:r>
        <w:t xml:space="preserve">(Mariappan et al. 2011)</w:t>
      </w:r>
      <w:r>
        <w:t xml:space="preserve">, and reduced rRNA transcription by glucose starvation</w:t>
      </w:r>
      <w:r>
        <w:t xml:space="preserve"> </w:t>
      </w:r>
      <w:r>
        <w:t xml:space="preserve">(Tanaka et al. 2015)</w:t>
      </w:r>
      <w:r>
        <w:t xml:space="preserve">. These findings do imply an important role for glucose in the initiation of rDNA transcription, the rate-limiting step of ribosome biogenesis</w:t>
      </w:r>
      <w:r>
        <w:t xml:space="preserve"> </w:t>
      </w:r>
      <w:r>
        <w:t xml:space="preserve">(Mariappan et al. 2011; Tanaka et al. 2015)</w:t>
      </w:r>
      <w:r>
        <w:t xml:space="preserve">. In addition, Hillier et al. found physiological hyperinsulinemia to stimulate p70S6K phosphorylation in human skeletal muscle</w:t>
      </w:r>
      <w:r>
        <w:t xml:space="preserve"> </w:t>
      </w:r>
      <w:r>
        <w:t xml:space="preserve">(Hillier et al. 2000)</w:t>
      </w:r>
      <w:r>
        <w:t xml:space="preserve">. Moreover, robust increases in markers of ribosome biogenesis such as 47S pre-rRNA and mature rRNA can be expected after an acute bout of RT</w:t>
      </w:r>
      <w:r>
        <w:t xml:space="preserve"> </w:t>
      </w:r>
      <w:r>
        <w:t xml:space="preserve">(Figueiredo et al. 2016)</w:t>
      </w:r>
      <w:r>
        <w:t xml:space="preserve"> </w:t>
      </w:r>
      <w:r>
        <w:t xml:space="preserve">or a short period of RT</w:t>
      </w:r>
      <w:r>
        <w:t xml:space="preserve"> </w:t>
      </w:r>
      <w:r>
        <w:t xml:space="preserve">(Hammarström et al. 2020, 2022)</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(Hammarström et al. 2020, 2022)</w:t>
      </w:r>
      <w:r>
        <w:t xml:space="preserve">. Due to the exploratory nature of our hypotheses, this was hardly a very surprising result. Indeed, previous studies have used cell cultures from yeast</w:t>
      </w:r>
      <w:r>
        <w:t xml:space="preserve"> </w:t>
      </w:r>
      <w:r>
        <w:t xml:space="preserve">(Zhai et al. 2012)</w:t>
      </w:r>
      <w:r>
        <w:t xml:space="preserve">, rodent</w:t>
      </w:r>
      <w:r>
        <w:t xml:space="preserve"> </w:t>
      </w:r>
      <w:r>
        <w:t xml:space="preserve">(Hoppe et al. 2009; Mariappan et al. 2011)</w:t>
      </w:r>
      <w:r>
        <w:t xml:space="preserve"> </w:t>
      </w:r>
      <w:r>
        <w:t xml:space="preserve">or human cells</w:t>
      </w:r>
      <w:r>
        <w:t xml:space="preserve"> </w:t>
      </w:r>
      <w:r>
        <w:t xml:space="preserve">(Tanaka et al. 2015)</w:t>
      </w:r>
      <w:r>
        <w:t xml:space="preserve"> </w:t>
      </w:r>
      <w:r>
        <w:t xml:space="preserve">and are, as such, not directly comparable to human skeletal muscle cells.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(Raastad and Hallén 2000)</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(Raastad and Hallén 2000)</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w:t>
      </w:r>
      <w:r>
        <w:t xml:space="preserve">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 Furhter, we did not measure the intramuscular glycogen storage, representing another limitation to our design. Hence, we cannot know for certain whether there were actual differences within the exercising skeletal muscles between the glucose and placebo condition. The participants did indeed match their macro 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outcome measures.</w:t>
      </w:r>
    </w:p>
    <w:p>
      <w:pPr>
        <w:pStyle w:val="BodyText"/>
      </w:pPr>
      <w:r>
        <w:rPr>
          <w:iCs/>
          <w:i/>
        </w:rPr>
        <w:t xml:space="preserve">Conclusion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Start w:id="45" w:name="data-availability"/>
    <w:p>
      <w:pPr>
        <w:pStyle w:val="Heading3"/>
      </w:pPr>
      <w:r>
        <w:t xml:space="preserve">DATA AVAILABILITY</w:t>
      </w:r>
    </w:p>
    <w:p>
      <w:pPr>
        <w:pStyle w:val="FirstParagraph"/>
      </w:pPr>
      <w:r>
        <w:t xml:space="preserve">Complete data sets and scripts are downloadable here;</w:t>
      </w:r>
      <w:r>
        <w:t xml:space="preserve"> </w:t>
      </w:r>
      <w:hyperlink r:id="rId44">
        <w:r>
          <w:rPr>
            <w:rStyle w:val="Hyperlink"/>
          </w:rPr>
          <w:t xml:space="preserve">https://github.com/Kristianlian/ribose-paper</w:t>
        </w:r>
      </w:hyperlink>
    </w:p>
    <w:bookmarkEnd w:id="45"/>
    <w:bookmarkStart w:id="46" w:name="supplement-material"/>
    <w:p>
      <w:pPr>
        <w:pStyle w:val="Heading3"/>
      </w:pPr>
      <w:r>
        <w:t xml:space="preserve">SUPPLEMENt MATERIAL</w:t>
      </w:r>
    </w:p>
    <w:p>
      <w:pPr>
        <w:pStyle w:val="FirstParagraph"/>
      </w:pPr>
      <w:r>
        <w:t xml:space="preserve">Extended methods can be found here;</w:t>
      </w:r>
      <w:r>
        <w:t xml:space="preserve"> </w:t>
      </w:r>
      <w:hyperlink r:id="rId44">
        <w:r>
          <w:rPr>
            <w:rStyle w:val="Hyperlink"/>
          </w:rPr>
          <w:t xml:space="preserve">https://github.com/Kristianlian/ribose-paper</w:t>
        </w:r>
      </w:hyperlink>
    </w:p>
    <w:bookmarkEnd w:id="46"/>
    <w:bookmarkEnd w:id="47"/>
    <w:bookmarkStart w:id="143" w:name="references"/>
    <w:p>
      <w:pPr>
        <w:pStyle w:val="Heading2"/>
      </w:pPr>
      <w:r>
        <w:t xml:space="preserve">References</w:t>
      </w:r>
    </w:p>
    <w:bookmarkStart w:id="142" w:name="refs"/>
    <w:bookmarkStart w:id="49"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48">
        <w:r>
          <w:rPr>
            <w:rStyle w:val="Hyperlink"/>
          </w:rPr>
          <w:t xml:space="preserve">https://doi.org/10.1111/sms.13213</w:t>
        </w:r>
      </w:hyperlink>
    </w:p>
    <w:bookmarkEnd w:id="49"/>
    <w:bookmarkStart w:id="51"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0">
        <w:r>
          <w:rPr>
            <w:rStyle w:val="Hyperlink"/>
          </w:rPr>
          <w:t xml:space="preserve">https://doi.org/10.48550/ARXIV.1406.5823</w:t>
        </w:r>
      </w:hyperlink>
    </w:p>
    <w:bookmarkEnd w:id="51"/>
    <w:bookmarkStart w:id="53"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2">
        <w:r>
          <w:rPr>
            <w:rStyle w:val="Hyperlink"/>
          </w:rPr>
          <w:t xml:space="preserve">https://doi.org/10.3945/ajcn.112.037556</w:t>
        </w:r>
      </w:hyperlink>
    </w:p>
    <w:bookmarkEnd w:id="53"/>
    <w:bookmarkStart w:id="55"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4">
        <w:r>
          <w:rPr>
            <w:rStyle w:val="Hyperlink"/>
          </w:rPr>
          <w:t xml:space="preserve">https://doi.org/10.1152/ajpregu.00262.2011</w:t>
        </w:r>
      </w:hyperlink>
    </w:p>
    <w:bookmarkEnd w:id="55"/>
    <w:bookmarkStart w:id="57"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6">
        <w:r>
          <w:rPr>
            <w:rStyle w:val="Hyperlink"/>
          </w:rPr>
          <w:t xml:space="preserve">https://doi.org/10.1016/j.ab.2008.01.028</w:t>
        </w:r>
      </w:hyperlink>
    </w:p>
    <w:bookmarkEnd w:id="57"/>
    <w:bookmarkStart w:id="59"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58">
        <w:r>
          <w:rPr>
            <w:rStyle w:val="Hyperlink"/>
          </w:rPr>
          <w:t xml:space="preserve">https://doi.org/10.1111/sms.12185</w:t>
        </w:r>
      </w:hyperlink>
    </w:p>
    <w:bookmarkEnd w:id="59"/>
    <w:bookmarkStart w:id="61"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0">
        <w:r>
          <w:rPr>
            <w:rStyle w:val="Hyperlink"/>
          </w:rPr>
          <w:t xml:space="preserve">https://doi.org/10.1152/ajpregu.00162.2019</w:t>
        </w:r>
      </w:hyperlink>
    </w:p>
    <w:bookmarkEnd w:id="61"/>
    <w:bookmarkStart w:id="63"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2">
        <w:r>
          <w:rPr>
            <w:rStyle w:val="Hyperlink"/>
          </w:rPr>
          <w:t xml:space="preserve">https://doi.org/10.1152/physiol.00034.2018</w:t>
        </w:r>
      </w:hyperlink>
    </w:p>
    <w:bookmarkEnd w:id="63"/>
    <w:bookmarkStart w:id="65"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4">
        <w:r>
          <w:rPr>
            <w:rStyle w:val="Hyperlink"/>
          </w:rPr>
          <w:t xml:space="preserve">https://doi.org/10.14814/phy2.12670</w:t>
        </w:r>
      </w:hyperlink>
    </w:p>
    <w:bookmarkEnd w:id="65"/>
    <w:bookmarkStart w:id="67"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6">
        <w:r>
          <w:rPr>
            <w:rStyle w:val="Hyperlink"/>
          </w:rPr>
          <w:t xml:space="preserve">https://doi.org/10.1113/JP281244</w:t>
        </w:r>
      </w:hyperlink>
    </w:p>
    <w:bookmarkEnd w:id="67"/>
    <w:bookmarkStart w:id="69"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68">
        <w:r>
          <w:rPr>
            <w:rStyle w:val="Hyperlink"/>
          </w:rPr>
          <w:t xml:space="preserve">https://doi.org/10.1111/apha.13806</w:t>
        </w:r>
      </w:hyperlink>
    </w:p>
    <w:bookmarkEnd w:id="69"/>
    <w:bookmarkStart w:id="71"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0">
        <w:r>
          <w:rPr>
            <w:rStyle w:val="Hyperlink"/>
          </w:rPr>
          <w:t xml:space="preserve">https://doi.org/10.1113/JP278455</w:t>
        </w:r>
      </w:hyperlink>
    </w:p>
    <w:bookmarkEnd w:id="71"/>
    <w:bookmarkStart w:id="73"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2">
        <w:r>
          <w:rPr>
            <w:rStyle w:val="Hyperlink"/>
          </w:rPr>
          <w:t xml:space="preserve">https://doi.org/10.1210/jcem.85.12.7036</w:t>
        </w:r>
      </w:hyperlink>
    </w:p>
    <w:bookmarkEnd w:id="73"/>
    <w:bookmarkStart w:id="75"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4">
        <w:r>
          <w:rPr>
            <w:rStyle w:val="Hyperlink"/>
          </w:rPr>
          <w:t xml:space="preserve">https://doi.org/10.1073/pnas.0909873106</w:t>
        </w:r>
      </w:hyperlink>
    </w:p>
    <w:bookmarkEnd w:id="75"/>
    <w:bookmarkStart w:id="77"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6">
        <w:r>
          <w:rPr>
            <w:rStyle w:val="Hyperlink"/>
          </w:rPr>
          <w:t xml:space="preserve">https://doi.org/10.1007/s004210050558</w:t>
        </w:r>
      </w:hyperlink>
    </w:p>
    <w:bookmarkEnd w:id="77"/>
    <w:bookmarkStart w:id="79"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78">
        <w:r>
          <w:rPr>
            <w:rStyle w:val="Hyperlink"/>
          </w:rPr>
          <w:t xml:space="preserve">https://doi.org/10.1007/s10059-013-0138-2</w:t>
        </w:r>
      </w:hyperlink>
    </w:p>
    <w:bookmarkEnd w:id="79"/>
    <w:bookmarkStart w:id="81"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0">
        <w:r>
          <w:rPr>
            <w:rStyle w:val="Hyperlink"/>
          </w:rPr>
          <w:t xml:space="preserve">https://doi.org/10.1519/JSC.0b013e3181b370be</w:t>
        </w:r>
      </w:hyperlink>
    </w:p>
    <w:bookmarkEnd w:id="81"/>
    <w:bookmarkStart w:id="83"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2">
        <w:r>
          <w:rPr>
            <w:rStyle w:val="Hyperlink"/>
          </w:rPr>
          <w:t xml:space="preserve">https://doi.org/10.1016/j.gene.2014.11.010</w:t>
        </w:r>
      </w:hyperlink>
    </w:p>
    <w:bookmarkEnd w:id="83"/>
    <w:bookmarkStart w:id="85"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84">
        <w:r>
          <w:rPr>
            <w:rStyle w:val="Hyperlink"/>
          </w:rPr>
          <w:t xml:space="preserve">https://doi.org/10.1007/s40279-016-0571-4</w:t>
        </w:r>
      </w:hyperlink>
    </w:p>
    <w:bookmarkEnd w:id="85"/>
    <w:bookmarkStart w:id="87"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6">
        <w:r>
          <w:rPr>
            <w:rStyle w:val="Hyperlink"/>
          </w:rPr>
          <w:t xml:space="preserve">https://doi.org/10.1007/s40279-015-0337-4</w:t>
        </w:r>
      </w:hyperlink>
    </w:p>
    <w:bookmarkEnd w:id="87"/>
    <w:bookmarkStart w:id="89"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88">
        <w:r>
          <w:rPr>
            <w:rStyle w:val="Hyperlink"/>
          </w:rPr>
          <w:t xml:space="preserve">https://doi.org/10.1007/s40279-014-0197-3</w:t>
        </w:r>
      </w:hyperlink>
    </w:p>
    <w:bookmarkEnd w:id="89"/>
    <w:bookmarkStart w:id="91"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0">
        <w:r>
          <w:rPr>
            <w:rStyle w:val="Hyperlink"/>
          </w:rPr>
          <w:t xml:space="preserve">https://doi.org/10.1152/ajprenal.00207.2010</w:t>
        </w:r>
      </w:hyperlink>
    </w:p>
    <w:bookmarkEnd w:id="91"/>
    <w:bookmarkStart w:id="93" w:name="ref-matuschek_balancing_2017"/>
    <w:p>
      <w:pPr>
        <w:pStyle w:val="Bibliography"/>
      </w:pPr>
      <w:r>
        <w:t xml:space="preserve">Matuschek H, Kliegl R, Vasishth S, et al (2017) Balancing</w:t>
      </w:r>
      <w:r>
        <w:t xml:space="preserve"> </w:t>
      </w:r>
      <w:r>
        <w:t xml:space="preserve">Type</w:t>
      </w:r>
      <w:r>
        <w:t xml:space="preserve"> </w:t>
      </w:r>
      <w:r>
        <w:t xml:space="preserve">I</w:t>
      </w:r>
      <w:r>
        <w:t xml:space="preserve"> </w:t>
      </w:r>
      <w:r>
        <w:t xml:space="preserve">error and power in linear mixed models. Journal of Memory and Language 94:305–315.</w:t>
      </w:r>
      <w:r>
        <w:t xml:space="preserve"> </w:t>
      </w:r>
      <w:hyperlink r:id="rId92">
        <w:r>
          <w:rPr>
            <w:rStyle w:val="Hyperlink"/>
          </w:rPr>
          <w:t xml:space="preserve">https://doi.org/10.1016/j.jml.2017.01.001</w:t>
        </w:r>
      </w:hyperlink>
    </w:p>
    <w:bookmarkEnd w:id="93"/>
    <w:bookmarkStart w:id="95"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4">
        <w:r>
          <w:rPr>
            <w:rStyle w:val="Hyperlink"/>
          </w:rPr>
          <w:t xml:space="preserve">https://doi.org/10.1152/ajpendo.00164.2021</w:t>
        </w:r>
      </w:hyperlink>
    </w:p>
    <w:bookmarkEnd w:id="95"/>
    <w:bookmarkStart w:id="97"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96">
        <w:r>
          <w:rPr>
            <w:rStyle w:val="Hyperlink"/>
          </w:rPr>
          <w:t xml:space="preserve">https://doi.org/10.1136/bjsports-2017-097608</w:t>
        </w:r>
      </w:hyperlink>
    </w:p>
    <w:bookmarkEnd w:id="97"/>
    <w:bookmarkStart w:id="99"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98">
        <w:r>
          <w:rPr>
            <w:rStyle w:val="Hyperlink"/>
          </w:rPr>
          <w:t xml:space="preserve">https://doi.org/10.1007/s00018-006-6278-1</w:t>
        </w:r>
      </w:hyperlink>
    </w:p>
    <w:bookmarkEnd w:id="99"/>
    <w:bookmarkStart w:id="101" w:name="ref-moss_promotion_1995"/>
    <w:p>
      <w:pPr>
        <w:pStyle w:val="Bibliography"/>
      </w:pPr>
      <w:r>
        <w:t xml:space="preserve">Moss T, Stefanovsky VY (1995)</w:t>
      </w:r>
      <w:r>
        <w:t xml:space="preserve"> </w:t>
      </w:r>
      <w:hyperlink r:id="rId100">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101"/>
    <w:bookmarkStart w:id="103" w:name="ref-mul_exercise_2015"/>
    <w:p>
      <w:pPr>
        <w:pStyle w:val="Bibliography"/>
      </w:pPr>
      <w:r>
        <w:t xml:space="preserve">Mul JD, Stanford KI, Hirshman MF, Goodyear LJ (2015)</w:t>
      </w:r>
      <w:r>
        <w:t xml:space="preserve"> </w:t>
      </w:r>
      <w:hyperlink r:id="rId102">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3"/>
    <w:bookmarkStart w:id="105"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4">
        <w:r>
          <w:rPr>
            <w:rStyle w:val="Hyperlink"/>
          </w:rPr>
          <w:t xml:space="preserve">https://doi.org/10.1371/journal.pone.0147284</w:t>
        </w:r>
      </w:hyperlink>
    </w:p>
    <w:bookmarkEnd w:id="105"/>
    <w:bookmarkStart w:id="107"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06">
        <w:r>
          <w:rPr>
            <w:rStyle w:val="Hyperlink"/>
          </w:rPr>
          <w:t xml:space="preserve">https://doi.org/10.1093/nar/gkq1205</w:t>
        </w:r>
      </w:hyperlink>
    </w:p>
    <w:bookmarkEnd w:id="107"/>
    <w:bookmarkStart w:id="109" w:name="ref-Rcore"/>
    <w:p>
      <w:pPr>
        <w:pStyle w:val="Bibliography"/>
      </w:pPr>
      <w:r>
        <w:t xml:space="preserve">R Core Team (2020)</w:t>
      </w:r>
      <w:r>
        <w:t xml:space="preserve"> </w:t>
      </w:r>
      <w:hyperlink r:id="rId108">
        <w:r>
          <w:rPr>
            <w:rStyle w:val="Hyperlink"/>
          </w:rPr>
          <w:t xml:space="preserve">R: A language and environment for statistical computing</w:t>
        </w:r>
      </w:hyperlink>
      <w:r>
        <w:t xml:space="preserve">. R Foundation for Statistical Computing, Vienna, Austria</w:t>
      </w:r>
    </w:p>
    <w:bookmarkEnd w:id="109"/>
    <w:bookmarkStart w:id="111"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10">
        <w:r>
          <w:rPr>
            <w:rStyle w:val="Hyperlink"/>
          </w:rPr>
          <w:t xml:space="preserve">https://doi.org/10.1007/s004210050673</w:t>
        </w:r>
      </w:hyperlink>
    </w:p>
    <w:bookmarkEnd w:id="111"/>
    <w:bookmarkStart w:id="113"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12">
        <w:r>
          <w:rPr>
            <w:rStyle w:val="Hyperlink"/>
          </w:rPr>
          <w:t xml:space="preserve">https://doi.org/10.1093/bioinformatics/btn227</w:t>
        </w:r>
      </w:hyperlink>
    </w:p>
    <w:bookmarkEnd w:id="113"/>
    <w:bookmarkStart w:id="115"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4">
        <w:r>
          <w:rPr>
            <w:rStyle w:val="Hyperlink"/>
          </w:rPr>
          <w:t xml:space="preserve">https://doi.org/10.1186/s12859-017-1934-z</w:t>
        </w:r>
      </w:hyperlink>
    </w:p>
    <w:bookmarkEnd w:id="115"/>
    <w:bookmarkStart w:id="117"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16">
        <w:r>
          <w:rPr>
            <w:rStyle w:val="Hyperlink"/>
          </w:rPr>
          <w:t xml:space="preserve">https://doi.org/10.1016/j.tibs.2004.12.008</w:t>
        </w:r>
      </w:hyperlink>
    </w:p>
    <w:bookmarkEnd w:id="117"/>
    <w:bookmarkStart w:id="119"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18">
        <w:r>
          <w:rPr>
            <w:rStyle w:val="Hyperlink"/>
          </w:rPr>
          <w:t xml:space="preserve">https://doi.org/10.1083/jcb.200805146</w:t>
        </w:r>
      </w:hyperlink>
    </w:p>
    <w:bookmarkEnd w:id="119"/>
    <w:bookmarkStart w:id="121"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20">
        <w:r>
          <w:rPr>
            <w:rStyle w:val="Hyperlink"/>
          </w:rPr>
          <w:t xml:space="preserve">https://doi.org/10.1519/JSC.0000000000002200</w:t>
        </w:r>
      </w:hyperlink>
    </w:p>
    <w:bookmarkEnd w:id="121"/>
    <w:bookmarkStart w:id="123"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22">
        <w:r>
          <w:rPr>
            <w:rStyle w:val="Hyperlink"/>
          </w:rPr>
          <w:t xml:space="preserve">https://doi.org/10.1152/ajpendo.00486.2015</w:t>
        </w:r>
      </w:hyperlink>
    </w:p>
    <w:bookmarkEnd w:id="123"/>
    <w:bookmarkStart w:id="125" w:name="ref-sebata_control_2018"/>
    <w:p>
      <w:pPr>
        <w:pStyle w:val="Bibliography"/>
      </w:pPr>
      <w:r>
        <w:t xml:space="preserve">Tanaka Y, Tsuneoka M (2018)</w:t>
      </w:r>
      <w:r>
        <w:t xml:space="preserve"> </w:t>
      </w:r>
      <w:hyperlink r:id="rId124">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5"/>
    <w:bookmarkStart w:id="127"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26">
        <w:r>
          <w:rPr>
            <w:rStyle w:val="Hyperlink"/>
          </w:rPr>
          <w:t xml:space="preserve">https://doi.org/10.1128/MCB.00579-15</w:t>
        </w:r>
      </w:hyperlink>
    </w:p>
    <w:bookmarkEnd w:id="127"/>
    <w:bookmarkStart w:id="129" w:name="ref-tezze_anabolic_2023"/>
    <w:p>
      <w:pPr>
        <w:pStyle w:val="Bibliography"/>
      </w:pPr>
      <w:r>
        <w:t xml:space="preserve">Tezze C, Sandri M, Tessari P (2023) Anabolic</w:t>
      </w:r>
      <w:r>
        <w:t xml:space="preserve"> </w:t>
      </w:r>
      <w:r>
        <w:t xml:space="preserve">Resistance</w:t>
      </w:r>
      <w:r>
        <w:t xml:space="preserve"> </w:t>
      </w:r>
      <w:r>
        <w:t xml:space="preserve">in the</w:t>
      </w:r>
      <w:r>
        <w:t xml:space="preserve"> </w:t>
      </w:r>
      <w:r>
        <w:t xml:space="preserve">Pathogenesis</w:t>
      </w:r>
      <w:r>
        <w:t xml:space="preserve"> </w:t>
      </w:r>
      <w:r>
        <w:t xml:space="preserve">of</w:t>
      </w:r>
      <w:r>
        <w:t xml:space="preserve"> </w:t>
      </w:r>
      <w:r>
        <w:t xml:space="preserve">Sarcopenia</w:t>
      </w:r>
      <w:r>
        <w:t xml:space="preserve"> </w:t>
      </w:r>
      <w:r>
        <w:t xml:space="preserve">in the</w:t>
      </w:r>
      <w:r>
        <w:t xml:space="preserve"> </w:t>
      </w:r>
      <w:r>
        <w:t xml:space="preserve">Elderly</w:t>
      </w:r>
      <w:r>
        <w:t xml:space="preserve">:</w:t>
      </w:r>
      <w:r>
        <w:t xml:space="preserve"> </w:t>
      </w:r>
      <w:r>
        <w:t xml:space="preserve">Role</w:t>
      </w:r>
      <w:r>
        <w:t xml:space="preserve"> </w:t>
      </w:r>
      <w:r>
        <w:t xml:space="preserve">of</w:t>
      </w:r>
      <w:r>
        <w:t xml:space="preserve"> </w:t>
      </w:r>
      <w:r>
        <w:t xml:space="preserve">Nutrition</w:t>
      </w:r>
      <w:r>
        <w:t xml:space="preserve"> </w:t>
      </w:r>
      <w:r>
        <w:t xml:space="preserve">and</w:t>
      </w:r>
      <w:r>
        <w:t xml:space="preserve"> </w:t>
      </w:r>
      <w:r>
        <w:t xml:space="preserve">Exercise</w:t>
      </w:r>
      <w:r>
        <w:t xml:space="preserve"> </w:t>
      </w:r>
      <w:r>
        <w:t xml:space="preserve">in</w:t>
      </w:r>
      <w:r>
        <w:t xml:space="preserve"> </w:t>
      </w:r>
      <w:r>
        <w:t xml:space="preserve">Young</w:t>
      </w:r>
      <w:r>
        <w:t xml:space="preserve"> </w:t>
      </w:r>
      <w:r>
        <w:t xml:space="preserve">and</w:t>
      </w:r>
      <w:r>
        <w:t xml:space="preserve"> </w:t>
      </w:r>
      <w:r>
        <w:t xml:space="preserve">Old</w:t>
      </w:r>
      <w:r>
        <w:t xml:space="preserve"> </w:t>
      </w:r>
      <w:r>
        <w:t xml:space="preserve">People</w:t>
      </w:r>
      <w:r>
        <w:t xml:space="preserve">. Nutrients 15:4073.</w:t>
      </w:r>
      <w:r>
        <w:t xml:space="preserve"> </w:t>
      </w:r>
      <w:hyperlink r:id="rId128">
        <w:r>
          <w:rPr>
            <w:rStyle w:val="Hyperlink"/>
          </w:rPr>
          <w:t xml:space="preserve">https://doi.org/10.3390/nu15184073</w:t>
        </w:r>
      </w:hyperlink>
    </w:p>
    <w:bookmarkEnd w:id="129"/>
    <w:bookmarkStart w:id="131"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30">
        <w:r>
          <w:rPr>
            <w:rStyle w:val="Hyperlink"/>
          </w:rPr>
          <w:t xml:space="preserve">https://doi.org/10.1152/physiolgenomics.00167.2012</w:t>
        </w:r>
      </w:hyperlink>
    </w:p>
    <w:bookmarkEnd w:id="131"/>
    <w:bookmarkStart w:id="133"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32">
        <w:r>
          <w:rPr>
            <w:rStyle w:val="Hyperlink"/>
          </w:rPr>
          <w:t xml:space="preserve">https://doi.org/10.1152/japplphysiol.00963.2018</w:t>
        </w:r>
      </w:hyperlink>
    </w:p>
    <w:bookmarkEnd w:id="133"/>
    <w:bookmarkStart w:id="135"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4">
        <w:r>
          <w:rPr>
            <w:rStyle w:val="Hyperlink"/>
          </w:rPr>
          <w:t xml:space="preserve">https://doi.org/10.1152/ajpcell.00460.2011</w:t>
        </w:r>
      </w:hyperlink>
    </w:p>
    <w:bookmarkEnd w:id="135"/>
    <w:bookmarkStart w:id="137"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6">
        <w:r>
          <w:rPr>
            <w:rStyle w:val="Hyperlink"/>
          </w:rPr>
          <w:t xml:space="preserve">https://doi.org/10.1113/JP271365</w:t>
        </w:r>
      </w:hyperlink>
    </w:p>
    <w:bookmarkEnd w:id="137"/>
    <w:bookmarkStart w:id="139"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38">
        <w:r>
          <w:rPr>
            <w:rStyle w:val="Hyperlink"/>
          </w:rPr>
          <w:t xml:space="preserve">https://doi.org/10.1046/j.1365-201X.1998.0301f.x</w:t>
        </w:r>
      </w:hyperlink>
    </w:p>
    <w:bookmarkEnd w:id="139"/>
    <w:bookmarkStart w:id="141"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40">
        <w:r>
          <w:rPr>
            <w:rStyle w:val="Hyperlink"/>
          </w:rPr>
          <w:t xml:space="preserve">https://doi.org/10.1093/jmcb/mjs003</w:t>
        </w:r>
      </w:hyperlink>
    </w:p>
    <w:bookmarkEnd w:id="141"/>
    <w:bookmarkEnd w:id="142"/>
    <w:bookmarkEnd w:id="143"/>
    <w:bookmarkEnd w:id="144"/>
    <w:bookmarkStart w:id="145" w:name="figuretable-legends"/>
    <w:p>
      <w:pPr>
        <w:pStyle w:val="Heading1"/>
      </w:pPr>
      <w:r>
        <w:t xml:space="preserve">Figure/table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w:t>
      </w:r>
      <w:r>
        <w:t xml:space="preserve"> </w:t>
      </w:r>
      <w:r>
        <w:t xml:space="preserve">.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5"/>
    <w:bookmarkStart w:id="146" w:name="tables"/>
    <w:p>
      <w:pPr>
        <w:pStyle w:val="Heading1"/>
      </w:pPr>
      <w:r>
        <w:t xml:space="preserve">Tables</w:t>
      </w:r>
    </w:p>
    <w:p>
      <w:pPr>
        <w:pStyle w:val="FirstParagraph"/>
      </w:pPr>
      <w:r>
        <w:rPr>
          <w:bCs/>
          <w:b/>
        </w:rPr>
        <w:t xml:space="preserve">Table 1. Participant characteristics:</w:t>
      </w:r>
      <w:r>
        <w:t xml:space="preserve"> </w:t>
      </w:r>
      <w:r>
        <w:t xml:space="preserve">Values are means ± SD. 60º sec-1 = 60 degrees per second movement speed (isokinetic), 240º sec-1 = 240 degrees per second movement speed (isokinetic), 0º sec-1 = 0 degrees per second movement speed (isometric).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BodyText"/>
      </w:pPr>
      <w:r>
        <w:rPr>
          <w:bCs/>
          <w:b/>
        </w:rPr>
        <w:t xml:space="preserve">Table 2. Primer sequences:</w:t>
      </w:r>
      <w:r>
        <w:t xml:space="preserve"> </w:t>
      </w:r>
      <w:r>
        <w:t xml:space="preserve">Values of Ct are means ± SD. rRNA = ribosomal RNA, E = primer efficiency. Average cycle thresholds (Ct) and priming efficiencies were calculated from all qPCR reactions.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6"/>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BB33EE"/>
    <w:pPr>
      <w:keepNext/>
      <w:keepLines/>
      <w:spacing w:after="0" w:before="200"/>
      <w:outlineLvl w:val="2"/>
    </w:pPr>
    <w:rPr>
      <w:rFonts w:cs="Calibri Light" w:eastAsiaTheme="majorEastAsia"/>
      <w:b/>
      <w:sz w:val="24"/>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98"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0"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100" Target="https://doi.org/10.1016/S0079-6603(08)60810-7" TargetMode="External" /><Relationship Type="http://schemas.openxmlformats.org/officeDocument/2006/relationships/hyperlink" Id="rId102"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92" Target="https://doi.org/10.1016/j.jml.2017.01.001" TargetMode="External" /><Relationship Type="http://schemas.openxmlformats.org/officeDocument/2006/relationships/hyperlink" Id="rId116"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8" Target="https://doi.org/10.1083/jcb.200805146" TargetMode="External" /><Relationship Type="http://schemas.openxmlformats.org/officeDocument/2006/relationships/hyperlink" Id="rId112" Target="https://doi.org/10.1093/bioinformatics/btn227" TargetMode="External" /><Relationship Type="http://schemas.openxmlformats.org/officeDocument/2006/relationships/hyperlink" Id="rId140" Target="https://doi.org/10.1093/jmcb/mjs003" TargetMode="External" /><Relationship Type="http://schemas.openxmlformats.org/officeDocument/2006/relationships/hyperlink" Id="rId106"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6"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6" Target="https://doi.org/10.1128/MCB.00579-15" TargetMode="External" /><Relationship Type="http://schemas.openxmlformats.org/officeDocument/2006/relationships/hyperlink" Id="rId96"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94" Target="https://doi.org/10.1152/ajpendo.00164.2021" TargetMode="External" /><Relationship Type="http://schemas.openxmlformats.org/officeDocument/2006/relationships/hyperlink" Id="rId122"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32"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30" Target="https://doi.org/10.1152/physiolgenomics.00167.2012" TargetMode="External" /><Relationship Type="http://schemas.openxmlformats.org/officeDocument/2006/relationships/hyperlink" Id="rId114"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4"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0"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8"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4"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8"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0"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100" Target="https://doi.org/10.1016/S0079-6603(08)60810-7" TargetMode="External" /><Relationship Type="http://schemas.openxmlformats.org/officeDocument/2006/relationships/hyperlink" Id="rId102"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92" Target="https://doi.org/10.1016/j.jml.2017.01.001" TargetMode="External" /><Relationship Type="http://schemas.openxmlformats.org/officeDocument/2006/relationships/hyperlink" Id="rId116" Target="https://doi.org/10.1016/j.tibs.2004.12.008" TargetMode="External" /><Relationship Type="http://schemas.openxmlformats.org/officeDocument/2006/relationships/hyperlink" Id="rId138"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8" Target="https://doi.org/10.1083/jcb.200805146" TargetMode="External" /><Relationship Type="http://schemas.openxmlformats.org/officeDocument/2006/relationships/hyperlink" Id="rId112" Target="https://doi.org/10.1093/bioinformatics/btn227" TargetMode="External" /><Relationship Type="http://schemas.openxmlformats.org/officeDocument/2006/relationships/hyperlink" Id="rId140" Target="https://doi.org/10.1093/jmcb/mjs003" TargetMode="External" /><Relationship Type="http://schemas.openxmlformats.org/officeDocument/2006/relationships/hyperlink" Id="rId106"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6"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6" Target="https://doi.org/10.1128/MCB.00579-15" TargetMode="External" /><Relationship Type="http://schemas.openxmlformats.org/officeDocument/2006/relationships/hyperlink" Id="rId96" Target="https://doi.org/10.1136/bjsports-2017-097608" TargetMode="External" /><Relationship Type="http://schemas.openxmlformats.org/officeDocument/2006/relationships/hyperlink" Id="rId134" Target="https://doi.org/10.1152/ajpcell.00460.2011" TargetMode="External" /><Relationship Type="http://schemas.openxmlformats.org/officeDocument/2006/relationships/hyperlink" Id="rId94" Target="https://doi.org/10.1152/ajpendo.00164.2021" TargetMode="External" /><Relationship Type="http://schemas.openxmlformats.org/officeDocument/2006/relationships/hyperlink" Id="rId122"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32"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30" Target="https://doi.org/10.1152/physiolgenomics.00167.2012" TargetMode="External" /><Relationship Type="http://schemas.openxmlformats.org/officeDocument/2006/relationships/hyperlink" Id="rId114"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4"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0"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8"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4"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8"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2023-09-29T12:40:50Z</dcterms:created>
  <dcterms:modified xsi:type="dcterms:W3CDTF">2023-09-29T12:40:50Z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