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Date"/>
      </w:pPr>
      <w:r>
        <w:t xml:space="preserve">2023-02-20</w:t>
      </w:r>
    </w:p>
    <w:bookmarkStart w:id="33" w:name="results"/>
    <w:p>
      <w:pPr>
        <w:pStyle w:val="Heading2"/>
      </w:pPr>
      <w:r>
        <w:t xml:space="preserve">Results</w:t>
      </w:r>
    </w:p>
    <w:p>
      <w:pPr>
        <w:pStyle w:val="FirstParagraph"/>
      </w:pPr>
      <w:r>
        <w:t xml:space="preserve">At baseline, there were no significant differences between legs allocated to training with glucose or placebo in muscle mass, isometric or isokinetic peak torque (Tab 1). Total session volume (Tab 2) increased significantly from session 4 to session 6 compared to session 1 (</w:t>
      </w:r>
      <w:r>
        <w:rPr>
          <w:iCs/>
          <w:i/>
        </w:rPr>
        <w:t xml:space="preserve">p</w:t>
      </w:r>
      <w:r>
        <w:t xml:space="preserve"> </w:t>
      </w:r>
      <w:r>
        <w:t xml:space="preserve">&lt; 0.05), with no differences between exercising with glucose or placebo (</w:t>
      </w:r>
      <w:r>
        <w:rPr>
          <w:iCs/>
          <w:i/>
        </w:rPr>
        <w:t xml:space="preserve">p</w:t>
      </w:r>
      <w:r>
        <w:t xml:space="preserve"> </w:t>
      </w:r>
      <w:r>
        <w:t xml:space="preserve">&gt; 0.05). On pairwise consecutive days there were no significant differences in mean ingestion of protein, fat, carbohydrate or total calories (</w:t>
      </w:r>
      <w:r>
        <w:rPr>
          <w:iCs/>
          <w:i/>
        </w:rPr>
        <w:t xml:space="preserve">p</w:t>
      </w:r>
      <w:r>
        <w:t xml:space="preserve"> </w:t>
      </w:r>
      <w:r>
        <w:t xml:space="preserve">&gt; 0.05).</w:t>
      </w:r>
    </w:p>
    <w:bookmarkStart w:id="26" w:name="X2e75366e66ce5ac07a606f0bae8fe310a479b64"/>
    <w:p>
      <w:pPr>
        <w:pStyle w:val="Heading6"/>
      </w:pPr>
      <w:r>
        <w:rPr>
          <w:bCs/>
          <w:b/>
        </w:rPr>
        <w:t xml:space="preserve">Table 1:</w:t>
      </w:r>
      <w:r>
        <w:t xml:space="preserve"> </w:t>
      </w:r>
      <w:r>
        <w:t xml:space="preserve">Baseline descriptives of legs allocated to RT with glucose or RT. LM = Lean mass, Strength = strength index, calculated from isometric and isokinetic peak torque, Iso 0 PT = Isometric (0 d/s) peak torque, Iso 60 PT = Isokinetic peak torque at 60 d/s, Iso 240 PT = Isokinetic peak torque at 240 d/s.</w:t>
      </w:r>
    </w:p>
    <w:p>
      <w:pPr>
        <w:pStyle w:val="FirstParagraph"/>
      </w:pPr>
      <w:r>
        <w:drawing>
          <wp:inline>
            <wp:extent cx="5334000" cy="677666"/>
            <wp:effectExtent b="0" l="0" r="0" t="0"/>
            <wp:docPr descr="" title="" id="21" name="Picture"/>
            <a:graphic>
              <a:graphicData uri="http://schemas.openxmlformats.org/drawingml/2006/picture">
                <pic:pic>
                  <pic:nvPicPr>
                    <pic:cNvPr descr="figures/tab1.png" id="22" name="Picture"/>
                    <pic:cNvPicPr>
                      <a:picLocks noChangeArrowheads="1" noChangeAspect="1"/>
                    </pic:cNvPicPr>
                  </pic:nvPicPr>
                  <pic:blipFill>
                    <a:blip r:embed="rId20"/>
                    <a:stretch>
                      <a:fillRect/>
                    </a:stretch>
                  </pic:blipFill>
                  <pic:spPr bwMode="auto">
                    <a:xfrm>
                      <a:off x="0" y="0"/>
                      <a:ext cx="5334000" cy="677666"/>
                    </a:xfrm>
                    <a:prstGeom prst="rect">
                      <a:avLst/>
                    </a:prstGeom>
                    <a:noFill/>
                    <a:ln w="9525">
                      <a:noFill/>
                      <a:headEnd/>
                      <a:tailEnd/>
                    </a:ln>
                  </pic:spPr>
                </pic:pic>
              </a:graphicData>
            </a:graphic>
          </wp:inline>
        </w:drawing>
      </w:r>
      <w:r>
        <w:t xml:space="preserve"> </w:t>
      </w:r>
      <w:r>
        <w:t xml:space="preserve">Glucose ingestion before and after RT led to significant increases in plasma levels of glucose (Fig 1B, 120min: 38 ± 4% [</w:t>
      </w:r>
      <w:r>
        <w:rPr>
          <w:iCs/>
          <w:i/>
        </w:rPr>
        <w:t xml:space="preserve">p</w:t>
      </w:r>
      <w:r>
        <w:t xml:space="preserve"> </w:t>
      </w:r>
      <w:r>
        <w:t xml:space="preserve">= 0.00000], 135min: 31 ± 4% [</w:t>
      </w:r>
      <w:r>
        <w:rPr>
          <w:iCs/>
          <w:i/>
        </w:rPr>
        <w:t xml:space="preserve">p</w:t>
      </w:r>
      <w:r>
        <w:t xml:space="preserve"> </w:t>
      </w:r>
      <w:r>
        <w:t xml:space="preserve">= 0.00000], 150min: 32 ± 4% [</w:t>
      </w:r>
      <w:r>
        <w:rPr>
          <w:iCs/>
          <w:i/>
        </w:rPr>
        <w:t xml:space="preserve">p</w:t>
      </w:r>
      <w:r>
        <w:t xml:space="preserve"> </w:t>
      </w:r>
      <w:r>
        <w:t xml:space="preserve">= 0.00000]) and c-peptide (Fig 1C, 120min: 95 ± 10% [</w:t>
      </w:r>
      <w:r>
        <w:rPr>
          <w:iCs/>
          <w:i/>
        </w:rPr>
        <w:t xml:space="preserve">p</w:t>
      </w:r>
      <w:r>
        <w:t xml:space="preserve"> </w:t>
      </w:r>
      <w:r>
        <w:t xml:space="preserve">= 0.00000], 150min: 87 ± 10% [</w:t>
      </w:r>
      <w:r>
        <w:rPr>
          <w:iCs/>
          <w:i/>
        </w:rPr>
        <w:t xml:space="preserve">p</w:t>
      </w:r>
      <w:r>
        <w:t xml:space="preserve"> </w:t>
      </w:r>
      <w:r>
        <w:t xml:space="preserve">= 0.00000]) before, during and after the session, compared to no change in placebo (</w:t>
      </w:r>
      <w:r>
        <w:rPr>
          <w:iCs/>
          <w:i/>
        </w:rPr>
        <w:t xml:space="preserve">p</w:t>
      </w:r>
      <w:r>
        <w:t xml:space="preserve"> </w:t>
      </w:r>
      <w:r>
        <w:t xml:space="preserve">&gt; 0.05). At 2hrs post-exercise, RT with glucose led to significantly lower plasma glucose levels compared to RT with placebo (1B, 270min: -8 ± 4% [</w:t>
      </w:r>
      <w:r>
        <w:rPr>
          <w:iCs/>
          <w:i/>
        </w:rPr>
        <w:t xml:space="preserve">p</w:t>
      </w:r>
      <w:r>
        <w:t xml:space="preserve"> </w:t>
      </w:r>
      <w:r>
        <w:t xml:space="preserve">= 0.03].</w:t>
      </w:r>
    </w:p>
    <w:p>
      <w:pPr>
        <w:pStyle w:val="BodyText"/>
      </w:pPr>
      <w:r>
        <w:t xml:space="preserve">######</w:t>
      </w:r>
      <w:r>
        <w:rPr>
          <w:bCs/>
          <w:b/>
        </w:rPr>
        <w:t xml:space="preserve">Table 2:</w:t>
      </w:r>
      <w:r>
        <w:t xml:space="preserve"> </w:t>
      </w:r>
      <w:r>
        <w:t xml:space="preserve">Mean total session volume and mean change in total session volume from session 1 to session 6.</w:t>
      </w:r>
      <w:r>
        <w:t xml:space="preserve"> </w:t>
      </w:r>
      <w:r>
        <w:drawing>
          <wp:inline>
            <wp:extent cx="5334000" cy="3495603"/>
            <wp:effectExtent b="0" l="0" r="0" t="0"/>
            <wp:docPr descr="" title="" id="24" name="Picture"/>
            <a:graphic>
              <a:graphicData uri="http://schemas.openxmlformats.org/drawingml/2006/picture">
                <pic:pic>
                  <pic:nvPicPr>
                    <pic:cNvPr descr="figures/tab2.png" id="25" name="Picture"/>
                    <pic:cNvPicPr>
                      <a:picLocks noChangeArrowheads="1" noChangeAspect="1"/>
                    </pic:cNvPicPr>
                  </pic:nvPicPr>
                  <pic:blipFill>
                    <a:blip r:embed="rId23"/>
                    <a:stretch>
                      <a:fillRect/>
                    </a:stretch>
                  </pic:blipFill>
                  <pic:spPr bwMode="auto">
                    <a:xfrm>
                      <a:off x="0" y="0"/>
                      <a:ext cx="5334000" cy="3495603"/>
                    </a:xfrm>
                    <a:prstGeom prst="rect">
                      <a:avLst/>
                    </a:prstGeom>
                    <a:noFill/>
                    <a:ln w="9525">
                      <a:noFill/>
                      <a:headEnd/>
                      <a:tailEnd/>
                    </a:ln>
                  </pic:spPr>
                </pic:pic>
              </a:graphicData>
            </a:graphic>
          </wp:inline>
        </w:drawing>
      </w:r>
    </w:p>
    <w:p>
      <w:pPr>
        <w:pStyle w:val="BodyText"/>
      </w:pPr>
      <w:r>
        <w:t xml:space="preserve">After 5 RT sessions (Fig 1D, Post 5RT), there was a significant difference in strength between glucose and placebo, where placebo decreased strength 7% more than glucose (Fig 1D,</w:t>
      </w:r>
      <w:r>
        <w:t xml:space="preserve"> </w:t>
      </w:r>
      <w:r>
        <w:rPr>
          <w:iCs/>
          <w:i/>
        </w:rPr>
        <w:t xml:space="preserve">p</w:t>
      </w:r>
      <w:r>
        <w:t xml:space="preserve"> </w:t>
      </w:r>
      <w:r>
        <w:t xml:space="preserve">= 0.04). At the remaining time points, there were no significant differences between exercising with glucose and placebo (</w:t>
      </w:r>
      <w:r>
        <w:rPr>
          <w:iCs/>
          <w:i/>
        </w:rPr>
        <w:t xml:space="preserve">p</w:t>
      </w:r>
      <w:r>
        <w:t xml:space="preserve"> </w:t>
      </w:r>
      <w:r>
        <w:t xml:space="preserve">&gt; 0.05). While both RT with glucose and placebo led to significantly reduced strength post fifth session compared to baseline (</w:t>
      </w:r>
      <w:r>
        <w:rPr>
          <w:iCs/>
          <w:i/>
        </w:rPr>
        <w:t xml:space="preserve">p</w:t>
      </w:r>
      <w:r>
        <w:t xml:space="preserve"> </w:t>
      </w:r>
      <w:r>
        <w:t xml:space="preserve">&lt; 0.05), there were no significant differences in strength at baseline and 23hrs post sixth RT session (Fig 1D, Baseline and 23h post 6RT).</w:t>
      </w:r>
    </w:p>
    <w:bookmarkEnd w:id="26"/>
    <w:bookmarkStart w:id="27" w:name="X33d984625c0c103042f4bffffb0569994efa28e"/>
    <w:p>
      <w:pPr>
        <w:pStyle w:val="Heading6"/>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A total of three participants dropped out of the intervention, either due to reported muscular discomforts of heavy RT, or sickness in their family.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bookmarkEnd w:id="27"/>
    <w:bookmarkStart w:id="32" w:name="markers-of-ribosome-biogenesis"/>
    <w:p>
      <w:pPr>
        <w:pStyle w:val="Heading3"/>
      </w:pPr>
      <w:r>
        <w:t xml:space="preserve">Markers of ribosome biogenesis</w:t>
      </w:r>
    </w:p>
    <w:bookmarkStart w:id="29" w:name="total-rna-and-ribosomal-rna"/>
    <w:p>
      <w:pPr>
        <w:pStyle w:val="Heading4"/>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Start w:id="28" w:name="X9adf34f058d13c4f0e01388579d81d6eacc02fb"/>
    <w:p>
      <w:pPr>
        <w:pStyle w:val="Heading6"/>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bookmarkEnd w:id="28"/>
    <w:bookmarkEnd w:id="29"/>
    <w:bookmarkStart w:id="31" w:name="protein"/>
    <w:p>
      <w:pPr>
        <w:pStyle w:val="Heading4"/>
      </w:pPr>
      <w:r>
        <w:t xml:space="preserve">Protein</w:t>
      </w:r>
    </w:p>
    <w:p>
      <w:pPr>
        <w:pStyle w:val="FirstParagraph"/>
      </w:pPr>
      <w:r>
        <w:t xml:space="preserve">Levels of c-Myc increased 51% more after RT with placebo compared to RT with glucose, a significant difference (Fig 3A:</w:t>
      </w:r>
      <w:r>
        <w:t xml:space="preserve"> </w:t>
      </w:r>
      <w:r>
        <w:rPr>
          <w:iCs/>
          <w:i/>
        </w:rPr>
        <w:t xml:space="preserve">p</w:t>
      </w:r>
      <w:r>
        <w:t xml:space="preserve"> </w:t>
      </w:r>
      <w:r>
        <w:t xml:space="preserve">= 0.027). Levels of UBF and rpS6 increased 42 and 33%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there was a linear relationship between UBF and total RNA, where an increase of 1 SD unit of UBF equated to a 13% increase in total RNA (</w:t>
      </w:r>
      <w:r>
        <w:rPr>
          <w:iCs/>
          <w:i/>
        </w:rPr>
        <w:t xml:space="preserve">p</w:t>
      </w:r>
      <w:r>
        <w:t xml:space="preserve"> </w:t>
      </w:r>
      <w:r>
        <w:t xml:space="preserve">= 0.002).</w:t>
      </w:r>
    </w:p>
    <w:bookmarkStart w:id="30" w:name="X72589d473b291c060087e99e6b4c3b199bdebb5"/>
    <w:p>
      <w:pPr>
        <w:pStyle w:val="Heading6"/>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2023-03-08T08:30:48Z</dcterms:created>
  <dcterms:modified xsi:type="dcterms:W3CDTF">2023-03-08T08:30:48Z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editor_options">
    <vt:lpwstr/>
  </property>
  <property fmtid="{D5CDD505-2E9C-101B-9397-08002B2CF9AE}" pid="4" name="output">
    <vt:lpwstr>word_document</vt:lpwstr>
  </property>
</Properties>
</file>