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t xml:space="preserve"> </w:t>
      </w:r>
      <w:r>
        <w:t xml:space="preserve">Daniel</w:t>
      </w:r>
      <w:r>
        <w:t xml:space="preserve"> </w:t>
      </w:r>
      <w:r>
        <w:t xml:space="preserve">Hammarström,</w:t>
      </w:r>
      <w:r>
        <w:t xml:space="preserve"> </w:t>
      </w:r>
      <w:r>
        <w:t xml:space="preserve">Stian</w:t>
      </w:r>
      <w:r>
        <w:t xml:space="preserve"> </w:t>
      </w:r>
      <w:r>
        <w:t xml:space="preserve">Ellefsen,</w:t>
      </w:r>
      <w:r>
        <w:t xml:space="preserve"> </w:t>
      </w:r>
      <w:r>
        <w:t xml:space="preserve">Håvard</w:t>
      </w:r>
      <w:r>
        <w:t xml:space="preserve"> </w:t>
      </w:r>
      <w:r>
        <w:t xml:space="preserve">Hamarsland</w:t>
      </w:r>
    </w:p>
    <w:bookmarkStart w:id="20" w:name="introduction"/>
    <w:p>
      <w:pPr>
        <w:pStyle w:val="Heading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in terms of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favorable adaptations in some individuals, such benefits are not uniform between individuals</w:t>
      </w:r>
      <w:r>
        <w:t xml:space="preserve"> </w:t>
      </w:r>
      <w:r>
        <w:t xml:space="preserve">(5–7)</w:t>
      </w:r>
      <w:r>
        <w:t xml:space="preserve">.</w:t>
      </w:r>
      <w:r>
        <w:t xml:space="preserve"> </w:t>
      </w:r>
      <w:r>
        <w:t xml:space="preserve">For instance, although changes in training volume generally induces greater benefits of RT, not all individuals benefit from such modifications</w:t>
      </w:r>
      <w:r>
        <w:t xml:space="preserve"> </w:t>
      </w:r>
      <w:r>
        <w:t xml:space="preserve">(5)</w:t>
      </w:r>
      <w:r>
        <w:t xml:space="preserve">. Therefore, other means than modification of RT variables seems necessary to optimize individual responses.</w:t>
      </w:r>
    </w:p>
    <w:p>
      <w:pPr>
        <w:pStyle w:val="BodyTex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as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w:t>
      </w:r>
      <w:r>
        <w:t xml:space="preserve"> </w:t>
      </w:r>
      <w:r>
        <w:rPr>
          <w:iCs/>
          <w:i/>
        </w:rPr>
        <w:t xml:space="preserve">de novo</w:t>
      </w:r>
      <w:r>
        <w:t xml:space="preserve"> </w:t>
      </w:r>
      <w:r>
        <w:t xml:space="preserve">synthesis of ribosomes</w:t>
      </w:r>
      <w:r>
        <w:t xml:space="preserve"> </w:t>
      </w:r>
      <w:r>
        <w:t xml:space="preserve">(13–15)</w:t>
      </w:r>
      <w:r>
        <w:t xml:space="preserve"> </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a potential additive effect of glucose and RT on ribosome biogenesis.</w:t>
      </w:r>
    </w:p>
    <w:p>
      <w:pPr>
        <w:pStyle w:val="BodyText"/>
      </w:pPr>
      <w:r>
        <w:t xml:space="preserve">Transcription of ribosomal RNA (rRNA) by Pol I is considered the limiting step in synthesizing new ribosomes</w:t>
      </w:r>
      <w:r>
        <w:t xml:space="preserve"> </w:t>
      </w:r>
      <w:r>
        <w:t xml:space="preserve">(19)</w:t>
      </w:r>
      <w:r>
        <w:t xml:space="preserve">. Multiple signaling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from insulin signaling in skeletal muscle</w:t>
      </w:r>
      <w:r>
        <w:t xml:space="preserve"> </w:t>
      </w:r>
      <w:r>
        <w:t xml:space="preserve">(23)</w:t>
      </w:r>
      <w:r>
        <w:t xml:space="preserve">. The mTORC1 pathway contributes to ribosome biogenesis through the regulation of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remodeling, which promotes rRNA transcription in cell cultures</w:t>
      </w:r>
      <w:r>
        <w:t xml:space="preserve">(27)</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would increase markers of ribosomal abundance following five RT sessions. Secondly we aimed to describe the association between UBF and total RNA abundance in human skeletal muscle. There has been multiple studies the last years suggesting translational capacity to be as important as, if not more, translational efficiency</w:t>
      </w:r>
      <w:r>
        <w:t xml:space="preserve"> </w:t>
      </w:r>
      <w:r>
        <w:t xml:space="preserve">(5, 28, 29)</w:t>
      </w:r>
      <w:r>
        <w:t xml:space="preserve">. Previously,</w:t>
      </w:r>
      <w:r>
        <w:t xml:space="preserve"> </w:t>
      </w:r>
      <w:r>
        <w:rPr>
          <w:iCs/>
          <w:i/>
        </w:rPr>
        <w:t xml:space="preserve">in vitro</w:t>
      </w:r>
      <w:r>
        <w:t xml:space="preserve"> </w:t>
      </w:r>
      <w:r>
        <w:t xml:space="preserve">studies has shown UBF and c-Myc to be a important factors in the PIC, c-Myc as a general transcription factor and UBF as a specific transcription factor to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 key to further our understanding in optimization of RT to individual phenotypes.</w:t>
      </w:r>
      <w:r>
        <w:br/>
      </w:r>
    </w:p>
    <w:bookmarkEnd w:id="20"/>
    <w:bookmarkStart w:id="31" w:name="methods"/>
    <w:p>
      <w:pPr>
        <w:pStyle w:val="Heading2"/>
      </w:pPr>
      <w:r>
        <w:t xml:space="preserve">Methods</w:t>
      </w:r>
    </w:p>
    <w:bookmarkStart w:id="21" w:name="materials-and-methods"/>
    <w:p>
      <w:pPr>
        <w:pStyle w:val="Heading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21"/>
    <w:bookmarkStart w:id="22" w:name="participants"/>
    <w:p>
      <w:pPr>
        <w:pStyle w:val="Heading3"/>
      </w:pPr>
      <w:r>
        <w:t xml:space="preserve">Participants</w:t>
      </w:r>
    </w:p>
    <w:p>
      <w:pPr>
        <w:pStyle w:val="FirstParagraph"/>
      </w:pPr>
      <w:r>
        <w:t xml:space="preserve">Sixteen healthy male and female participants (20-33yrs,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connected to heavy resistance training. Lean mass (Tab 1) was measured using DXA (Prodigy Advance PA+302047, Lunar, San Francisco, CA, USA) on Day -1, the last day preceding the RT intervention.</w:t>
      </w:r>
    </w:p>
    <w:bookmarkEnd w:id="22"/>
    <w:bookmarkStart w:id="23" w:name="experimental-design"/>
    <w:p>
      <w:pPr>
        <w:pStyle w:val="Heading3"/>
      </w:pPr>
      <w:r>
        <w:t xml:space="preserve">Experimental design</w:t>
      </w:r>
    </w:p>
    <w:p>
      <w:pPr>
        <w:pStyle w:val="FirstParagraph"/>
      </w:pPr>
      <w:r>
        <w:t xml:space="preserve">The study was designed as a 12-day double-blinded randomized controlled trial, with a alternating unilateral RT protocol (Fig 1A). Participants were randomly allocated to exercise one leg with glucose and one leg with placebo (1A).</w:t>
      </w:r>
      <w:r>
        <w:t xml:space="preserve"> </w:t>
      </w:r>
      <w:r>
        <w:t xml:space="preserve"> </w:t>
      </w:r>
      <w:r>
        <w:t xml:space="preserve">One person was exclusively responsible for the randomization code and supplement distribution, blinding both investigators and participants in regard to which leg exercised with glucose and placebo. Glucose (Glucosum monohydricum, Merck KGaA, Darmstadt, Germany) and placebo (Steviosa, Soma Nordic AS, Oslo, Norway) was masked by mixing with 300ml Fun Light juice/saft (Orkla, Oslo, Norway). A blinded taste test revealed that the participants were not able to disclose the contents of the provided boluses (30g glucosum monohydricum vs. ~0.3g Stevia rebaudiana extract). To ensure equal conditions during training sessions, participants exercised and tested at the same time of day, +/- 1hr (check this) with the same supervisor on pairwise consecutive days. To further standardize this, participants also recorded and repeated their daily macro nutrient intake (protein, fat, carbohydrate) and total calories on pairwise consecutive days.</w:t>
      </w:r>
    </w:p>
    <w:p>
      <w:pPr>
        <w:pStyle w:val="BodyText"/>
      </w:pPr>
      <w:r>
        <w:t xml:space="preserve">Six RT sessions were conducted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levels). Participants were asked to avoid resistance- or high-intensity training of the legs from Day -7 (Fig 1A) and onwards, until completion of the intervention and post-testing, to ensure the reliability of pre-intervention strength data and minimal interference from other training sources. If participants did conduct exercise training outside of the prescribed protocol, they were asked to ensure equal loading on pairwise consecutive days.</w:t>
      </w:r>
    </w:p>
    <w:bookmarkEnd w:id="23"/>
    <w:bookmarkStart w:id="2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at three time points in period I: 30 minutes before RT (0830hrs, 30g vs 0g glucose), immediately before RT (0900hrs, 30g vs. 0g glucose), and immediately after RT (~0930hrs, 30g vs. 0g glucose). Protein was ingested 2hrs before RT (0700hrs, 25g) and immediately after RT (~0930hrs, 25g).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(i.e. on days 1-2, 3-4, etc.),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The protein supplement was ingested as 25g Whey Protein Isolate boluses (Proteinfabrikken, Stokke, Norway), diluted in 150ml of water. During sessions, participants were free to ingest water ad libitum.</w:t>
      </w:r>
    </w:p>
    <w:bookmarkEnd w:id="24"/>
    <w:bookmarkStart w:id="25"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(Days 4 and 8 leg 1, 5 and 9 leg two), after session 5 and after finalization of the intervention (Day 11/12 leg 1 and 12/13 leg 2) (Fig 1A). Maximal isometric and isokinetic knee extension torque were measured with a Humac Norm Dynamometer (CSMi, Stoughton, Massechusetts, USA). Individual positions were recorded and standardized from pre-intervention tests (days -7 and -5). Isokinetic peak torque was measured at speeds of 60- and 240 d/s, 2x3 repetitions each, with the first set of each exercise as a sub-maximal warm-up. Isometric peak torque was measured at knee-angle 60, for a maximum of 10 seconds and two repetition per test. The highest peak torque values were used in the final analyses. During days 4, 5, 8 and 9 (Fig 1D, day 4 and 5 = Post 2RT, day 8 and 9 = Post 4RT), humac tests were conducted one hour before RT with the leg performing RT the previous day. During days 11 and 12, humac tests were performed at four time points: I) 45min before RT (1D, Post 5RT), II) 30min after the last RT session (1D, 30 min post 6RT), III) 2hrs after the last RT session (1D, 2h post 6RT), and IV) 23hrs after the last RT session (1D, 23h post 6RT). Test I at day 12/13 included testing of both legs, representing 23hrs post RT session test of one leg and post session 5 test of the other leg.</w:t>
      </w:r>
    </w:p>
    <w:p>
      <w:pPr>
        <w:pStyle w:val="BodyText"/>
      </w:pPr>
      <w:r>
        <w:t xml:space="preserve">Assessment of unilateral one repetition maximum (1RM) leg press and knee extension was conducted at pre-intervention testing during familiariztion (days -7 and -5, Fig 1D). The participants performed a general warm-up with 10min cycling on an indoor exercise bicycle. In addition, a protocol consisting of 1x10, 1x6 and 1x3 repetitions, was used as spesific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 breaks were given during specific warm-up, 3min breaks were given between 1RM attempts.</w:t>
      </w:r>
    </w:p>
    <w:bookmarkEnd w:id="25"/>
    <w:bookmarkStart w:id="26"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Breaks between working sets was 2min, and progressive loading was used to ensure adequate exercise stimulation throughout the intervention. For safety and standardization purposes, all sessions were monitored by trained personnel.</w:t>
      </w:r>
      <w:r>
        <w:t xml:space="preserve"> </w:t>
      </w:r>
      <w:r>
        <w:t xml:space="preserve"> </w:t>
      </w:r>
      <w:r>
        <w:t xml:space="preserve">Lastly, training volume (load and repetitions) was logged for every session.</w:t>
      </w:r>
    </w:p>
    <w:bookmarkEnd w:id="26"/>
    <w:bookmarkStart w:id="2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10mg ml-1 with adrenaline 5μg ml−1, AstraZeneca AS, Oslo, Norway) using a 12-14-gauge needle (Universal Plus, Mermaid Medical AS, Stenløse, Denmark), operated with a spring-loaded biopsy gun. After the biopsy sampling, muscle tissue was divided in two aliquots for determination of total RNA/expression of rRNA and two aliquots for protein content measurement, snap frozen in isopentane (-80°C) and stored at -80°C until further analyses. Muscle biopsies were sampled at four time points: I/II) Pre-intervention (Fig 1A, 2hrs before training, Day 1 = leg 1, Day 2 = leg 2), and III/IV) after fifth RT session (1A, Day 11 = leg 1, Day 12 = leg 2), two hours before sixth RT session.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blood was collected by means of finger draws on days with biopsy sampling. One finger draw was taken at day 1 (Fig 1A) to serve as a baseline. At day 11 and 12 (Fig 1A), finger draws were collected at 7 time points: I) Immediately prior to protein ingestion (0700hrs) II) 45 minutes after protein ingestion (0745hrs) III) 1.5hrs after protein ingestion (0800hrs, i.e., immediately before GLU/PLAC intake), IIII)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45min after protein ingestion and in the middle of the RT session, to analyse endocrine variables.</w:t>
      </w:r>
    </w:p>
    <w:bookmarkEnd w:id="27"/>
    <w:bookmarkStart w:id="28"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samples were taken for total RNA extraction per leg per time point, and total RNA was extracted in two duplicates per muscle biopsy. Thus, we had two duplicates per leg per time point,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 (ELLEFSEN2008,2014). Briefly, muscle tissue was homogenized in TRIzol using 0.5mm RNase-free Zirconium beads (~50 ul) (Next Advanced, Averill Park, NY, USA) and a bullet blender (bb). Chloroform (Sigma-Aldrich, Missouri, USA) was used for phase-separation,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Briefly, 1µl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 (Hammarström et al. 2020). qPCR reactions consisted of 40 cycles (3 s 95°C denaturing and 30 s 60°C annealing) (Hammarström et al. 2020). Raw fluorescence data were exported from the platform-specific software and amplification curves were modelled with a best-fit sigmoidal model using the qPCR package (Ritz &amp; Spiess, 2008) written for R (Hammarström et al. 2020; Team 2018).</w:t>
      </w:r>
    </w:p>
    <w:bookmarkEnd w:id="28"/>
    <w:bookmarkStart w:id="2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top speed for 1 min. The supernatant was devided into 2x25ul aliquots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normalization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(Oslo, Norway)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w:t>
      </w:r>
      <w:r>
        <w:t xml:space="preserve"> </w:t>
      </w:r>
      <w:r>
        <w:t xml:space="preserve">(</w:t>
      </w:r>
      <w:r>
        <w:rPr>
          <w:bCs/>
          <w:b/>
        </w:rPr>
        <w:t xml:space="preserve">rueden_imagej2_2017?</w:t>
      </w:r>
      <w:r>
        <w:t xml:space="preserve">)</w:t>
      </w:r>
      <w:r>
        <w:t xml:space="preserve">, whereas total protein content was defined as mean grey value of the whole well with between-well values subtracted as background.</w:t>
      </w:r>
    </w:p>
    <w:bookmarkEnd w:id="29"/>
    <w:bookmarkStart w:id="30" w:name="data-handling-and-statistical-analysis"/>
    <w:p>
      <w:pPr>
        <w:pStyle w:val="Heading3"/>
      </w:pPr>
      <w:r>
        <w:t xml:space="preserve">Data handling and statistical analysis</w:t>
      </w:r>
    </w:p>
    <w:p>
      <w:pPr>
        <w:pStyle w:val="FirstParagraph"/>
      </w:pPr>
      <w:r>
        <w:t xml:space="preserve">A priori power calculations showed that 20 participants would grant a statistical power of 80% (= 0.05), with an expected drop out of 20%. This power calculation was based on an assumption that the effects of glucose ingestion on ribosome biogenesis may equate to the effects of increasing RT volume from low to moderate</w:t>
      </w:r>
      <w:r>
        <w:t xml:space="preserve"> </w:t>
      </w:r>
      <w:r>
        <w:t xml:space="preserve">(5)</w:t>
      </w:r>
      <w:r>
        <w:t xml:space="preserve">.</w:t>
      </w:r>
      <w:r>
        <w:t xml:space="preserve"> </w:t>
      </w:r>
      <w:r>
        <w:t xml:space="preserve">. Raw data was imported an analyzed in R via R studios</w:t>
      </w:r>
      <w:r>
        <w:t xml:space="preserve"> </w:t>
      </w:r>
      <w:r>
        <w:t xml:space="preserve">(30)</w:t>
      </w:r>
      <w:r>
        <w:t xml:space="preserve">. Legs were categorized as either glucose or placebo in accordance with the randomization. Before quantitative analyses, total RNA was normalized by wet muscle weight, qPCR values were normalized by wet muscle weight and an external reference gene (Lambda), while quantified protein signals from western blot were normalized by pool signals and total protein signal per gel</w:t>
      </w:r>
      <w:r>
        <w:t xml:space="preserve"> </w:t>
      </w:r>
      <w:r>
        <w:t xml:space="preserve">. Total RNA and qPCR values were analyzed by comparing post to pre log-fold change score differences. This was achieved by modelling change as response with baseline and supplement (glucose/placebo) as explanatory factors, and mean-centered baseline values as a covariate in a linear mixed effects model, then calculating the estimated marginal means. Plasma glucose and c-peptide, training volume, and the strength index were analyzed by multiple time-point log-fold change score comparisons, using the same linear mixed effects model with time added as explanatory factor. The linear mixed effects model was designed with the lmer function of the lme4 package</w:t>
      </w:r>
      <w:r>
        <w:t xml:space="preserve"> </w:t>
      </w:r>
      <w:r>
        <w:t xml:space="preserve">(</w:t>
      </w:r>
      <w:r>
        <w:rPr>
          <w:bCs/>
          <w:b/>
        </w:rPr>
        <w:t xml:space="preserve">bates_fitting_2014?</w:t>
      </w:r>
      <w:r>
        <w:t xml:space="preserve">)</w:t>
      </w:r>
      <w:r>
        <w:t xml:space="preserve"> </w:t>
      </w:r>
      <w:r>
        <w:t xml:space="preserve">in R studios, using the lmerTest function to procure p-values. The relationship between</w:t>
      </w:r>
      <w:r>
        <w:t xml:space="preserve"> </w:t>
      </w:r>
      <w:r>
        <w:t xml:space="preserve">Log-transformation and mean-centering baseline values was done to control for heteroscedasticity and regression to the mean, respectively. Log-transformed values were reverse-transformed for figure illustration. Values are presented as mean change + 95% CL unless otherwise stated, alpha-levels was set to α = 0.05.</w:t>
      </w:r>
    </w:p>
    <w:bookmarkEnd w:id="30"/>
    <w:bookmarkEnd w:id="31"/>
    <w:bookmarkStart w:id="35" w:name="results"/>
    <w:p>
      <w:pPr>
        <w:pStyle w:val="Heading2"/>
      </w:pPr>
      <w:r>
        <w:t xml:space="preserve">Results</w:t>
      </w:r>
    </w:p>
    <w:p>
      <w:pPr>
        <w:pStyle w:val="FirstParagraph"/>
      </w:pPr>
      <w:r>
        <w:t xml:space="preserve">There were no difference in mean change of total training session volume between exercising with placebo or glucose, with an increase of 18 and 16% from session 1 to session 6, respectively (Tab 2; Mean change, 2:</w:t>
      </w:r>
      <w:r>
        <w:t xml:space="preserve"> </w:t>
      </w:r>
      <w:r>
        <w:rPr>
          <w:iCs/>
          <w:i/>
        </w:rPr>
        <w:t xml:space="preserve">p</w:t>
      </w:r>
      <w:r>
        <w:t xml:space="preserve"> </w:t>
      </w:r>
      <w:r>
        <w:t xml:space="preserve">= 0.345, 3:</w:t>
      </w:r>
      <w:r>
        <w:t xml:space="preserve"> </w:t>
      </w:r>
      <w:r>
        <w:rPr>
          <w:iCs/>
          <w:i/>
        </w:rPr>
        <w:t xml:space="preserve">p</w:t>
      </w:r>
      <w:r>
        <w:t xml:space="preserve"> </w:t>
      </w:r>
      <w:r>
        <w:t xml:space="preserve">= 0.896, 4:</w:t>
      </w:r>
      <w:r>
        <w:t xml:space="preserve"> </w:t>
      </w:r>
      <w:r>
        <w:rPr>
          <w:iCs/>
          <w:i/>
        </w:rPr>
        <w:t xml:space="preserve">p</w:t>
      </w:r>
      <w:r>
        <w:t xml:space="preserve"> </w:t>
      </w:r>
      <w:r>
        <w:t xml:space="preserve">= 0.683, 5:</w:t>
      </w:r>
      <w:r>
        <w:t xml:space="preserve"> </w:t>
      </w:r>
      <w:r>
        <w:rPr>
          <w:iCs/>
          <w:i/>
        </w:rPr>
        <w:t xml:space="preserve">p</w:t>
      </w:r>
      <w:r>
        <w:t xml:space="preserve"> </w:t>
      </w:r>
      <w:r>
        <w:t xml:space="preserve">= 0.472, 6:</w:t>
      </w:r>
      <w:r>
        <w:t xml:space="preserve"> </w:t>
      </w:r>
      <w:r>
        <w:rPr>
          <w:iCs/>
          <w:i/>
        </w:rPr>
        <w:t xml:space="preserve">p</w:t>
      </w:r>
      <w:r>
        <w:t xml:space="preserve"> </w:t>
      </w:r>
      <w:r>
        <w:t xml:space="preserve">= 0.887). Both exercising with glucose and placebo led to significant increases in mean total training session volume at session four, five and six, compared to session 1 (Tab 2; Mean change, 2:</w:t>
      </w:r>
      <w:r>
        <w:t xml:space="preserve"> </w:t>
      </w:r>
      <w:r>
        <w:rPr>
          <w:iCs/>
          <w:i/>
        </w:rPr>
        <w:t xml:space="preserve">p</w:t>
      </w:r>
      <w:r>
        <w:t xml:space="preserve"> </w:t>
      </w:r>
      <w:r>
        <w:t xml:space="preserve">= 0.6568, 3:</w:t>
      </w:r>
      <w:r>
        <w:t xml:space="preserve"> </w:t>
      </w:r>
      <w:r>
        <w:rPr>
          <w:iCs/>
          <w:i/>
        </w:rPr>
        <w:t xml:space="preserve">p</w:t>
      </w:r>
      <w:r>
        <w:t xml:space="preserve"> </w:t>
      </w:r>
      <w:r>
        <w:t xml:space="preserve">= 0.3417, 4:</w:t>
      </w:r>
      <w:r>
        <w:t xml:space="preserve"> </w:t>
      </w:r>
      <w:r>
        <w:rPr>
          <w:iCs/>
          <w:i/>
        </w:rPr>
        <w:t xml:space="preserve">p</w:t>
      </w:r>
      <w:r>
        <w:t xml:space="preserve"> </w:t>
      </w:r>
      <w:r>
        <w:t xml:space="preserve">= 0.008, 5:</w:t>
      </w:r>
      <w:r>
        <w:t xml:space="preserve"> </w:t>
      </w:r>
      <w:r>
        <w:rPr>
          <w:iCs/>
          <w:i/>
        </w:rPr>
        <w:t xml:space="preserve">p</w:t>
      </w:r>
      <w:r>
        <w:t xml:space="preserve"> </w:t>
      </w:r>
      <w:r>
        <w:t xml:space="preserve">= 0.002, 6:</w:t>
      </w:r>
      <w:r>
        <w:t xml:space="preserve"> </w:t>
      </w:r>
      <w:r>
        <w:rPr>
          <w:iCs/>
          <w:i/>
        </w:rPr>
        <w:t xml:space="preserve">p</w:t>
      </w:r>
      <w:r>
        <w:t xml:space="preserve"> </w:t>
      </w:r>
      <w:r>
        <w:t xml:space="preserve">= 4.5</w:t>
      </w:r>
      <w:r>
        <w:t xml:space="preserve">^{-4}). In regard to the dietary intervention, there were no difference in mean macro nutrient intake (protein, fat, carbohydrates) or total calorie intake between glucose and placebo on pairwise consecutive days (</w:t>
      </w:r>
      <w:r>
        <w:rPr>
          <w:iCs/>
          <w:i/>
        </w:rPr>
        <w:t xml:space="preserve">p</w:t>
      </w:r>
      <w:r>
        <w:t xml:space="preserve"> </w:t>
      </w:r>
      <w:r>
        <w:t xml:space="preserve">&gt; 0.05).</w:t>
      </w:r>
    </w:p>
    <w:p>
      <w:pPr>
        <w:pStyle w:val="BodyText"/>
      </w:pPr>
      <w:r>
        <w:t xml:space="preserve">Glucose ingestion before and after RT led to significant increases in plasma levels of glucose by 38% immediately before RT (Fig 1B, 0 min:</w:t>
      </w:r>
      <w:r>
        <w:t xml:space="preserve"> </w:t>
      </w:r>
      <w:r>
        <w:rPr>
          <w:iCs/>
          <w:i/>
        </w:rPr>
        <w:t xml:space="preserve">p</w:t>
      </w:r>
      <w:r>
        <w:t xml:space="preserve"> </w:t>
      </w:r>
      <w:r>
        <w:t xml:space="preserve">= 0.00000), by 31% during RT (1B, 15 min:</w:t>
      </w:r>
      <w:r>
        <w:t xml:space="preserve"> </w:t>
      </w:r>
      <w:r>
        <w:rPr>
          <w:iCs/>
          <w:i/>
        </w:rPr>
        <w:t xml:space="preserve">p</w:t>
      </w:r>
      <w:r>
        <w:t xml:space="preserve"> </w:t>
      </w:r>
      <w:r>
        <w:t xml:space="preserve">= 0.00000) and by 32% immediately after RT (1B, 30 min:</w:t>
      </w:r>
      <w:r>
        <w:t xml:space="preserve"> </w:t>
      </w:r>
      <w:r>
        <w:rPr>
          <w:iCs/>
          <w:i/>
        </w:rPr>
        <w:t xml:space="preserve">p</w:t>
      </w:r>
      <w:r>
        <w:t xml:space="preserve"> </w:t>
      </w:r>
      <w:r>
        <w:t xml:space="preserve">= 0.00000), compared to placebo ingestion before and after RT. Two hours after the session, RT with glucose measured 8% lower plasma glucose levels compared to RT with placebo (1B, 270min:</w:t>
      </w:r>
      <w:r>
        <w:t xml:space="preserve"> </w:t>
      </w:r>
      <w:r>
        <w:rPr>
          <w:iCs/>
          <w:i/>
        </w:rPr>
        <w:t xml:space="preserve">p</w:t>
      </w:r>
      <w:r>
        <w:t xml:space="preserve"> </w:t>
      </w:r>
      <w:r>
        <w:t xml:space="preserve">= 0.03). Similarly, levels of c-peptide increased significantly more in exercises with glucose compared to placebo, by 95% immediately before (Fig 1C, 0 min:</w:t>
      </w:r>
      <w:r>
        <w:t xml:space="preserve"> </w:t>
      </w:r>
      <w:r>
        <w:rPr>
          <w:iCs/>
          <w:i/>
        </w:rPr>
        <w:t xml:space="preserve">p</w:t>
      </w:r>
      <w:r>
        <w:t xml:space="preserve"> </w:t>
      </w:r>
      <w:r>
        <w:t xml:space="preserve">= 0.00000) and 87% after RT (1C, 30 min:</w:t>
      </w:r>
      <w:r>
        <w:t xml:space="preserve"> </w:t>
      </w:r>
      <w:r>
        <w:rPr>
          <w:iCs/>
          <w:i/>
        </w:rPr>
        <w:t xml:space="preserve">p</w:t>
      </w:r>
      <w:r>
        <w:t xml:space="preserve"> </w:t>
      </w:r>
      <w:r>
        <w:t xml:space="preserve">= 0.00000).</w:t>
      </w:r>
    </w:p>
    <w:p>
      <w:pPr>
        <w:pStyle w:val="BodyText"/>
      </w:pPr>
      <w:r>
        <w:t xml:space="preserve">After 5 RT sessions (Fig 1D, Post 5RT), there was a significant difference in strength between glucose and placebo, where placebo decreased strength 7% more than glucose (1D,</w:t>
      </w:r>
      <w:r>
        <w:t xml:space="preserve"> </w:t>
      </w:r>
      <w:r>
        <w:rPr>
          <w:iCs/>
          <w:i/>
        </w:rPr>
        <w:t xml:space="preserve">p</w:t>
      </w:r>
      <w:r>
        <w:t xml:space="preserve"> </w:t>
      </w:r>
      <w:r>
        <w:t xml:space="preserve">= 0.039). At the remaining time points, there were no significant differences in mean change between exercising with glucose and placebo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 fifth session compared to baseline, by 11 and 18% respectively (1D, Post 5RT:</w:t>
      </w:r>
      <w:r>
        <w:t xml:space="preserve"> </w:t>
      </w:r>
      <w:r>
        <w:rPr>
          <w:iCs/>
          <w:i/>
        </w:rPr>
        <w:t xml:space="preserve">p</w:t>
      </w:r>
      <w:r>
        <w:t xml:space="preserve"> </w:t>
      </w:r>
      <w:r>
        <w:t xml:space="preserve">= 0.00001). Comparisons of the acute data gathered from post fifth session until and including 23hrs post sixth session showed a significant mean increase in strength of 5-9% after RT with glucose and placebo 30min after sixth RT session (1D, 30min post 6RT:</w:t>
      </w:r>
      <w:r>
        <w:t xml:space="preserve"> </w:t>
      </w:r>
      <w:r>
        <w:rPr>
          <w:iCs/>
          <w:i/>
        </w:rPr>
        <w:t xml:space="preserve">p</w:t>
      </w:r>
      <w:r>
        <w:t xml:space="preserve"> </w:t>
      </w:r>
      <w:r>
        <w:t xml:space="preserve">= 0.01) and two hours after sixth RT session (1D, 2h post 6RT:</w:t>
      </w:r>
      <w:r>
        <w:t xml:space="preserve"> </w:t>
      </w:r>
      <w:r>
        <w:rPr>
          <w:iCs/>
          <w:i/>
        </w:rPr>
        <w:t xml:space="preserve">p</w:t>
      </w:r>
      <w:r>
        <w:t xml:space="preserve"> </w:t>
      </w:r>
      <w:r>
        <w:t xml:space="preserve">= 0.004). Twenty-three hours after the last RT, strength was unchanged compared to after fifth RT session (23h post 6RT:</w:t>
      </w:r>
      <w:r>
        <w:t xml:space="preserve"> </w:t>
      </w:r>
      <w:r>
        <w:rPr>
          <w:iCs/>
          <w:i/>
        </w:rPr>
        <w:t xml:space="preserve">p</w:t>
      </w:r>
      <w:r>
        <w:t xml:space="preserve"> </w:t>
      </w:r>
      <w:r>
        <w:t xml:space="preserve">= 0.117).</w:t>
      </w:r>
    </w:p>
    <w:bookmarkStart w:id="34" w:name="markers-of-ribosome-biogenesis"/>
    <w:p>
      <w:pPr>
        <w:pStyle w:val="Heading3"/>
      </w:pPr>
      <w:r>
        <w:t xml:space="preserve">Markers of ribosome biogenesis</w:t>
      </w:r>
    </w:p>
    <w:bookmarkStart w:id="32" w:name="total-rna-and-ribosomal-rna"/>
    <w:p>
      <w:pPr>
        <w:pStyle w:val="Heading4"/>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End w:id="32"/>
    <w:bookmarkStart w:id="33" w:name="protein"/>
    <w:p>
      <w:pPr>
        <w:pStyle w:val="Heading4"/>
      </w:pPr>
      <w:r>
        <w:t xml:space="preserve">Protein</w:t>
      </w:r>
    </w:p>
    <w:p>
      <w:pPr>
        <w:pStyle w:val="FirstParagraph"/>
      </w:pPr>
      <w:r>
        <w:t xml:space="preserve">Levels of c-Myc increased by 42% more after RT with placebo compared to RT with glucose, a significant difference (Fig 3A:</w:t>
      </w:r>
      <w:r>
        <w:t xml:space="preserve"> </w:t>
      </w:r>
      <w:r>
        <w:rPr>
          <w:iCs/>
          <w:i/>
        </w:rPr>
        <w:t xml:space="preserve">p</w:t>
      </w:r>
      <w:r>
        <w:t xml:space="preserve"> </w:t>
      </w:r>
      <w:r>
        <w:t xml:space="preserve">= 0.027). Levels of UBF and rpS6 increased by 19 and 23% more in placebo compared to glucose, however, this was not a significant difference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we found a linear relationship between UBF and total RNA, where an increase of 1 SD unit of UBF equated to a 13% increase in total RNA (</w:t>
      </w:r>
      <w:r>
        <w:rPr>
          <w:iCs/>
          <w:i/>
        </w:rPr>
        <w:t xml:space="preserve">p</w:t>
      </w:r>
      <w:r>
        <w:t xml:space="preserve"> </w:t>
      </w:r>
      <w:r>
        <w:t xml:space="preserve">= 0.002).</w:t>
      </w:r>
    </w:p>
    <w:bookmarkEnd w:id="33"/>
    <w:bookmarkEnd w:id="34"/>
    <w:bookmarkEnd w:id="35"/>
    <w:bookmarkStart w:id="36"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 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and levels of plasma glucose and c-peptide were significantly higher before, during and after the RT sessions with glucose. Further, there were no differences in daily macronutrient intake on pairwise consecutive days. This would suggest the effects of high vs. low glucose/glucose starvation treatment on rDNA transcription initiation observed in previous</w:t>
      </w:r>
      <w:r>
        <w:t xml:space="preserve"> </w:t>
      </w:r>
      <w:r>
        <w:rPr>
          <w:iCs/>
          <w:i/>
        </w:rPr>
        <w:t xml:space="preserve">in vitro</w:t>
      </w:r>
      <w:r>
        <w:t xml:space="preserve"> </w:t>
      </w:r>
      <w:r>
        <w:t xml:space="preserve">studies</w:t>
      </w:r>
      <w:r>
        <w:t xml:space="preserve"> </w:t>
      </w:r>
      <w:r>
        <w:t xml:space="preserve">(26, 31)</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within-participants, and thus also quite limited to this perspective. Hence, the observed effects of time serve as supplementary to the efficiency of the design, without a negative control group to compare.</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 Mariappan and colleagues</w:t>
      </w:r>
      <w:r>
        <w:t xml:space="preserve"> </w:t>
      </w:r>
      <w:r>
        <w:t xml:space="preserve">(26)</w:t>
      </w:r>
      <w:r>
        <w:t xml:space="preserve"> </w:t>
      </w:r>
      <w:r>
        <w:t xml:space="preserve">investigated the effect of high glucose treatment on ribosome biogenesis in glomerular epithelial cells (GECs) from diabetic (type 1 and 2) mice, observing a UBF-dependent augmentation of ribosome biogenesis. In a study from 2015, Tanaka et al.</w:t>
      </w:r>
      <w:r>
        <w:t xml:space="preserve"> </w:t>
      </w:r>
      <w:r>
        <w:t xml:space="preserve">(31)</w:t>
      </w:r>
      <w:r>
        <w:t xml:space="preserve"> </w:t>
      </w:r>
      <w:r>
        <w:t xml:space="preserve">observed that mild glucose starvation reduced rRNA transcription in human breast cancer cells. These findings do imply an important role for glucose in the initiation of rDNA transcription, the rate-limiting step of ribosome biogenesis</w:t>
      </w:r>
      <w:r>
        <w:t xml:space="preserve"> </w:t>
      </w:r>
      <w:r>
        <w:t xml:space="preserve">(26, 31)</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(32)</w:t>
      </w:r>
      <w:r>
        <w:t xml:space="preserve"> </w:t>
      </w:r>
      <w:r>
        <w:t xml:space="preserve">or a short period of RT</w:t>
      </w:r>
      <w:r>
        <w:t xml:space="preserve"> </w:t>
      </w:r>
      <w:r>
        <w:t xml:space="preserve">(5, 28)</w:t>
      </w:r>
      <w:r>
        <w:t xml:space="preserve">. Therefore, we hypothesized that if glucose can, directly or indirectly via insulin, stimulate initiation of rDNA transcription, five sessions of RT with glucose compared to placebo will elicit this effect. Further, glucose ingestion increases energy levels, thus, we also hypothesized that high glucose vs. placebo treatment would stimulate energy-sensitive pathways such as PIH1, mTORC1, ERK1/2, AMPK and SIRT1</w:t>
      </w:r>
      <w:r>
        <w:t xml:space="preserve"> </w:t>
      </w:r>
      <w:r>
        <w:t xml:space="preserve">(26, 27, 31, 33)</w:t>
      </w:r>
      <w:r>
        <w:t xml:space="preserve">. Despite previously reported upregulation in PIC assembly due to high-glucose mediated mTORC1, ERK1/2 and PIH1 or low-glucose mediated AMPK and SIRT1 activation</w:t>
      </w:r>
      <w:r>
        <w:t xml:space="preserve"> </w:t>
      </w:r>
      <w:r>
        <w:t xml:space="preserve">(22, 26, 27, 31, 33)</w:t>
      </w:r>
      <w:r>
        <w:t xml:space="preserve">, the present study showed no signs of such effects of glucose vs. placebo treatment. Resistance training, irrespective of treatment, yielded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has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(31)</w:t>
      </w:r>
      <w:r>
        <w:t xml:space="preserve"> </w:t>
      </w:r>
      <w:r>
        <w:t xml:space="preserve">and are as such not directly comparable to human skeletal muscle cells. Importantly, previous studies investigated high vs. low glucose treatment</w:t>
      </w:r>
      <w:r>
        <w:t xml:space="preserve"> </w:t>
      </w:r>
      <w:r>
        <w:t xml:space="preserve">(26)</w:t>
      </w:r>
      <w:r>
        <w:t xml:space="preserve">, or high glucose vs. glucose starvation</w:t>
      </w:r>
      <w:r>
        <w:t xml:space="preserve"> </w:t>
      </w:r>
      <w:r>
        <w:t xml:space="preserve">(22, 31)</w:t>
      </w:r>
      <w:r>
        <w:t xml:space="preserve">, while the present study aimed to compare high glucose treatment to placebo, with a matched daily macro nutrient and energy intake. And so, the comparison of the present study was high glucose vs. normal glucose treatment,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 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upstream binding factor (UBF) and the ribosomal protein S6 (rpS6) further supported observations from the RNA data. UBF has previously been described as a master regulator of rDNA transcription</w:t>
      </w:r>
      <w:r>
        <w:t xml:space="preserve"> </w:t>
      </w:r>
      <w:r>
        <w:rPr>
          <w:iCs/>
          <w:i/>
        </w:rPr>
        <w:t xml:space="preserve">in vitro</w:t>
      </w:r>
      <w:r>
        <w:t xml:space="preserve"> </w:t>
      </w:r>
      <w:r>
        <w:t xml:space="preserve">(14, 16, 34)</w:t>
      </w:r>
      <w:r>
        <w:t xml:space="preserve">, while rpS6 is proposed as a valid and reliable means to measure ribosome biogenesis</w:t>
      </w:r>
      <w:r>
        <w:t xml:space="preserve"> </w:t>
      </w:r>
      <w:r>
        <w:t xml:space="preserve">(35, 36)</w:t>
      </w:r>
      <w:r>
        <w:t xml:space="preserve">. However, content of c-Myc did differ between RT with glucose and RT with placebo, whereas RT with placebo led to significantly higher post content of c-Myc compared to glucose. The general transcription factor c-Myc has previously been suggested as a potent regulator of ribosome biogenesis independent of mTORC1, and a direct regulator of UBF</w:t>
      </w:r>
      <w:r>
        <w:t xml:space="preserve"> </w:t>
      </w:r>
      <w:r>
        <w:t xml:space="preserve">(20, 21, 25)</w:t>
      </w:r>
      <w:r>
        <w:t xml:space="preserve">. The independency on mTORC1 may explain why only c-Myc content differed between treatments, while UBF and rpS6 content changed equally. However, Moreover, the observation that total RNA and rRNA was unaffected by the significant differences in c-Myc content, do strengthen the importance and specificity of UBF content in human skeletal muscle ribosome biogenesis. The linear relationship found exclusively between UBF content and total RNA accumulation, and not c-Myc or rpS6, found in the present study further supports this notion. While this is not a novel finding, it has only recently been observed in human skeletal muscle following RT</w:t>
      </w:r>
      <w:r>
        <w:t xml:space="preserve"> </w:t>
      </w:r>
      <w:r>
        <w:t xml:space="preserve">(28)</w:t>
      </w:r>
      <w:r>
        <w:t xml:space="preserve">. As such, UBF also seem to respond to mechanical loading in human muscle cells in line with responses seen in cell cultures and synergist ablation models</w:t>
      </w:r>
      <w:r>
        <w:t xml:space="preserve"> </w:t>
      </w:r>
      <w:r>
        <w:t xml:space="preserve">(26, 37)</w:t>
      </w:r>
      <w:r>
        <w:t xml:space="preserve">, in addition to the previously reported response to hormonal, nutritional, and cellular energy signals</w:t>
      </w:r>
      <w:r>
        <w:t xml:space="preserve"> </w:t>
      </w:r>
      <w:r>
        <w:t xml:space="preserve">(14, 16, 34)</w:t>
      </w:r>
      <w:r>
        <w:t xml:space="preserve">.</w:t>
      </w:r>
    </w:p>
    <w:p>
      <w:pPr>
        <w:pStyle w:val="BodyText"/>
      </w:pPr>
      <w:r>
        <w:t xml:space="preserve">The results from the strength tests do indicate that the participants might have been fatigued during the intervention, due to exercising every day for 12 days straight, with strength testing in-between. In this perspective, we expected glucose to increase energy availability and thus, muscle performance during strength testing compared to placebo. However, this was generally not evident, as the mean response in strength as an index of peak torque at all speeds decreased with both treatments from baseline to post five and six sessions. Notably, RT with glucose reduced strength significantly less than RT with placebo post five sessions, which may indeed have been an effect of increased energy availability, since glucose is the preferred energy source during strenuous activity</w:t>
      </w:r>
      <w:r>
        <w:t xml:space="preserve"> </w:t>
      </w:r>
      <w:r>
        <w:t xml:space="preserve">(12)</w:t>
      </w:r>
      <w:r>
        <w:t xml:space="preserve">. Arguably, this might imply that RT with placebo experienced a higher stress response to the RT program, thus reduced muscle performance during strength testing. This could also explain the differences between treatments in content of the stress responsive c-Myc</w:t>
      </w:r>
      <w:r>
        <w:t xml:space="preserve"> </w:t>
      </w:r>
      <w:r>
        <w:t xml:space="preserve">(20, 21, 25)</w:t>
      </w:r>
      <w:r>
        <w:t xml:space="preserve">, meaning higher stress exerted during RT with placebo compared to RT with glucose inducing higher accumulation of c-Myc. If this was the case, it does seem inconclusive that strength did not differ between treatments at earlier or later time points. In addition, there were no differences in training volume per session between treatments, therefore, the mechanical loading should have been equal. Another potential explanation to this observation might be …. (bifasisk restitusjon?)</w:t>
      </w:r>
      <w:r>
        <w:t xml:space="preserve">. Lastly, these inconclusive observations may also reflect our limited sample size, despite using a within-subjects design. Initially, we met our minimum limit of 16 participants however, three dropped out during the intervention, leaving us slightly underpowered according to the a priori calculation.</w:t>
      </w:r>
    </w:p>
    <w:p>
      <w:pPr>
        <w:pStyle w:val="BodyText"/>
      </w:pPr>
      <w:r>
        <w:t xml:space="preserve">In conclusion, ingestion of glucose immediately before and after resistance exercise training does not acutely augment ribosome biogenesis after two weeks of moderate volume exercise, in moderately trained young adults. Neither does it acutely enhance muscular performance during the exercise period nor after five sessions, or recovery within 23hrs of the last session. The observations in total RNA, rRNA and rDNA transcription initiation 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 resolution results.</w:t>
      </w:r>
    </w:p>
    <w:bookmarkEnd w:id="36"/>
    <w:bookmarkStart w:id="112" w:name="references"/>
    <w:p>
      <w:pPr>
        <w:pStyle w:val="Heading2"/>
      </w:pPr>
      <w:r>
        <w:t xml:space="preserve">References</w:t>
      </w:r>
    </w:p>
    <w:bookmarkStart w:id="111" w:name="refs"/>
    <w:bookmarkStart w:id="38" w:name="ref-alvarez_interindividual_2018"/>
    <w:p>
      <w:pPr>
        <w:pStyle w:val="Bibliography"/>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37">
        <w:r>
          <w:rPr>
            <w:rStyle w:val="Hyperlink"/>
          </w:rPr>
          <w:t xml:space="preserve">10.1111/sms.13213</w:t>
        </w:r>
      </w:hyperlink>
      <w:r>
        <w:t xml:space="preserve">.</w:t>
      </w:r>
    </w:p>
    <w:bookmarkEnd w:id="38"/>
    <w:bookmarkStart w:id="40" w:name="ref-mann_high_2014"/>
    <w:p>
      <w:pPr>
        <w:pStyle w:val="Bibliography"/>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39">
        <w:r>
          <w:rPr>
            <w:rStyle w:val="Hyperlink"/>
          </w:rPr>
          <w:t xml:space="preserve">10.1007/s40279-014-0197-3</w:t>
        </w:r>
      </w:hyperlink>
      <w:r>
        <w:t xml:space="preserve">.</w:t>
      </w:r>
    </w:p>
    <w:bookmarkEnd w:id="40"/>
    <w:bookmarkStart w:id="42" w:name="ref-thalacker-mercer_cluster_2013"/>
    <w:p>
      <w:pPr>
        <w:pStyle w:val="Bibliography"/>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41">
        <w:r>
          <w:rPr>
            <w:rStyle w:val="Hyperlink"/>
          </w:rPr>
          <w:t xml:space="preserve">10.1152/physiolgenomics.00167.2012</w:t>
        </w:r>
      </w:hyperlink>
      <w:r>
        <w:t xml:space="preserve">.</w:t>
      </w:r>
    </w:p>
    <w:bookmarkEnd w:id="42"/>
    <w:bookmarkStart w:id="44" w:name="ref-figueiredo_genetic_2021"/>
    <w:p>
      <w:pPr>
        <w:pStyle w:val="Bibliography"/>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43">
        <w:r>
          <w:rPr>
            <w:rStyle w:val="Hyperlink"/>
          </w:rPr>
          <w:t xml:space="preserve">10.1113/JP281244</w:t>
        </w:r>
      </w:hyperlink>
      <w:r>
        <w:t xml:space="preserve">.</w:t>
      </w:r>
    </w:p>
    <w:bookmarkEnd w:id="44"/>
    <w:bookmarkStart w:id="46" w:name="ref-hammarstrom_benefits_2020"/>
    <w:p>
      <w:pPr>
        <w:pStyle w:val="Bibliography"/>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45">
        <w:r>
          <w:rPr>
            <w:rStyle w:val="Hyperlink"/>
          </w:rPr>
          <w:t xml:space="preserve">10.1113/JP278455</w:t>
        </w:r>
      </w:hyperlink>
      <w:r>
        <w:t xml:space="preserve">.</w:t>
      </w:r>
    </w:p>
    <w:bookmarkEnd w:id="46"/>
    <w:bookmarkStart w:id="48" w:name="ref-krieger_single_2009"/>
    <w:p>
      <w:pPr>
        <w:pStyle w:val="Bibliography"/>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47">
        <w:r>
          <w:rPr>
            <w:rStyle w:val="Hyperlink"/>
          </w:rPr>
          <w:t xml:space="preserve">10.1519/JSC.0b013e3181b370be</w:t>
        </w:r>
      </w:hyperlink>
      <w:r>
        <w:t xml:space="preserve">.</w:t>
      </w:r>
    </w:p>
    <w:bookmarkEnd w:id="48"/>
    <w:bookmarkStart w:id="50" w:name="ref-schoenfeld_dose-response_2017"/>
    <w:p>
      <w:pPr>
        <w:pStyle w:val="Bibliography"/>
      </w:pPr>
      <w:r>
        <w:t xml:space="preserve">7.</w:t>
      </w:r>
      <w:r>
        <w:t xml:space="preserve"> </w:t>
      </w:r>
      <w:r>
        <w:t xml:space="preserve">	</w:t>
      </w:r>
      <w:r>
        <w:rPr>
          <w:bCs/>
          <w:b/>
        </w:rPr>
        <w:t xml:space="preserve">Schoenfeld BJ</w:t>
      </w:r>
      <w:r>
        <w:t xml:space="preserve">,</w:t>
      </w:r>
      <w:r>
        <w:t xml:space="preserve"> </w:t>
      </w:r>
      <w:r>
        <w:rPr>
          <w:bCs/>
          <w:b/>
        </w:rPr>
        <w:t xml:space="preserve">Ogborn D</w:t>
      </w:r>
      <w:r>
        <w:t xml:space="preserve">,</w:t>
      </w:r>
      <w:r>
        <w:t xml:space="preserve"> </w:t>
      </w:r>
      <w:r>
        <w:rPr>
          <w:bCs/>
          <w:b/>
        </w:rPr>
        <w:t xml:space="preserve">Krieger JW</w:t>
      </w:r>
      <w:r>
        <w:t xml:space="preserve">. Dose-response relationship between weekly resistance training volume and increases in muscle mass:</w:t>
      </w:r>
      <w:r>
        <w:t xml:space="preserve"> </w:t>
      </w:r>
      <w:r>
        <w:t xml:space="preserve">A</w:t>
      </w:r>
      <w:r>
        <w:t xml:space="preserve"> </w:t>
      </w:r>
      <w:r>
        <w:t xml:space="preserve">systematic review and meta-analysis.</w:t>
      </w:r>
      <w:r>
        <w:t xml:space="preserve"> </w:t>
      </w:r>
      <w:r>
        <w:rPr>
          <w:iCs/>
          <w:i/>
        </w:rPr>
        <w:t xml:space="preserve">Journal of Sports Sciences</w:t>
      </w:r>
      <w:r>
        <w:t xml:space="preserve"> </w:t>
      </w:r>
      <w:r>
        <w:t xml:space="preserve">35: 1073–1082, 2017. doi:</w:t>
      </w:r>
      <w:r>
        <w:t xml:space="preserve"> </w:t>
      </w:r>
      <w:hyperlink r:id="rId49">
        <w:r>
          <w:rPr>
            <w:rStyle w:val="Hyperlink"/>
          </w:rPr>
          <w:t xml:space="preserve">10.1080/02640414.2016.1210197</w:t>
        </w:r>
      </w:hyperlink>
      <w:r>
        <w:t xml:space="preserve">.</w:t>
      </w:r>
    </w:p>
    <w:bookmarkEnd w:id="50"/>
    <w:bookmarkStart w:id="52" w:name="ref-cermak_protein_2012"/>
    <w:p>
      <w:pPr>
        <w:pStyle w:val="Bibliography"/>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51">
        <w:r>
          <w:rPr>
            <w:rStyle w:val="Hyperlink"/>
          </w:rPr>
          <w:t xml:space="preserve">10.3945/ajcn.112.037556</w:t>
        </w:r>
      </w:hyperlink>
      <w:r>
        <w:t xml:space="preserve">.</w:t>
      </w:r>
    </w:p>
    <w:bookmarkEnd w:id="52"/>
    <w:bookmarkStart w:id="54" w:name="ref-lanhers_creatine_2015"/>
    <w:p>
      <w:pPr>
        <w:pStyle w:val="Bibliography"/>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53">
        <w:r>
          <w:rPr>
            <w:rStyle w:val="Hyperlink"/>
          </w:rPr>
          <w:t xml:space="preserve">10.1007/s40279-015-0337-4</w:t>
        </w:r>
      </w:hyperlink>
      <w:r>
        <w:t xml:space="preserve">.</w:t>
      </w:r>
    </w:p>
    <w:bookmarkEnd w:id="54"/>
    <w:bookmarkStart w:id="56" w:name="ref-lanhers_creatine_2017"/>
    <w:p>
      <w:pPr>
        <w:pStyle w:val="Bibliography"/>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55">
        <w:r>
          <w:rPr>
            <w:rStyle w:val="Hyperlink"/>
          </w:rPr>
          <w:t xml:space="preserve">10.1007/s40279-016-0571-4</w:t>
        </w:r>
      </w:hyperlink>
      <w:r>
        <w:t xml:space="preserve">.</w:t>
      </w:r>
    </w:p>
    <w:bookmarkEnd w:id="56"/>
    <w:bookmarkStart w:id="58" w:name="ref-morton_systematic_2018"/>
    <w:p>
      <w:pPr>
        <w:pStyle w:val="Bibliography"/>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376–384, 2018. doi:</w:t>
      </w:r>
      <w:r>
        <w:t xml:space="preserve"> </w:t>
      </w:r>
      <w:hyperlink r:id="rId57">
        <w:r>
          <w:rPr>
            <w:rStyle w:val="Hyperlink"/>
          </w:rPr>
          <w:t xml:space="preserve">10.1136/bjsports-2017-097608</w:t>
        </w:r>
      </w:hyperlink>
      <w:r>
        <w:t xml:space="preserve">.</w:t>
      </w:r>
    </w:p>
    <w:bookmarkEnd w:id="58"/>
    <w:bookmarkStart w:id="60" w:name="ref-mul_exercise_2015"/>
    <w:p>
      <w:pPr>
        <w:pStyle w:val="Bibliography"/>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59">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60"/>
    <w:bookmarkStart w:id="62" w:name="ref-sebata_control_2018"/>
    <w:p>
      <w:pPr>
        <w:pStyle w:val="Bibliography"/>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61">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62"/>
    <w:bookmarkStart w:id="64" w:name="ref-kusnadi_regulation_2015"/>
    <w:p>
      <w:pPr>
        <w:pStyle w:val="Bibliography"/>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63">
        <w:r>
          <w:rPr>
            <w:rStyle w:val="Hyperlink"/>
          </w:rPr>
          <w:t xml:space="preserve">10.1016/j.gene.2014.11.010</w:t>
        </w:r>
      </w:hyperlink>
      <w:r>
        <w:t xml:space="preserve">.</w:t>
      </w:r>
    </w:p>
    <w:bookmarkEnd w:id="64"/>
    <w:bookmarkStart w:id="66" w:name="ref-moss_housekeeper_2007"/>
    <w:p>
      <w:pPr>
        <w:pStyle w:val="Bibliography"/>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65">
        <w:r>
          <w:rPr>
            <w:rStyle w:val="Hyperlink"/>
          </w:rPr>
          <w:t xml:space="preserve">10.1007/s00018-006-6278-1</w:t>
        </w:r>
      </w:hyperlink>
      <w:r>
        <w:t xml:space="preserve">.</w:t>
      </w:r>
    </w:p>
    <w:bookmarkEnd w:id="66"/>
    <w:bookmarkStart w:id="68" w:name="ref-figueiredo_regulation_2019"/>
    <w:p>
      <w:pPr>
        <w:pStyle w:val="Bibliography"/>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67">
        <w:r>
          <w:rPr>
            <w:rStyle w:val="Hyperlink"/>
          </w:rPr>
          <w:t xml:space="preserve">10.1152/physiol.00034.2018</w:t>
        </w:r>
      </w:hyperlink>
      <w:r>
        <w:t xml:space="preserve">.</w:t>
      </w:r>
    </w:p>
    <w:bookmarkEnd w:id="68"/>
    <w:bookmarkStart w:id="70" w:name="ref-stec_ribosome_2016"/>
    <w:p>
      <w:pPr>
        <w:pStyle w:val="Bibliography"/>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69">
        <w:r>
          <w:rPr>
            <w:rStyle w:val="Hyperlink"/>
          </w:rPr>
          <w:t xml:space="preserve">10.1152/ajpendo.00486.2015</w:t>
        </w:r>
      </w:hyperlink>
      <w:r>
        <w:t xml:space="preserve">.</w:t>
      </w:r>
    </w:p>
    <w:bookmarkEnd w:id="70"/>
    <w:bookmarkStart w:id="72" w:name="ref-von_walden_ribosome_2019"/>
    <w:p>
      <w:pPr>
        <w:pStyle w:val="Bibliography"/>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71">
        <w:r>
          <w:rPr>
            <w:rStyle w:val="Hyperlink"/>
          </w:rPr>
          <w:t xml:space="preserve">10.1152/japplphysiol.00963.2018</w:t>
        </w:r>
      </w:hyperlink>
      <w:r>
        <w:t xml:space="preserve">.</w:t>
      </w:r>
    </w:p>
    <w:bookmarkEnd w:id="72"/>
    <w:bookmarkStart w:id="74" w:name="ref-moss_promotion_1995"/>
    <w:p>
      <w:pPr>
        <w:pStyle w:val="Bibliography"/>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73">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74"/>
    <w:bookmarkStart w:id="76" w:name="ref-west_acute_2016"/>
    <w:p>
      <w:pPr>
        <w:pStyle w:val="Bibliography"/>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75">
        <w:r>
          <w:rPr>
            <w:rStyle w:val="Hyperlink"/>
          </w:rPr>
          <w:t xml:space="preserve">10.1113/JP271365</w:t>
        </w:r>
      </w:hyperlink>
      <w:r>
        <w:t xml:space="preserve">.</w:t>
      </w:r>
    </w:p>
    <w:bookmarkEnd w:id="76"/>
    <w:bookmarkStart w:id="78" w:name="ref-mori_c-myc_2021"/>
    <w:p>
      <w:pPr>
        <w:pStyle w:val="Bibliography"/>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77">
        <w:r>
          <w:rPr>
            <w:rStyle w:val="Hyperlink"/>
          </w:rPr>
          <w:t xml:space="preserve">10.1152/ajpendo.00164.2021</w:t>
        </w:r>
      </w:hyperlink>
      <w:r>
        <w:t xml:space="preserve">.</w:t>
      </w:r>
    </w:p>
    <w:bookmarkEnd w:id="78"/>
    <w:bookmarkStart w:id="80" w:name="ref-hoppe_amp-activated_2009"/>
    <w:p>
      <w:pPr>
        <w:pStyle w:val="Bibliography"/>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79">
        <w:r>
          <w:rPr>
            <w:rStyle w:val="Hyperlink"/>
          </w:rPr>
          <w:t xml:space="preserve">10.1073/pnas.0909873106</w:t>
        </w:r>
      </w:hyperlink>
      <w:r>
        <w:t xml:space="preserve">.</w:t>
      </w:r>
    </w:p>
    <w:bookmarkEnd w:id="80"/>
    <w:bookmarkStart w:id="82" w:name="ref-hillier_physiological_2000"/>
    <w:p>
      <w:pPr>
        <w:pStyle w:val="Bibliography"/>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81">
        <w:r>
          <w:rPr>
            <w:rStyle w:val="Hyperlink"/>
          </w:rPr>
          <w:t xml:space="preserve">10.1210/jcem.85.12.7036</w:t>
        </w:r>
      </w:hyperlink>
      <w:r>
        <w:t xml:space="preserve">.</w:t>
      </w:r>
    </w:p>
    <w:bookmarkEnd w:id="82"/>
    <w:bookmarkStart w:id="84" w:name="ref-sanij_ubf_2008"/>
    <w:p>
      <w:pPr>
        <w:pStyle w:val="Bibliography"/>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83">
        <w:r>
          <w:rPr>
            <w:rStyle w:val="Hyperlink"/>
          </w:rPr>
          <w:t xml:space="preserve">10.1083/jcb.200805146</w:t>
        </w:r>
      </w:hyperlink>
      <w:r>
        <w:t xml:space="preserve">.</w:t>
      </w:r>
    </w:p>
    <w:bookmarkEnd w:id="84"/>
    <w:bookmarkStart w:id="86" w:name="ref-poortinga_c-myc_2011"/>
    <w:p>
      <w:pPr>
        <w:pStyle w:val="Bibliography"/>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85">
        <w:r>
          <w:rPr>
            <w:rStyle w:val="Hyperlink"/>
          </w:rPr>
          <w:t xml:space="preserve">10.1093/nar/gkq1205</w:t>
        </w:r>
      </w:hyperlink>
      <w:r>
        <w:t xml:space="preserve">.</w:t>
      </w:r>
    </w:p>
    <w:bookmarkEnd w:id="86"/>
    <w:bookmarkStart w:id="88" w:name="ref-mariappan_ribosomal_2011"/>
    <w:p>
      <w:pPr>
        <w:pStyle w:val="Bibliography"/>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87">
        <w:r>
          <w:rPr>
            <w:rStyle w:val="Hyperlink"/>
          </w:rPr>
          <w:t xml:space="preserve">10.1152/ajprenal.00207.2010</w:t>
        </w:r>
      </w:hyperlink>
      <w:r>
        <w:t xml:space="preserve">.</w:t>
      </w:r>
    </w:p>
    <w:bookmarkEnd w:id="88"/>
    <w:bookmarkStart w:id="90" w:name="ref-zhai_human_2012"/>
    <w:p>
      <w:pPr>
        <w:pStyle w:val="Bibliography"/>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89">
        <w:r>
          <w:rPr>
            <w:rStyle w:val="Hyperlink"/>
          </w:rPr>
          <w:t xml:space="preserve">10.1093/jmcb/mjs003</w:t>
        </w:r>
      </w:hyperlink>
      <w:r>
        <w:t xml:space="preserve">.</w:t>
      </w:r>
    </w:p>
    <w:bookmarkEnd w:id="90"/>
    <w:bookmarkStart w:id="92" w:name="ref-hammarstrom_ribosome_2022"/>
    <w:p>
      <w:pPr>
        <w:pStyle w:val="Bibliography"/>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91">
        <w:r>
          <w:rPr>
            <w:rStyle w:val="Hyperlink"/>
          </w:rPr>
          <w:t xml:space="preserve">10.1111/apha.13806</w:t>
        </w:r>
      </w:hyperlink>
      <w:r>
        <w:t xml:space="preserve">.</w:t>
      </w:r>
    </w:p>
    <w:bookmarkEnd w:id="92"/>
    <w:bookmarkStart w:id="94" w:name="ref-figueiredo_revisiting_2019"/>
    <w:p>
      <w:pPr>
        <w:pStyle w:val="Bibliography"/>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93">
        <w:r>
          <w:rPr>
            <w:rStyle w:val="Hyperlink"/>
          </w:rPr>
          <w:t xml:space="preserve">10.1152/ajpregu.00162.2019</w:t>
        </w:r>
      </w:hyperlink>
      <w:r>
        <w:t xml:space="preserve">.</w:t>
      </w:r>
    </w:p>
    <w:bookmarkEnd w:id="94"/>
    <w:bookmarkStart w:id="96" w:name="ref-Rcore"/>
    <w:p>
      <w:pPr>
        <w:pStyle w:val="Bibliography"/>
      </w:pPr>
      <w:r>
        <w:t xml:space="preserve">30.</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95">
        <w:r>
          <w:rPr>
            <w:rStyle w:val="Hyperlink"/>
          </w:rPr>
          <w:t xml:space="preserve">https://www.R-project.org/</w:t>
        </w:r>
      </w:hyperlink>
      <w:r>
        <w:t xml:space="preserve">.</w:t>
      </w:r>
    </w:p>
    <w:bookmarkEnd w:id="96"/>
    <w:bookmarkStart w:id="98" w:name="ref-tanaka_mild_2015"/>
    <w:p>
      <w:pPr>
        <w:pStyle w:val="Bibliography"/>
      </w:pPr>
      <w:r>
        <w:t xml:space="preserve">31.</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97">
        <w:r>
          <w:rPr>
            <w:rStyle w:val="Hyperlink"/>
          </w:rPr>
          <w:t xml:space="preserve">10.1128/MCB.00579-15</w:t>
        </w:r>
      </w:hyperlink>
      <w:r>
        <w:t xml:space="preserve">.</w:t>
      </w:r>
    </w:p>
    <w:bookmarkEnd w:id="98"/>
    <w:bookmarkStart w:id="100" w:name="ref-figueiredo_impact_2016"/>
    <w:p>
      <w:pPr>
        <w:pStyle w:val="Bibliography"/>
      </w:pPr>
      <w:r>
        <w:t xml:space="preserve">32.</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99">
        <w:r>
          <w:rPr>
            <w:rStyle w:val="Hyperlink"/>
          </w:rPr>
          <w:t xml:space="preserve">10.14814/phy2.12670</w:t>
        </w:r>
      </w:hyperlink>
      <w:r>
        <w:t xml:space="preserve">.</w:t>
      </w:r>
    </w:p>
    <w:bookmarkEnd w:id="100"/>
    <w:bookmarkStart w:id="102" w:name="ref-kim_nutrient_2013"/>
    <w:p>
      <w:pPr>
        <w:pStyle w:val="Bibliography"/>
      </w:pPr>
      <w:r>
        <w:t xml:space="preserve">33.</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01">
        <w:r>
          <w:rPr>
            <w:rStyle w:val="Hyperlink"/>
          </w:rPr>
          <w:t xml:space="preserve">10.1007/s10059-013-0138-2</w:t>
        </w:r>
      </w:hyperlink>
      <w:r>
        <w:t xml:space="preserve">.</w:t>
      </w:r>
    </w:p>
    <w:bookmarkEnd w:id="102"/>
    <w:bookmarkStart w:id="104" w:name="Xed01d12bc1658ef91a78078e882e81108dc2147"/>
    <w:p>
      <w:pPr>
        <w:pStyle w:val="Bibliography"/>
      </w:pPr>
      <w:r>
        <w:t xml:space="preserve">34.</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03">
        <w:r>
          <w:rPr>
            <w:rStyle w:val="Hyperlink"/>
          </w:rPr>
          <w:t xml:space="preserve">10.1016/j.tibs.2004.12.008</w:t>
        </w:r>
      </w:hyperlink>
      <w:r>
        <w:t xml:space="preserve">.</w:t>
      </w:r>
    </w:p>
    <w:bookmarkEnd w:id="104"/>
    <w:bookmarkStart w:id="106" w:name="ref-chaillou_hypoxia_2012"/>
    <w:p>
      <w:pPr>
        <w:pStyle w:val="Bibliography"/>
      </w:pPr>
      <w:r>
        <w:t xml:space="preserve">35.</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05">
        <w:r>
          <w:rPr>
            <w:rStyle w:val="Hyperlink"/>
          </w:rPr>
          <w:t xml:space="preserve">10.1152/ajpregu.00262.2011</w:t>
        </w:r>
      </w:hyperlink>
      <w:r>
        <w:t xml:space="preserve">.</w:t>
      </w:r>
    </w:p>
    <w:bookmarkEnd w:id="106"/>
    <w:bookmarkStart w:id="108" w:name="ref-nakada_correlation_2016"/>
    <w:p>
      <w:pPr>
        <w:pStyle w:val="Bibliography"/>
      </w:pPr>
      <w:r>
        <w:t xml:space="preserve">36.</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07">
        <w:r>
          <w:rPr>
            <w:rStyle w:val="Hyperlink"/>
          </w:rPr>
          <w:t xml:space="preserve">10.1371/journal.pone.0147284</w:t>
        </w:r>
      </w:hyperlink>
      <w:r>
        <w:t xml:space="preserve">.</w:t>
      </w:r>
    </w:p>
    <w:bookmarkEnd w:id="108"/>
    <w:bookmarkStart w:id="110" w:name="ref-von_walden_mechanical_2012"/>
    <w:p>
      <w:pPr>
        <w:pStyle w:val="Bibliography"/>
      </w:pPr>
      <w:r>
        <w:t xml:space="preserve">37.</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09">
        <w:r>
          <w:rPr>
            <w:rStyle w:val="Hyperlink"/>
          </w:rPr>
          <w:t xml:space="preserve">10.1152/ajpcell.00460.2011</w:t>
        </w:r>
      </w:hyperlink>
      <w:r>
        <w:t xml:space="preserve">.</w:t>
      </w:r>
    </w:p>
    <w:bookmarkEnd w:id="110"/>
    <w:bookmarkEnd w:id="111"/>
    <w:bookmarkEnd w:id="112"/>
    <w:bookmarkStart w:id="113" w:name="figuretable-text"/>
    <w:p>
      <w:pPr>
        <w:pStyle w:val="Heading2"/>
      </w:pPr>
      <w:r>
        <w:t xml:space="preserve">Figure/table text</w:t>
      </w:r>
    </w:p>
    <w:p>
      <w:pPr>
        <w:pStyle w:val="FirstParagraph"/>
      </w:pPr>
      <w:r>
        <w:rPr>
          <w:bCs/>
          <w:b/>
        </w:rPr>
        <w:t xml:space="preserve">Table 1:</w:t>
      </w:r>
      <w:r>
        <w:t xml:space="preserve"> </w:t>
      </w:r>
      <w:r>
        <w:t xml:space="preserve">Baseline characteristics. Age = mean age in years, Height = mean height in cm, Weight and Lean mass = mean in kg, Iso 60/240 = mean unilateral isokinetic knee extension peak torque in Nm at 60 d/s and 240 d/s, Isom = mean unilateral isometric knee extension peak torque in Nm.</w:t>
      </w:r>
    </w:p>
    <w:p>
      <w:pPr>
        <w:pStyle w:val="BodyText"/>
      </w:pPr>
      <w:r>
        <w:rPr>
          <w:bCs/>
          <w:b/>
        </w:rPr>
        <w:t xml:space="preserve">Table 2:</w:t>
      </w:r>
      <w:r>
        <w:t xml:space="preserve"> </w:t>
      </w:r>
      <w:r>
        <w:t xml:space="preserve">Mean total session volume and mean change in total session volume from session 1 to session 6.</w:t>
      </w:r>
    </w:p>
    <w:p>
      <w:pPr>
        <w:pStyle w:val="BodyText"/>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i.e.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13"/>
    <w:sectPr w:rsidR="000F3310">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5437902" w:numId="1">
    <w:abstractNumId w:val="10"/>
  </w:num>
  <w:num w16cid:durableId="607666411" w:numId="2">
    <w:abstractNumId w:val="9"/>
  </w:num>
  <w:num w16cid:durableId="102379954" w:numId="3">
    <w:abstractNumId w:val="7"/>
  </w:num>
  <w:num w16cid:durableId="53741325" w:numId="4">
    <w:abstractNumId w:val="6"/>
  </w:num>
  <w:num w16cid:durableId="681321137" w:numId="5">
    <w:abstractNumId w:val="5"/>
  </w:num>
  <w:num w16cid:durableId="1457869183" w:numId="6">
    <w:abstractNumId w:val="4"/>
  </w:num>
  <w:num w16cid:durableId="1475103565" w:numId="7">
    <w:abstractNumId w:val="8"/>
  </w:num>
  <w:num w16cid:durableId="330257052" w:numId="8">
    <w:abstractNumId w:val="3"/>
  </w:num>
  <w:num w16cid:durableId="1324433373" w:numId="9">
    <w:abstractNumId w:val="2"/>
  </w:num>
  <w:num w16cid:durableId="2056617089" w:numId="10">
    <w:abstractNumId w:val="1"/>
  </w:num>
  <w:num w16cid:durableId="136428087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5241"/>
    <w:pPr>
      <w:spacing w:after="180" w:before="180"/>
    </w:pPr>
    <w:rPr>
      <w:rFonts w:ascii="Times New Roman" w:hAnsi="Times New Roman"/>
    </w:rPr>
  </w:style>
  <w:style w:customStyle="1" w:styleId="FirstParagraph" w:type="paragraph">
    <w:name w:val="First Paragraph"/>
    <w:basedOn w:val="BodyText"/>
    <w:next w:val="BodyText"/>
    <w:qFormat/>
    <w:rsid w:val="00F447F4"/>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447F4"/>
    <w:pPr>
      <w:keepNext/>
      <w:keepLines/>
      <w:jc w:val="center"/>
    </w:pPr>
    <w:rPr>
      <w:rFonts w:ascii="Times New Roman" w:hAnsi="Times New Roman"/>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00018-006-6278-1" TargetMode="External" /><Relationship Type="http://schemas.openxmlformats.org/officeDocument/2006/relationships/hyperlink" Id="rId101" Target="https://doi.org/10.1007/s10059-013-0138-2" TargetMode="External" /><Relationship Type="http://schemas.openxmlformats.org/officeDocument/2006/relationships/hyperlink" Id="rId39" Target="https://doi.org/10.1007/s40279-014-0197-3" TargetMode="External" /><Relationship Type="http://schemas.openxmlformats.org/officeDocument/2006/relationships/hyperlink" Id="rId53" Target="https://doi.org/10.1007/s40279-015-0337-4" TargetMode="External" /><Relationship Type="http://schemas.openxmlformats.org/officeDocument/2006/relationships/hyperlink" Id="rId55" Target="https://doi.org/10.1007/s40279-016-0571-4" TargetMode="External" /><Relationship Type="http://schemas.openxmlformats.org/officeDocument/2006/relationships/hyperlink" Id="rId73" Target="https://doi.org/10.1016/S0079-6603(08)60810-7" TargetMode="External" /><Relationship Type="http://schemas.openxmlformats.org/officeDocument/2006/relationships/hyperlink" Id="rId59" Target="https://doi.org/10.1016/bs.pmbts.2015.07.020" TargetMode="External" /><Relationship Type="http://schemas.openxmlformats.org/officeDocument/2006/relationships/hyperlink" Id="rId63" Target="https://doi.org/10.1016/j.gene.2014.11.010" TargetMode="External" /><Relationship Type="http://schemas.openxmlformats.org/officeDocument/2006/relationships/hyperlink" Id="rId103" Target="https://doi.org/10.1016/j.tibs.2004.12.008" TargetMode="External" /><Relationship Type="http://schemas.openxmlformats.org/officeDocument/2006/relationships/hyperlink" Id="rId79" Target="https://doi.org/10.1073/pnas.0909873106" TargetMode="External" /><Relationship Type="http://schemas.openxmlformats.org/officeDocument/2006/relationships/hyperlink" Id="rId49" Target="https://doi.org/10.1080/02640414.2016.1210197" TargetMode="External" /><Relationship Type="http://schemas.openxmlformats.org/officeDocument/2006/relationships/hyperlink" Id="rId83" Target="https://doi.org/10.1083/jcb.200805146" TargetMode="External" /><Relationship Type="http://schemas.openxmlformats.org/officeDocument/2006/relationships/hyperlink" Id="rId89" Target="https://doi.org/10.1093/jmcb/mjs003" TargetMode="External" /><Relationship Type="http://schemas.openxmlformats.org/officeDocument/2006/relationships/hyperlink" Id="rId85" Target="https://doi.org/10.1093/nar/gkq1205" TargetMode="External" /><Relationship Type="http://schemas.openxmlformats.org/officeDocument/2006/relationships/hyperlink" Id="rId91" Target="https://doi.org/10.1111/apha.13806" TargetMode="External" /><Relationship Type="http://schemas.openxmlformats.org/officeDocument/2006/relationships/hyperlink" Id="rId37" Target="https://doi.org/10.1111/sms.13213" TargetMode="External" /><Relationship Type="http://schemas.openxmlformats.org/officeDocument/2006/relationships/hyperlink" Id="rId75" Target="https://doi.org/10.1113/JP271365" TargetMode="External" /><Relationship Type="http://schemas.openxmlformats.org/officeDocument/2006/relationships/hyperlink" Id="rId45" Target="https://doi.org/10.1113/JP278455" TargetMode="External" /><Relationship Type="http://schemas.openxmlformats.org/officeDocument/2006/relationships/hyperlink" Id="rId43" Target="https://doi.org/10.1113/JP281244" TargetMode="External" /><Relationship Type="http://schemas.openxmlformats.org/officeDocument/2006/relationships/hyperlink" Id="rId97" Target="https://doi.org/10.1128/MCB.00579-15" TargetMode="External" /><Relationship Type="http://schemas.openxmlformats.org/officeDocument/2006/relationships/hyperlink" Id="rId57" Target="https://doi.org/10.1136/bjsports-2017-097608" TargetMode="External" /><Relationship Type="http://schemas.openxmlformats.org/officeDocument/2006/relationships/hyperlink" Id="rId109" Target="https://doi.org/10.1152/ajpcell.00460.2011" TargetMode="External" /><Relationship Type="http://schemas.openxmlformats.org/officeDocument/2006/relationships/hyperlink" Id="rId77" Target="https://doi.org/10.1152/ajpendo.00164.2021" TargetMode="External" /><Relationship Type="http://schemas.openxmlformats.org/officeDocument/2006/relationships/hyperlink" Id="rId69" Target="https://doi.org/10.1152/ajpendo.00486.2015" TargetMode="External" /><Relationship Type="http://schemas.openxmlformats.org/officeDocument/2006/relationships/hyperlink" Id="rId93" Target="https://doi.org/10.1152/ajpregu.00162.2019" TargetMode="External" /><Relationship Type="http://schemas.openxmlformats.org/officeDocument/2006/relationships/hyperlink" Id="rId105" Target="https://doi.org/10.1152/ajpregu.00262.2011" TargetMode="External" /><Relationship Type="http://schemas.openxmlformats.org/officeDocument/2006/relationships/hyperlink" Id="rId87" Target="https://doi.org/10.1152/ajprenal.00207.2010" TargetMode="External" /><Relationship Type="http://schemas.openxmlformats.org/officeDocument/2006/relationships/hyperlink" Id="rId71" Target="https://doi.org/10.1152/japplphysiol.00963.2018" TargetMode="External" /><Relationship Type="http://schemas.openxmlformats.org/officeDocument/2006/relationships/hyperlink" Id="rId67" Target="https://doi.org/10.1152/physiol.00034.2018" TargetMode="External" /><Relationship Type="http://schemas.openxmlformats.org/officeDocument/2006/relationships/hyperlink" Id="rId41" Target="https://doi.org/10.1152/physiolgenomics.00167.2012" TargetMode="External" /><Relationship Type="http://schemas.openxmlformats.org/officeDocument/2006/relationships/hyperlink" Id="rId81" Target="https://doi.org/10.1210/jcem.85.12.7036" TargetMode="External" /><Relationship Type="http://schemas.openxmlformats.org/officeDocument/2006/relationships/hyperlink" Id="rId107" Target="https://doi.org/10.1371/journal.pone.0147284" TargetMode="External" /><Relationship Type="http://schemas.openxmlformats.org/officeDocument/2006/relationships/hyperlink" Id="rId99" Target="https://doi.org/10.14814/phy2.12670" TargetMode="External" /><Relationship Type="http://schemas.openxmlformats.org/officeDocument/2006/relationships/hyperlink" Id="rId47" Target="https://doi.org/10.1519/JSC.0b013e3181b370be" TargetMode="External" /><Relationship Type="http://schemas.openxmlformats.org/officeDocument/2006/relationships/hyperlink" Id="rId51" Target="https://doi.org/10.3945/ajcn.112.037556" TargetMode="External" /><Relationship Type="http://schemas.openxmlformats.org/officeDocument/2006/relationships/hyperlink" Id="rId61" Target="https://doi.org/10.5772/intechopen.71866" TargetMode="External" /><Relationship Type="http://schemas.openxmlformats.org/officeDocument/2006/relationships/hyperlink" Id="rId9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00018-006-6278-1" TargetMode="External" /><Relationship Type="http://schemas.openxmlformats.org/officeDocument/2006/relationships/hyperlink" Id="rId101" Target="https://doi.org/10.1007/s10059-013-0138-2" TargetMode="External" /><Relationship Type="http://schemas.openxmlformats.org/officeDocument/2006/relationships/hyperlink" Id="rId39" Target="https://doi.org/10.1007/s40279-014-0197-3" TargetMode="External" /><Relationship Type="http://schemas.openxmlformats.org/officeDocument/2006/relationships/hyperlink" Id="rId53" Target="https://doi.org/10.1007/s40279-015-0337-4" TargetMode="External" /><Relationship Type="http://schemas.openxmlformats.org/officeDocument/2006/relationships/hyperlink" Id="rId55" Target="https://doi.org/10.1007/s40279-016-0571-4" TargetMode="External" /><Relationship Type="http://schemas.openxmlformats.org/officeDocument/2006/relationships/hyperlink" Id="rId73" Target="https://doi.org/10.1016/S0079-6603(08)60810-7" TargetMode="External" /><Relationship Type="http://schemas.openxmlformats.org/officeDocument/2006/relationships/hyperlink" Id="rId59" Target="https://doi.org/10.1016/bs.pmbts.2015.07.020" TargetMode="External" /><Relationship Type="http://schemas.openxmlformats.org/officeDocument/2006/relationships/hyperlink" Id="rId63" Target="https://doi.org/10.1016/j.gene.2014.11.010" TargetMode="External" /><Relationship Type="http://schemas.openxmlformats.org/officeDocument/2006/relationships/hyperlink" Id="rId103" Target="https://doi.org/10.1016/j.tibs.2004.12.008" TargetMode="External" /><Relationship Type="http://schemas.openxmlformats.org/officeDocument/2006/relationships/hyperlink" Id="rId79" Target="https://doi.org/10.1073/pnas.0909873106" TargetMode="External" /><Relationship Type="http://schemas.openxmlformats.org/officeDocument/2006/relationships/hyperlink" Id="rId49" Target="https://doi.org/10.1080/02640414.2016.1210197" TargetMode="External" /><Relationship Type="http://schemas.openxmlformats.org/officeDocument/2006/relationships/hyperlink" Id="rId83" Target="https://doi.org/10.1083/jcb.200805146" TargetMode="External" /><Relationship Type="http://schemas.openxmlformats.org/officeDocument/2006/relationships/hyperlink" Id="rId89" Target="https://doi.org/10.1093/jmcb/mjs003" TargetMode="External" /><Relationship Type="http://schemas.openxmlformats.org/officeDocument/2006/relationships/hyperlink" Id="rId85" Target="https://doi.org/10.1093/nar/gkq1205" TargetMode="External" /><Relationship Type="http://schemas.openxmlformats.org/officeDocument/2006/relationships/hyperlink" Id="rId91" Target="https://doi.org/10.1111/apha.13806" TargetMode="External" /><Relationship Type="http://schemas.openxmlformats.org/officeDocument/2006/relationships/hyperlink" Id="rId37" Target="https://doi.org/10.1111/sms.13213" TargetMode="External" /><Relationship Type="http://schemas.openxmlformats.org/officeDocument/2006/relationships/hyperlink" Id="rId75" Target="https://doi.org/10.1113/JP271365" TargetMode="External" /><Relationship Type="http://schemas.openxmlformats.org/officeDocument/2006/relationships/hyperlink" Id="rId45" Target="https://doi.org/10.1113/JP278455" TargetMode="External" /><Relationship Type="http://schemas.openxmlformats.org/officeDocument/2006/relationships/hyperlink" Id="rId43" Target="https://doi.org/10.1113/JP281244" TargetMode="External" /><Relationship Type="http://schemas.openxmlformats.org/officeDocument/2006/relationships/hyperlink" Id="rId97" Target="https://doi.org/10.1128/MCB.00579-15" TargetMode="External" /><Relationship Type="http://schemas.openxmlformats.org/officeDocument/2006/relationships/hyperlink" Id="rId57" Target="https://doi.org/10.1136/bjsports-2017-097608" TargetMode="External" /><Relationship Type="http://schemas.openxmlformats.org/officeDocument/2006/relationships/hyperlink" Id="rId109" Target="https://doi.org/10.1152/ajpcell.00460.2011" TargetMode="External" /><Relationship Type="http://schemas.openxmlformats.org/officeDocument/2006/relationships/hyperlink" Id="rId77" Target="https://doi.org/10.1152/ajpendo.00164.2021" TargetMode="External" /><Relationship Type="http://schemas.openxmlformats.org/officeDocument/2006/relationships/hyperlink" Id="rId69" Target="https://doi.org/10.1152/ajpendo.00486.2015" TargetMode="External" /><Relationship Type="http://schemas.openxmlformats.org/officeDocument/2006/relationships/hyperlink" Id="rId93" Target="https://doi.org/10.1152/ajpregu.00162.2019" TargetMode="External" /><Relationship Type="http://schemas.openxmlformats.org/officeDocument/2006/relationships/hyperlink" Id="rId105" Target="https://doi.org/10.1152/ajpregu.00262.2011" TargetMode="External" /><Relationship Type="http://schemas.openxmlformats.org/officeDocument/2006/relationships/hyperlink" Id="rId87" Target="https://doi.org/10.1152/ajprenal.00207.2010" TargetMode="External" /><Relationship Type="http://schemas.openxmlformats.org/officeDocument/2006/relationships/hyperlink" Id="rId71" Target="https://doi.org/10.1152/japplphysiol.00963.2018" TargetMode="External" /><Relationship Type="http://schemas.openxmlformats.org/officeDocument/2006/relationships/hyperlink" Id="rId67" Target="https://doi.org/10.1152/physiol.00034.2018" TargetMode="External" /><Relationship Type="http://schemas.openxmlformats.org/officeDocument/2006/relationships/hyperlink" Id="rId41" Target="https://doi.org/10.1152/physiolgenomics.00167.2012" TargetMode="External" /><Relationship Type="http://schemas.openxmlformats.org/officeDocument/2006/relationships/hyperlink" Id="rId81" Target="https://doi.org/10.1210/jcem.85.12.7036" TargetMode="External" /><Relationship Type="http://schemas.openxmlformats.org/officeDocument/2006/relationships/hyperlink" Id="rId107" Target="https://doi.org/10.1371/journal.pone.0147284" TargetMode="External" /><Relationship Type="http://schemas.openxmlformats.org/officeDocument/2006/relationships/hyperlink" Id="rId99" Target="https://doi.org/10.14814/phy2.12670" TargetMode="External" /><Relationship Type="http://schemas.openxmlformats.org/officeDocument/2006/relationships/hyperlink" Id="rId47" Target="https://doi.org/10.1519/JSC.0b013e3181b370be" TargetMode="External" /><Relationship Type="http://schemas.openxmlformats.org/officeDocument/2006/relationships/hyperlink" Id="rId51" Target="https://doi.org/10.3945/ajcn.112.037556" TargetMode="External" /><Relationship Type="http://schemas.openxmlformats.org/officeDocument/2006/relationships/hyperlink" Id="rId61" Target="https://doi.org/10.5772/intechopen.71866" TargetMode="External" /><Relationship Type="http://schemas.openxmlformats.org/officeDocument/2006/relationships/hyperlink" Id="rId9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 Daniel Hammarström, Stian Ellefsen, Håvard Hamarsland</dc:creator>
  <cp:keywords/>
  <dcterms:created xsi:type="dcterms:W3CDTF">2023-03-20T14:29:33Z</dcterms:created>
  <dcterms:modified xsi:type="dcterms:W3CDTF">2023-03-20T14:29:33Z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resources/ribose-kl.bib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