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t xml:space="preserve"> </w:t>
      </w:r>
      <w:r>
        <w:t xml:space="preserve">Daniel</w:t>
      </w:r>
      <w:r>
        <w:t xml:space="preserve"> </w:t>
      </w:r>
      <w:r>
        <w:t xml:space="preserve">Hammarström,</w:t>
      </w:r>
      <w:r>
        <w:t xml:space="preserve"> </w:t>
      </w:r>
      <w:r>
        <w:t xml:space="preserve">Stian</w:t>
      </w:r>
      <w:r>
        <w:t xml:space="preserve"> </w:t>
      </w:r>
      <w:r>
        <w:t xml:space="preserve">Ellefsen,</w:t>
      </w:r>
      <w:r>
        <w:t xml:space="preserve"> </w:t>
      </w:r>
      <w:r>
        <w:t xml:space="preserve">Håvard</w:t>
      </w:r>
      <w:r>
        <w:t xml:space="preserve"> </w:t>
      </w:r>
      <w:r>
        <w:t xml:space="preserve">Hamarsland</w:t>
      </w:r>
    </w:p>
    <w:bookmarkStart w:id="20" w:name="introduction"/>
    <w:p>
      <w:pPr>
        <w:pStyle w:val="Heading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such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odyTex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w:t>
      </w:r>
      <w:r>
        <w:t xml:space="preserve"> </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Pol I is considered the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from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promotes rRNA transcription in cell cultures</w:t>
      </w:r>
      <w:r>
        <w:t xml:space="preserve">(27)</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as, if not more than,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to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20"/>
    <w:bookmarkStart w:id="31" w:name="methods"/>
    <w:p>
      <w:pPr>
        <w:pStyle w:val="Heading2"/>
      </w:pPr>
      <w:r>
        <w:t xml:space="preserve">Methods</w:t>
      </w:r>
    </w:p>
    <w:bookmarkStart w:id="21" w:name="materials-and-methods"/>
    <w:p>
      <w:pPr>
        <w:pStyle w:val="Heading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21"/>
    <w:bookmarkStart w:id="22" w:name="participants"/>
    <w:p>
      <w:pPr>
        <w:pStyle w:val="Heading3"/>
      </w:pPr>
      <w:r>
        <w:t xml:space="preserve">Participants</w:t>
      </w:r>
    </w:p>
    <w:p>
      <w:pPr>
        <w:pStyle w:val="FirstParagraph"/>
      </w:pPr>
      <w:r>
        <w:t xml:space="preserve">Sixteen healthy male and female participants (20-33yrs,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connected to heavy resistance training. Lean mass (Tab 1) was measured using DXA (Prodigy Advance PA+302047, Lunar, San Francisco, CA, USA) on Day -1, the last day preceding the RT intervention.</w:t>
      </w:r>
    </w:p>
    <w:bookmarkEnd w:id="22"/>
    <w:bookmarkStart w:id="23" w:name="experimental-design"/>
    <w:p>
      <w:pPr>
        <w:pStyle w:val="Heading3"/>
      </w:pPr>
      <w:r>
        <w:t xml:space="preserve">Experimental design</w:t>
      </w:r>
    </w:p>
    <w:p>
      <w:pPr>
        <w:pStyle w:val="FirstParagraph"/>
      </w:pPr>
      <w:r>
        <w:t xml:space="preserve">The study was designed as a 12-day double-blinded randomized controlled trial, with an alternating unilateral RT protocol (Fig 1A). Participants were randomly allocated to exercise one leg with glucose and one leg with placebo (1A).</w:t>
      </w:r>
      <w:r>
        <w:t xml:space="preserve"> </w:t>
      </w:r>
      <w:r>
        <w:t xml:space="preserve"> </w:t>
      </w:r>
      <w:r>
        <w:t xml:space="preserve">One person was exclusively responsible for the randomization code and supplement distribution, blinding both investigators and participants in regard to which leg exercised with glucose/placebo. Glucose (Glucosum monohydricum, Merck KGaA, Darmstadt, Germany) and placebo (Steviosa, Soma Nordic AS, Oslo, Norway) were masked by mixing with 300ml Fun Light juice/saft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To further standardize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23"/>
    <w:bookmarkStart w:id="2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Protein was ingested 2hrs before RT (0700hrs, 25g) and immediately after RT (~0930hrs, 25g).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(i.e. on days 1-2, 3-4, etc.),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The protein supplement was ingested as 25g Whey Protein Isolate boluses (Proteinfabrikken, Stokke, Norway), diluted in 150 ml of water. During sessions, participants were free to ingest water ad libitum.</w:t>
      </w:r>
    </w:p>
    <w:bookmarkEnd w:id="24"/>
    <w:bookmarkStart w:id="25" w:name="assessment-of-muscular-strength"/>
    <w:p>
      <w:pPr>
        <w:pStyle w:val="Heading3"/>
      </w:pPr>
      <w:r>
        <w:t xml:space="preserve">Assessment of muscular strength</w:t>
      </w:r>
    </w:p>
    <w:p>
      <w:pPr>
        <w:pStyle w:val="FirstParagraph"/>
      </w:pPr>
      <w:r>
        <w:t xml:space="preserve">Strength tests were performed prior to (Days -7 and -5, and -1, both legs) and during the intervention (Days 4 and 8 leg 1, 5 and 9 leg two), after session 5 and after finalization of intervention (Day 11/12 leg 1 and 12/13 leg 2) (Fig 1A). Maximal isometric and isokinetic knee extension torque was measured with a Humac Norm Dynamometer (CSMi, Stoughton, Massachusetts, USA). Individual positions were recorded and standardized from pre-intervention tests (days -7 and -5). Isokinetic peak torque was measured at speeds of 60- and 240 d/s, 2x3 repetitions each, with the first set of each exercise as a sub-maximal warm-up. Isometric peak torque was measured at knee-angle 60, for a maximum of 10 seconds and two repetitions per test. The highest peak torque values were used in the final analyses. During days 4, 5, 8 and 9 (Fig 1D, day 4 and 5 = Post 2RT, day 8 and 9 = Post 4RT), humac tests were conducted one hour before RT with the leg performing RT the previous day. During days 11 and 12, humac tests were performed four times: I) 45min before the last RT session (1D, Post 5RT), II) 30min after the last RT session (1D, 30 min post 6RT), III) 2hrs after the last RT session (1D, 2h post 6RT), and IV) 23hrs after the last RT session (1D, 23h post 6RT). Test I on day 12/13 included testing of both legs, representing 23hrs post-RT session test of one leg and post-session 5 test of the other leg.</w:t>
      </w:r>
    </w:p>
    <w:p>
      <w:pPr>
        <w:pStyle w:val="BodyText"/>
      </w:pPr>
      <w:r>
        <w:t xml:space="preserve">Assessment of unilateral one repetition maximum (1RM) leg press and knee extension was conducted at pre-intervention testing during familiarization (days -7 and -5, Fig 1D). The participants performed a general warm-up with 10min cycling on an indoor exercise bicycle. In addition, a protocol consisting of 1x10, 1x6 and 1x3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Two-minute breaks were given during specific warm-up, three-minute breaks were given between 1RM attempts.</w:t>
      </w:r>
    </w:p>
    <w:bookmarkEnd w:id="25"/>
    <w:bookmarkStart w:id="26" w:name="resistance-training-protocol"/>
    <w:p>
      <w:pPr>
        <w:pStyle w:val="Heading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Breaks between working sets were two minutes, and progressive loading was used to ensure adequate exercise stimulation throughout the intervention. For safety and standardization purposes, all sessions were monitored by trained personnel.</w:t>
      </w:r>
      <w:r>
        <w:t xml:space="preserve"> </w:t>
      </w:r>
      <w:r>
        <w:t xml:space="preserve"> </w:t>
      </w:r>
      <w:r>
        <w:t xml:space="preserve">Lastly, training volume (load and repetitions) was logged for every session.</w:t>
      </w:r>
    </w:p>
    <w:bookmarkEnd w:id="26"/>
    <w:bookmarkStart w:id="2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10mg ml-1 with adrenaline 5μg ml−1, AstraZeneca AS, Oslo, Norway) using a 12-14-gauge needle (Universal Plus, Mermaid Medical AS, Stenløse, Denmark), operated with a spring-loaded biopsy gun. After the biopsy sampling, muscle tissue was divided into two aliquots for determination of total RNA/expression of rRNA and two aliquots for protein content measurement, snap frozen in isopentane (-80°C) and stored at -80°C until further analyses. Muscle biopsies were sampled at four times: I/II) Pre-intervention (Fig 1A, 2hrs before training, Day 1 = leg 1, Day 2 = leg 2), and III/IV) after the fifth RT session, two hours before the sixth RT session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blood was collected by means of finger draws on days with biopsy sampling. One finger draw was taken on day 1 (Fig 1A) to serve as a baseline. On days 11 and 12 (Fig 1A), finger draws were collected seven times: I) Immediately prior to protein ingestion (0700hrs) II) 45 minutes after protein ingestion (0745hrs) III) 1.5hrs after protein ingestion (0800hrs, i.e., immediately before GLU/PLAC intake), IIII) 2hrs after protein ingestion (0900hrs, i.e., immediately before training), IV) in the middle of RT (~0915hrs), V) immediately after training (~0930hrs), and VI) 2hrs after completion of training (~1130hrs). Finger draws were analysed with in-house equipment (BIOSEN C-Line, EKF diagnostic GmbH, Barleben). Venous blood samples were collected from the antecubital vein, coinciding with the finger draws except 45min after protein ingestion and in the middle of the RT session, to analyse endocrine variables.</w:t>
      </w:r>
    </w:p>
    <w:bookmarkEnd w:id="27"/>
    <w:bookmarkStart w:id="28" w:name="Xd015144b5eba5551340fd4dcddb6574a5c3e1b2"/>
    <w:p>
      <w:pPr>
        <w:pStyle w:val="Heading3"/>
      </w:pPr>
      <w:r>
        <w:t xml:space="preserve">Total RNA extraction and quantitative real-time reverse transcription polymerase chain reaction</w:t>
      </w:r>
    </w:p>
    <w:p>
      <w:pPr>
        <w:pStyle w:val="FirstParagraph"/>
      </w:pPr>
      <w:r>
        <w:t xml:space="preserve">Two muscle biopsy samples were taken for total RNA extraction per leg per time point, and total RNA was extracted in two duplicates per muscle biopsy. Thus, we had two duplicates per leg per time point, a total of eight RNA samples per participant. Total RNA was extracted using TRIzol according to the manufacturer’s protocol. An exogenous RNA control (λ polyA External Standard Kit, Takara Bio Inc., Shiga, Japan) was added at a fixed amount (0.04 ng ml-1 of Trizol reagent) to enable analysis of target gene expression per unit tissue weight</w:t>
      </w:r>
      <w:r>
        <w:t xml:space="preserve"> </w:t>
      </w:r>
      <w:r>
        <w:t xml:space="preserve">(30, 31)</w:t>
      </w:r>
      <w:r>
        <w:t xml:space="preserve">. Briefly, muscle tissue was homogenized in TRIzol using 0.5mm RNase-free Zirconium beads (~50 ul) (Next Advanced, Averill Park, NY, USA) and a bullet blender (bb). Chloroform (Sigma-Aldrich, Missouri, USA) was used for phase separation, and an RNA pellet was precipitated with isopropanol (VWR International, Pennsylvania, USA). For assessment of RNA content and -purity 5µl RNA, from the RNA stock, was eluted in TE-buffer (1:2), for assessment via spectrophotometry. All samples had a 260nm to 280nm ratio &gt; 1.9. The RNA stock was stored at -80°C until further analyses. RNA was reverse transcribed using Super Script IV Reverse Transcriptase (Invitrogen), according to the manufacturer’s instructions. Briefly, 1µl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w:t>
      </w:r>
      <w:r>
        <w:t xml:space="preserve"> </w:t>
      </w:r>
      <w:r>
        <w:t xml:space="preserve">(5)</w:t>
      </w:r>
      <w:r>
        <w:t xml:space="preserve">. qPCR reactions consisted of 40 cycles (3 s 95°C denaturing and 30 s 60°C annealing)</w:t>
      </w:r>
      <w:r>
        <w:t xml:space="preserve"> </w:t>
      </w:r>
      <w:r>
        <w:t xml:space="preserve">(5)</w:t>
      </w:r>
      <w:r>
        <w:t xml:space="preserve">. Raw fluorescence data were exported from the platform-specific software and amplification curves were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w:t>
      </w:r>
    </w:p>
    <w:bookmarkEnd w:id="28"/>
    <w:bookmarkStart w:id="2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24hrs and dissected before extraction. The tissue was homogenized with a plastic rod in 80mg protein extraction powder (Invent Biotechnology) and 100ul iced cell lysis buffer (Denaturing Buffer, Invent Biotechnology), and centrifuged at top speed for 1 min. The supernatant was divided into 2x25ul aliquots to run samples in duplicates, and total protein concentrations were determined in a 1:10 dilution (Pierce Detergent Compatible Bradford Assay Reagent, Thermo Fisher Scientific, Oslo, Norway). The protein samples were diluted to 20.25 µg µl−1 total protein with lysis buffer and 4X Laemmli sample buffer (Bio-Rad Laboratories AB, Oslo, Norway) containing 2-mercaptoethanol. Twenty microlitres from each protein sample were pooled as a normalization factor for gel separation. All protein samples were incubated at 95°C and stored at -20°C until further analysis. The protein samples (20.25µg total protein) were separated at 250V for 50min using 4-20% Tris-Glycine gels (Thermo Fisher Scientific), then transferred to PVDF membranes with wet transfer at 300mA for 3hrs. Both gel electrophoresis and protein transfer were performed at 4°C. Following the wet transfer, membranes were stained with a MemCode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UBF:(UBF-9, sc-13125), rpS6:(Ribosomal protein S6 C-8, sc-74459), and Thermo Fisher Scientific (Oslo, Norway) c-Myc:(c-Myc 9E10), goat anti-mouse for c-Myc (goat anti-mouse IgG1 (y1) horseradish peroxidase conjugate), and anti-mouse (anti-mouse IgG1 horseradish peroxidase conjugate). Antibodies were diluted in a 5% non-fat dry milk blocking buffer (TBS, 5% non-fat dry milk, 0.1% Tween-20). Membranes were incubated overnight with primary antibodies, and for 1hr with secondary antibodies. Between blocking and primary antibody staining, membranes were washed 1x5min, between primary and secondary staining, and after secondary staining, membranes were washed 3x5 with TBS-Tween (TBS; 20mM Tris, 150mM NaCl, 0.1% Tween). Following the last TBS-T wash, membranes were incubated 1x5min with enhanced chemiluminescent substrate (ECL, SuperSignal West Femto Maximum Sensitivity Substrate, Thermo Fisher Scientific). Membrane blocking, secondary antibody incubation, washing and ECL incubation were performed at room temp, on a tipping board. Primary antibody incubation was performed at 4°C on a tipping board. Chemiluminescence signals were quantified using Image Studio Lite (LI-COR Biotechnology, Lincoln, NE, USA), and total protein content was quantified using ImageJ</w:t>
      </w:r>
      <w:r>
        <w:t xml:space="preserve"> </w:t>
      </w:r>
      <w:r>
        <w:t xml:space="preserve">(34)</w:t>
      </w:r>
      <w:r>
        <w:t xml:space="preserve">, whereas total protein content was defined as mean grey value of the whole well with between-well values subtracted as background.</w:t>
      </w:r>
    </w:p>
    <w:bookmarkEnd w:id="29"/>
    <w:bookmarkStart w:id="30" w:name="data-handling-and-statistical-analysis"/>
    <w:p>
      <w:pPr>
        <w:pStyle w:val="Heading3"/>
      </w:pPr>
      <w:r>
        <w:t xml:space="preserve">Data handling and statistical analysis</w:t>
      </w:r>
    </w:p>
    <w:p>
      <w:pPr>
        <w:pStyle w:val="FirstParagraph"/>
      </w:pPr>
      <w:r>
        <w:t xml:space="preserve">A priori power calculations showed that 20 participants would grant a statistical power of 80% (= 0.05), with an expected dropout of 20%. This power calculation was based on an assumption that the effects of glucose ingestion on ribosome biogenesis may equate to the effects of increasing RT volume from low to moderate</w:t>
      </w:r>
      <w:r>
        <w:t xml:space="preserve"> </w:t>
      </w:r>
      <w:r>
        <w:t xml:space="preserve">(5)</w:t>
      </w:r>
      <w:r>
        <w:t xml:space="preserve">.</w:t>
      </w:r>
      <w:r>
        <w:t xml:space="preserve"> </w:t>
      </w:r>
      <w:r>
        <w:t xml:space="preserve"> </w:t>
      </w:r>
      <w:r>
        <w:t xml:space="preserve">Raw data were imported and analyzed in R via R studios</w:t>
      </w:r>
      <w:r>
        <w:t xml:space="preserve"> </w:t>
      </w:r>
      <w:r>
        <w:t xml:space="preserve">(33)</w:t>
      </w:r>
      <w:r>
        <w:t xml:space="preserve">. Legs were categorized as either glucose or placebo in accordance with the randomization. Before quantitative analyses, total RNA was normalized by wet muscle weight, qPCR values were normalized by wet muscle weight and an external reference gene (Lambda), while quantified protein signals from western blot were normalized by pool signals and total protein signal per gel.</w:t>
      </w:r>
      <w:r>
        <w:t xml:space="preserve"> </w:t>
      </w:r>
      <w:r>
        <w:t xml:space="preserve">Total RNA and qPCR values were analyzed by comparing post to pre log-fold change score differences. This was achieved by modelling change as response with baseline and supplement (glucose/placebo) as explanatory factors, and mean-centred baseline values as a covariate in a linear mixed effects model using, then calculating the estimated marginal means. Quantified western blot signals and the UBF/total RNA association were analyzed using a linear mixed effects model from the nlme package</w:t>
      </w:r>
      <w:r>
        <w:t xml:space="preserve"> </w:t>
      </w:r>
      <w:r>
        <w:t xml:space="preserve">(35)</w:t>
      </w:r>
      <w:r>
        <w:t xml:space="preserve">, with protein signal per time point as response, with time and supplement as explanatory factors. Plasma glucose and c-peptide, training volume, and the strength index were analyzed by multiple time-point log-fold change score comparisons, using the same linear mixed effects model with time added as explanatory factor. The linear mixed effects model was designed with the lmer function (Satterthwaite’s method) from the lme4 package</w:t>
      </w:r>
      <w:r>
        <w:t xml:space="preserve"> </w:t>
      </w:r>
      <w:r>
        <w:t xml:space="preserve">(36)</w:t>
      </w:r>
      <w:r>
        <w:t xml:space="preserve"> </w:t>
      </w:r>
      <w:r>
        <w:t xml:space="preserve">in R studios, using the lmerTest function to procure p-values. Log-transformation and mean-centring baseline values were done to control for heteroscedasticity and regression to the mean, respectively. Log-transformed values were reverse-transformed for figure illustration. Values are presented as mean change + 95% CL unless otherwise stated, with the alpha-level set to α = 0.05.</w:t>
      </w:r>
    </w:p>
    <w:bookmarkEnd w:id="30"/>
    <w:bookmarkEnd w:id="31"/>
    <w:bookmarkStart w:id="35" w:name="results"/>
    <w:p>
      <w:pPr>
        <w:pStyle w:val="Heading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 2; Mean change, 2:</w:t>
      </w:r>
      <w:r>
        <w:t xml:space="preserve"> </w:t>
      </w:r>
      <w:r>
        <w:rPr>
          <w:iCs/>
          <w:i/>
        </w:rPr>
        <w:t xml:space="preserve">p</w:t>
      </w:r>
      <w:r>
        <w:t xml:space="preserve"> </w:t>
      </w:r>
      <w:r>
        <w:t xml:space="preserve">= 0.345, 3:</w:t>
      </w:r>
      <w:r>
        <w:t xml:space="preserve"> </w:t>
      </w:r>
      <w:r>
        <w:rPr>
          <w:iCs/>
          <w:i/>
        </w:rPr>
        <w:t xml:space="preserve">p</w:t>
      </w:r>
      <w:r>
        <w:t xml:space="preserve"> </w:t>
      </w:r>
      <w:r>
        <w:t xml:space="preserve">= 0.896, 4:</w:t>
      </w:r>
      <w:r>
        <w:t xml:space="preserve"> </w:t>
      </w:r>
      <w:r>
        <w:rPr>
          <w:iCs/>
          <w:i/>
        </w:rPr>
        <w:t xml:space="preserve">p</w:t>
      </w:r>
      <w:r>
        <w:t xml:space="preserve"> </w:t>
      </w:r>
      <w:r>
        <w:t xml:space="preserve">= 0.683, 5:</w:t>
      </w:r>
      <w:r>
        <w:t xml:space="preserve"> </w:t>
      </w:r>
      <w:r>
        <w:rPr>
          <w:iCs/>
          <w:i/>
        </w:rPr>
        <w:t xml:space="preserve">p</w:t>
      </w:r>
      <w:r>
        <w:t xml:space="preserve"> </w:t>
      </w:r>
      <w:r>
        <w:t xml:space="preserve">= 0.472, 6:</w:t>
      </w:r>
      <w:r>
        <w:t xml:space="preserve"> </w:t>
      </w:r>
      <w:r>
        <w:rPr>
          <w:iCs/>
          <w:i/>
        </w:rPr>
        <w:t xml:space="preserve">p</w:t>
      </w:r>
      <w:r>
        <w:t xml:space="preserve"> </w:t>
      </w:r>
      <w:r>
        <w:t xml:space="preserve">= 0.887). Both exercising with glucose and placebo led to significant increases in mean total training session volume at sessions four, five and six, compared to session 1 (Tab 2; Mean change, 2:</w:t>
      </w:r>
      <w:r>
        <w:t xml:space="preserve"> </w:t>
      </w:r>
      <w:r>
        <w:rPr>
          <w:iCs/>
          <w:i/>
        </w:rPr>
        <w:t xml:space="preserve">p</w:t>
      </w:r>
      <w:r>
        <w:t xml:space="preserve"> </w:t>
      </w:r>
      <w:r>
        <w:t xml:space="preserve">= 0.6568, 3:</w:t>
      </w:r>
      <w:r>
        <w:t xml:space="preserve"> </w:t>
      </w:r>
      <w:r>
        <w:rPr>
          <w:iCs/>
          <w:i/>
        </w:rPr>
        <w:t xml:space="preserve">p</w:t>
      </w:r>
      <w:r>
        <w:t xml:space="preserve"> </w:t>
      </w:r>
      <w:r>
        <w:t xml:space="preserve">= 0.3417, 4:</w:t>
      </w:r>
      <w:r>
        <w:t xml:space="preserve"> </w:t>
      </w:r>
      <w:r>
        <w:rPr>
          <w:iCs/>
          <w:i/>
        </w:rPr>
        <w:t xml:space="preserve">p</w:t>
      </w:r>
      <w:r>
        <w:t xml:space="preserve"> </w:t>
      </w:r>
      <w:r>
        <w:t xml:space="preserve">= 0.008, 5:</w:t>
      </w:r>
      <w:r>
        <w:t xml:space="preserve"> </w:t>
      </w:r>
      <w:r>
        <w:rPr>
          <w:iCs/>
          <w:i/>
        </w:rPr>
        <w:t xml:space="preserve">p</w:t>
      </w:r>
      <w:r>
        <w:t xml:space="preserve"> </w:t>
      </w:r>
      <w:r>
        <w:t xml:space="preserve">= 0.002, 6:</w:t>
      </w:r>
      <w:r>
        <w:t xml:space="preserve"> </w:t>
      </w:r>
      <w:r>
        <w:rPr>
          <w:iCs/>
          <w:i/>
        </w:rPr>
        <w:t xml:space="preserve">p</w:t>
      </w:r>
      <w:r>
        <w:t xml:space="preserve"> </w:t>
      </w:r>
      <w:r>
        <w:t xml:space="preserve">= 0.001). Regarding the dietary data, there were no differences in mean macronutrient intake (protein, fat, carbohydrates) or total calorie intake between glucose and placebo on pairwise consecutive days (</w:t>
      </w:r>
      <w:r>
        <w:rPr>
          <w:iCs/>
          <w:i/>
        </w:rPr>
        <w:t xml:space="preserve">p</w:t>
      </w:r>
      <w:r>
        <w:t xml:space="preserve"> </w:t>
      </w:r>
      <w:r>
        <w:t xml:space="preserve">&gt; 0.05).</w:t>
      </w:r>
    </w:p>
    <w:p>
      <w:pPr>
        <w:pStyle w:val="BodyText"/>
      </w:pPr>
      <w:r>
        <w:t xml:space="preserve">Glucose ingestion before and after RT led to significant increases in plasma levels of glucose by 38% immediately before RT (Fig 1B, 0 min:</w:t>
      </w:r>
      <w:r>
        <w:t xml:space="preserve"> </w:t>
      </w:r>
      <w:r>
        <w:rPr>
          <w:iCs/>
          <w:i/>
        </w:rPr>
        <w:t xml:space="preserve">p</w:t>
      </w:r>
      <w:r>
        <w:t xml:space="preserve"> </w:t>
      </w:r>
      <w:r>
        <w:t xml:space="preserve">= 0.000), by 31% during RT (1B, 15 min:</w:t>
      </w:r>
      <w:r>
        <w:t xml:space="preserve"> </w:t>
      </w:r>
      <w:r>
        <w:rPr>
          <w:iCs/>
          <w:i/>
        </w:rPr>
        <w:t xml:space="preserve">p</w:t>
      </w:r>
      <w:r>
        <w:t xml:space="preserve"> </w:t>
      </w:r>
      <w:r>
        <w:t xml:space="preserve">= 0.000) and by 32% immediately after RT (1B, 30 min:</w:t>
      </w:r>
      <w:r>
        <w:t xml:space="preserve"> </w:t>
      </w:r>
      <w:r>
        <w:rPr>
          <w:iCs/>
          <w:i/>
        </w:rPr>
        <w:t xml:space="preserve">p</w:t>
      </w:r>
      <w:r>
        <w:t xml:space="preserve"> </w:t>
      </w:r>
      <w:r>
        <w:t xml:space="preserve">= 0.000), compared to placebo ingestion before and after RT. Two hours after the session, RT with glucose measured 8% lower plasma glucose levels compared to RT with placebo (1B, 270min:</w:t>
      </w:r>
      <w:r>
        <w:t xml:space="preserve"> </w:t>
      </w:r>
      <w:r>
        <w:rPr>
          <w:iCs/>
          <w:i/>
        </w:rPr>
        <w:t xml:space="preserve">p</w:t>
      </w:r>
      <w:r>
        <w:t xml:space="preserve"> </w:t>
      </w:r>
      <w:r>
        <w:t xml:space="preserve">= 0.029). Similarly, levels of c-peptide increased significantly more in exercises with glucose compared to placebo, by 95% immediately before (Fig 1C, 0 min:</w:t>
      </w:r>
      <w:r>
        <w:t xml:space="preserve"> </w:t>
      </w:r>
      <w:r>
        <w:rPr>
          <w:iCs/>
          <w:i/>
        </w:rPr>
        <w:t xml:space="preserve">p</w:t>
      </w:r>
      <w:r>
        <w:t xml:space="preserve"> </w:t>
      </w:r>
      <w:r>
        <w:t xml:space="preserve">= 0.000) and 87% after RT (1C, 30 min:</w:t>
      </w:r>
      <w:r>
        <w:t xml:space="preserve"> </w:t>
      </w:r>
      <w:r>
        <w:rPr>
          <w:iCs/>
          <w:i/>
        </w:rPr>
        <w:t xml:space="preserve">p</w:t>
      </w:r>
      <w:r>
        <w:t xml:space="preserve"> </w:t>
      </w:r>
      <w:r>
        <w:t xml:space="preserve">= 0.000).</w:t>
      </w:r>
    </w:p>
    <w:p>
      <w:pPr>
        <w:pStyle w:val="BodyText"/>
      </w:pPr>
      <w:r>
        <w:t xml:space="preserve">After 5 RT sessions (Fig 1D, Post 5RT), there was a significant difference in strength between glucose and placebo, where placebo decreased strength by 7% more than glucose (1D,</w:t>
      </w:r>
      <w:r>
        <w:t xml:space="preserve"> </w:t>
      </w:r>
      <w:r>
        <w:rPr>
          <w:iCs/>
          <w:i/>
        </w:rPr>
        <w:t xml:space="preserve">p</w:t>
      </w:r>
      <w:r>
        <w:t xml:space="preserve"> </w:t>
      </w:r>
      <w:r>
        <w:t xml:space="preserve">= 0.039). At the other time points, there were no significant differences in mean change between exercising with glucose and placebo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(1D, 30min post 6RT:</w:t>
      </w:r>
      <w:r>
        <w:t xml:space="preserve"> </w:t>
      </w:r>
      <w:r>
        <w:rPr>
          <w:iCs/>
          <w:i/>
        </w:rPr>
        <w:t xml:space="preserve">p</w:t>
      </w:r>
      <w:r>
        <w:t xml:space="preserve"> </w:t>
      </w:r>
      <w:r>
        <w:t xml:space="preserve">= 0.01) and two hours after the sixth RT session (1D, 2h post 6RT:</w:t>
      </w:r>
      <w:r>
        <w:t xml:space="preserve"> </w:t>
      </w:r>
      <w:r>
        <w:rPr>
          <w:iCs/>
          <w:i/>
        </w:rPr>
        <w:t xml:space="preserve">p</w:t>
      </w:r>
      <w:r>
        <w:t xml:space="preserve"> </w:t>
      </w:r>
      <w:r>
        <w:t xml:space="preserve">= 0.004). Twenty-three hours after the last sixth RT session, strength was unchanged compared to after the fifth RT session (23h post 6RT:</w:t>
      </w:r>
      <w:r>
        <w:t xml:space="preserve"> </w:t>
      </w:r>
      <w:r>
        <w:rPr>
          <w:iCs/>
          <w:i/>
        </w:rPr>
        <w:t xml:space="preserve">p</w:t>
      </w:r>
      <w:r>
        <w:t xml:space="preserve"> </w:t>
      </w:r>
      <w:r>
        <w:t xml:space="preserve">= 0.117).</w:t>
      </w:r>
    </w:p>
    <w:bookmarkStart w:id="34" w:name="markers-of-ribosome-biogenesis"/>
    <w:p>
      <w:pPr>
        <w:pStyle w:val="Heading3"/>
      </w:pPr>
      <w:r>
        <w:t xml:space="preserve">Markers of ribosome biogenesis</w:t>
      </w:r>
    </w:p>
    <w:bookmarkStart w:id="32" w:name="total-rna-and-ribosomal-rna"/>
    <w:p>
      <w:pPr>
        <w:pStyle w:val="Heading5"/>
      </w:pPr>
      <w:r>
        <w:t xml:space="preserve">Total RNA and ribosomal RNA</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0.499)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bookmarkEnd w:id="32"/>
    <w:bookmarkStart w:id="33" w:name="protein"/>
    <w:p>
      <w:pPr>
        <w:pStyle w:val="Heading5"/>
      </w:pPr>
      <w:r>
        <w:t xml:space="preserve">Protein</w:t>
      </w:r>
    </w:p>
    <w:p>
      <w:pPr>
        <w:pStyle w:val="FirstParagraph"/>
      </w:pPr>
      <w:r>
        <w:t xml:space="preserve">Levels of c-Myc increased by 42% more after RT with placebo compared to RT with glucose, a significant difference (Fig 3A:</w:t>
      </w:r>
      <w:r>
        <w:t xml:space="preserve"> </w:t>
      </w:r>
      <w:r>
        <w:rPr>
          <w:iCs/>
          <w:i/>
        </w:rPr>
        <w:t xml:space="preserve">p</w:t>
      </w:r>
      <w:r>
        <w:t xml:space="preserve"> </w:t>
      </w:r>
      <w:r>
        <w:t xml:space="preserve">= 0.027). Levels of UBF and rpS6 increased by 19 and 23% more in placebo compared to glucose, however, this was not a significant difference (Fig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we found a linear relationship between UBF and total RNA, where an increase of 1 SD unit of UBF equated to a 13% increase in total RNA (</w:t>
      </w:r>
      <w:r>
        <w:rPr>
          <w:iCs/>
          <w:i/>
        </w:rPr>
        <w:t xml:space="preserve">p</w:t>
      </w:r>
      <w:r>
        <w:t xml:space="preserve"> </w:t>
      </w:r>
      <w:r>
        <w:t xml:space="preserve">= 0.002).</w:t>
      </w:r>
    </w:p>
    <w:bookmarkEnd w:id="33"/>
    <w:bookmarkEnd w:id="34"/>
    <w:bookmarkEnd w:id="35"/>
    <w:bookmarkStart w:id="36"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and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treatment on rDNA transcription initiation observed in previous</w:t>
      </w:r>
      <w:r>
        <w:t xml:space="preserve"> </w:t>
      </w:r>
      <w:r>
        <w:rPr>
          <w:iCs/>
          <w:i/>
        </w:rPr>
        <w:t xml:space="preserve">in vitro</w:t>
      </w:r>
      <w:r>
        <w:t xml:space="preserve"> </w:t>
      </w:r>
      <w:r>
        <w:t xml:space="preserve">studies</w:t>
      </w:r>
      <w:r>
        <w:t xml:space="preserve"> </w:t>
      </w:r>
      <w:r>
        <w:t xml:space="preserve">(26, 37)</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to.</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 Mariappan and colleagues</w:t>
      </w:r>
      <w:r>
        <w:t xml:space="preserve"> </w:t>
      </w:r>
      <w:r>
        <w:t xml:space="preserve">(26)</w:t>
      </w:r>
      <w:r>
        <w:t xml:space="preserve"> </w:t>
      </w:r>
      <w:r>
        <w:t xml:space="preserve">investigated the effect of high glucose treatment on ribosome biogenesis in glomerular epithelial cells (GECs) from diabetic (type 1 and 2) mice, observing a UBF-dependent augmentation of ribosome biogenesis. In a study from 2015, Tanaka et al.</w:t>
      </w:r>
      <w:r>
        <w:t xml:space="preserve"> </w:t>
      </w:r>
      <w:r>
        <w:t xml:space="preserve">(37)</w:t>
      </w:r>
      <w:r>
        <w:t xml:space="preserve"> </w:t>
      </w:r>
      <w:r>
        <w:t xml:space="preserve">observed that mild glucose starvation reduced rRNA transcription in human breast cancer cells. These findings do imply an important role for glucose in the initiation of rDNA transcription, the rate-limiting step of ribosome biogenesis</w:t>
      </w:r>
      <w:r>
        <w:t xml:space="preserve"> </w:t>
      </w:r>
      <w:r>
        <w:t xml:space="preserve">(26, 37)</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(38)</w:t>
      </w:r>
      <w:r>
        <w:t xml:space="preserve"> </w:t>
      </w:r>
      <w:r>
        <w:t xml:space="preserve">or a short period of RT</w:t>
      </w:r>
      <w:r>
        <w:t xml:space="preserve"> </w:t>
      </w:r>
      <w:r>
        <w:t xml:space="preserve">(5, 28)</w:t>
      </w:r>
      <w:r>
        <w:t xml:space="preserve">. Therefore, we hypothesized that if glucose can, directly or indirectly via insulin, stimulate initiation of rDNA transcription, five sessions of RT with glucose compared to placebo will elicit this effect. Further, glucose ingestion increases energy levels, thus, we also hypothesized that high glucose vs. placebo treatment would stimulate energy-sensitive pathways such as PIH1, mTORC1, ERK1/2, AMPK and SIRT1</w:t>
      </w:r>
      <w:r>
        <w:t xml:space="preserve"> </w:t>
      </w:r>
      <w:r>
        <w:t xml:space="preserve">(26, 27, 37, 39)</w:t>
      </w:r>
      <w:r>
        <w:t xml:space="preserve">. Despite previously reported upregulation in PIC assembly due to high-glucose mediated mTORC1, ERK1/2 and PIH1 or low-glucose mediated AMPK and SIRT1 activation</w:t>
      </w:r>
      <w:r>
        <w:t xml:space="preserve"> </w:t>
      </w:r>
      <w:r>
        <w:t xml:space="preserve">(22, 26, 27, 37, 39)</w:t>
      </w:r>
      <w:r>
        <w:t xml:space="preserve">, the present study showed no signs of such effects of glucose vs. placebo treatment. Resistance training, irrespective of treatment,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(37)</w:t>
      </w:r>
      <w:r>
        <w:t xml:space="preserve"> </w:t>
      </w:r>
      <w:r>
        <w:t xml:space="preserve">and are as such not directly comparable to human skeletal muscle cells. Importantly, previous studies investigated high vs. low glucose treatment</w:t>
      </w:r>
      <w:r>
        <w:t xml:space="preserve"> </w:t>
      </w:r>
      <w:r>
        <w:t xml:space="preserve">(26)</w:t>
      </w:r>
      <w:r>
        <w:t xml:space="preserve">, or high glucose vs. glucose starvation</w:t>
      </w:r>
      <w:r>
        <w:t xml:space="preserve"> </w:t>
      </w:r>
      <w:r>
        <w:t xml:space="preserve">(22, 37)</w:t>
      </w:r>
      <w:r>
        <w:t xml:space="preserve">, while the present study aimed to compare high glucose treatment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upstream binding factor (UBF) and the ribosomal protein S6 (rpS6) further supported observations from the RNA data. UBF has previously been described as a master regulator of rDNA transcription</w:t>
      </w:r>
      <w:r>
        <w:t xml:space="preserve"> </w:t>
      </w:r>
      <w:r>
        <w:rPr>
          <w:iCs/>
          <w:i/>
        </w:rPr>
        <w:t xml:space="preserve">in vitro</w:t>
      </w:r>
      <w:r>
        <w:t xml:space="preserve"> </w:t>
      </w:r>
      <w:r>
        <w:t xml:space="preserve">(14, 16, 40)</w:t>
      </w:r>
      <w:r>
        <w:t xml:space="preserve">, while rpS6 is proposed as a valid and reliable means to measure ribosome biogenesis</w:t>
      </w:r>
      <w:r>
        <w:t xml:space="preserve"> </w:t>
      </w:r>
      <w:r>
        <w:t xml:space="preserve">(41, 42)</w:t>
      </w:r>
      <w:r>
        <w:t xml:space="preserve">. However, content of c-Myc did differ between RT with glucose and RT with placebo, whereas RT with placebo led to significantly higher c-Myc content at the post measurement, compared to glucose. The general transcription factor c-Myc has previously been suggested as a potent regulator of ribosome biogenesis independent of mTORC1, and a direct regulator of UBF</w:t>
      </w:r>
      <w:r>
        <w:t xml:space="preserve"> </w:t>
      </w:r>
      <w:r>
        <w:t xml:space="preserve">(20, 21, 25)</w:t>
      </w:r>
      <w:r>
        <w:t xml:space="preserve">. The independency of mTORC1 may explain why only c-Myc content differed between treatments, while UBF and rpS6 content changed equally. Moreover, the observation that total RNA and rRNA were unaffected by the significant differences in c-Myc content, does strengthen the importance and specificity of UBF content in human skeletal muscle ribosome biogenesis. The linear relationship found exclusively between UBF content and total RNA accumulation, and not c-Myc or rpS6, found in the present study also support this notion.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(26, 43)</w:t>
      </w:r>
      <w:r>
        <w:t xml:space="preserve">, in addition to the previously reported response to hormonal, nutritional, and cellular energy signals</w:t>
      </w:r>
      <w:r>
        <w:t xml:space="preserve"> </w:t>
      </w:r>
      <w:r>
        <w:t xml:space="preserve">(14, 16, 40)</w:t>
      </w:r>
      <w:r>
        <w:t xml:space="preserve">.</w:t>
      </w:r>
    </w:p>
    <w:p>
      <w:pPr>
        <w:pStyle w:val="BodyText"/>
      </w:pPr>
      <w:r>
        <w:t xml:space="preserve">As in the biological data, there was generally no difference in the change of strength as an index between the treatments.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(44)</w:t>
      </w:r>
      <w:r>
        <w:t xml:space="preserve">. In their study on recovery of skeletal muscle contractility after strength exercise, Raastad and Hallén (2000) found a rapid recovery during the initial 11hrs post-exercise, followed by either a levelling off or a drop until 22hrs post-exercise, returning to baseline values at 33hrs post-exercise. Herein, inflammation and phagocytic activity were proposed to be involved in the performance drop between 11-22hrs</w:t>
      </w:r>
      <w:r>
        <w:t xml:space="preserve"> </w:t>
      </w:r>
      <w:r>
        <w:t xml:space="preserve">(44)</w:t>
      </w:r>
      <w:r>
        <w:t xml:space="preserve">. Indeed, this pattern seems quite similar to what was observed in the present study, with a rapid recovery at 30min and 2hrs post-sixth RT session and a drop at 23hrs. Moreover, the strength measurements during the intervention and after five RT sessions were also conducted approximately 23hrs after RT. Thus, it is possible that these strength measurements reflect a biphasic recovery pattern. However, this does not explain the difference between treatments at post-fifth RT session.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in RT with glucose compared to RT with placebo. This may also, at least partly, explain the significantly higher content of the stress-responsive c-Myc in RT with placebo compared to glucose</w:t>
      </w:r>
      <w:r>
        <w:t xml:space="preserve"> </w:t>
      </w:r>
      <w:r>
        <w:t xml:space="preserve">(20, 21, 25)</w:t>
      </w:r>
      <w:r>
        <w:t xml:space="preserve">. However, training volume data do reveal that the total training session volume was equal on pairwise consecutive days, i.e. no difference between days 1-2, days 3-4 and so on. Thus, there were no differences in mechanical loading to induce higher stress in RT with placebo compared to RT with glucose. Arguably, the significantly higher plasma levels of glucose in RT with glucose may have increased energy availability and thus, ATP, resulting in lower metabolic stress and less performance reduction, compared to RT with placebo</w:t>
      </w:r>
      <w:r>
        <w:t xml:space="preserve"> </w:t>
      </w:r>
      <w:r>
        <w:t xml:space="preserve">(45, 46)</w:t>
      </w:r>
      <w:r>
        <w:t xml:space="preserve"> </w:t>
      </w:r>
      <w:r>
        <w:t xml:space="preserve">Unfortunately, we did not conduct measurements of markers of metabolic stress such ass inorganic phosphate, H+, Mg2+ and the ADP/ATP ratio</w:t>
      </w:r>
      <w:r>
        <w:t xml:space="preserve"> </w:t>
      </w:r>
      <w:r>
        <w:t xml:space="preserve">(45, 46)</w:t>
      </w:r>
      <w:r>
        <w:t xml:space="preserve">. Therefore, discussing the potential effect of differences in metabolic stress between treatments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 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36"/>
    <w:bookmarkStart w:id="130" w:name="references"/>
    <w:p>
      <w:pPr>
        <w:pStyle w:val="Heading2"/>
      </w:pPr>
      <w:r>
        <w:t xml:space="preserve">References</w:t>
      </w:r>
    </w:p>
    <w:bookmarkStart w:id="129" w:name="refs"/>
    <w:bookmarkStart w:id="38" w:name="ref-alvarez_interindividual_2018"/>
    <w:p>
      <w:pPr>
        <w:pStyle w:val="Bibliography"/>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37">
        <w:r>
          <w:rPr>
            <w:rStyle w:val="Hyperlink"/>
          </w:rPr>
          <w:t xml:space="preserve">10.1111/sms.13213</w:t>
        </w:r>
      </w:hyperlink>
      <w:r>
        <w:t xml:space="preserve">.</w:t>
      </w:r>
    </w:p>
    <w:bookmarkEnd w:id="38"/>
    <w:bookmarkStart w:id="40" w:name="ref-mann_high_2014"/>
    <w:p>
      <w:pPr>
        <w:pStyle w:val="Bibliography"/>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39">
        <w:r>
          <w:rPr>
            <w:rStyle w:val="Hyperlink"/>
          </w:rPr>
          <w:t xml:space="preserve">10.1007/s40279-014-0197-3</w:t>
        </w:r>
      </w:hyperlink>
      <w:r>
        <w:t xml:space="preserve">.</w:t>
      </w:r>
    </w:p>
    <w:bookmarkEnd w:id="40"/>
    <w:bookmarkStart w:id="42" w:name="ref-thalacker-mercer_cluster_2013"/>
    <w:p>
      <w:pPr>
        <w:pStyle w:val="Bibliography"/>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41">
        <w:r>
          <w:rPr>
            <w:rStyle w:val="Hyperlink"/>
          </w:rPr>
          <w:t xml:space="preserve">10.1152/physiolgenomics.00167.2012</w:t>
        </w:r>
      </w:hyperlink>
      <w:r>
        <w:t xml:space="preserve">.</w:t>
      </w:r>
    </w:p>
    <w:bookmarkEnd w:id="42"/>
    <w:bookmarkStart w:id="44" w:name="ref-figueiredo_genetic_2021"/>
    <w:p>
      <w:pPr>
        <w:pStyle w:val="Bibliography"/>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43">
        <w:r>
          <w:rPr>
            <w:rStyle w:val="Hyperlink"/>
          </w:rPr>
          <w:t xml:space="preserve">10.1113/JP281244</w:t>
        </w:r>
      </w:hyperlink>
      <w:r>
        <w:t xml:space="preserve">.</w:t>
      </w:r>
    </w:p>
    <w:bookmarkEnd w:id="44"/>
    <w:bookmarkStart w:id="46" w:name="ref-hammarstrom_benefits_2020"/>
    <w:p>
      <w:pPr>
        <w:pStyle w:val="Bibliography"/>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45">
        <w:r>
          <w:rPr>
            <w:rStyle w:val="Hyperlink"/>
          </w:rPr>
          <w:t xml:space="preserve">10.1113/JP278455</w:t>
        </w:r>
      </w:hyperlink>
      <w:r>
        <w:t xml:space="preserve">.</w:t>
      </w:r>
    </w:p>
    <w:bookmarkEnd w:id="46"/>
    <w:bookmarkStart w:id="48" w:name="ref-krieger_single_2009"/>
    <w:p>
      <w:pPr>
        <w:pStyle w:val="Bibliography"/>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47">
        <w:r>
          <w:rPr>
            <w:rStyle w:val="Hyperlink"/>
          </w:rPr>
          <w:t xml:space="preserve">10.1519/JSC.0b013e3181b370be</w:t>
        </w:r>
      </w:hyperlink>
      <w:r>
        <w:t xml:space="preserve">.</w:t>
      </w:r>
    </w:p>
    <w:bookmarkEnd w:id="48"/>
    <w:bookmarkStart w:id="50" w:name="ref-schoenfeld_strength_2017"/>
    <w:p>
      <w:pPr>
        <w:pStyle w:val="Bibliography"/>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49">
        <w:r>
          <w:rPr>
            <w:rStyle w:val="Hyperlink"/>
          </w:rPr>
          <w:t xml:space="preserve">10.1519/JSC.0000000000002200</w:t>
        </w:r>
      </w:hyperlink>
      <w:r>
        <w:t xml:space="preserve">.</w:t>
      </w:r>
    </w:p>
    <w:bookmarkEnd w:id="50"/>
    <w:bookmarkStart w:id="52" w:name="ref-cermak_protein_2012"/>
    <w:p>
      <w:pPr>
        <w:pStyle w:val="Bibliography"/>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51">
        <w:r>
          <w:rPr>
            <w:rStyle w:val="Hyperlink"/>
          </w:rPr>
          <w:t xml:space="preserve">10.3945/ajcn.112.037556</w:t>
        </w:r>
      </w:hyperlink>
      <w:r>
        <w:t xml:space="preserve">.</w:t>
      </w:r>
    </w:p>
    <w:bookmarkEnd w:id="52"/>
    <w:bookmarkStart w:id="54" w:name="ref-lanhers_creatine_2015"/>
    <w:p>
      <w:pPr>
        <w:pStyle w:val="Bibliography"/>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53">
        <w:r>
          <w:rPr>
            <w:rStyle w:val="Hyperlink"/>
          </w:rPr>
          <w:t xml:space="preserve">10.1007/s40279-015-0337-4</w:t>
        </w:r>
      </w:hyperlink>
      <w:r>
        <w:t xml:space="preserve">.</w:t>
      </w:r>
    </w:p>
    <w:bookmarkEnd w:id="54"/>
    <w:bookmarkStart w:id="56" w:name="ref-lanhers_creatine_2017"/>
    <w:p>
      <w:pPr>
        <w:pStyle w:val="Bibliography"/>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55">
        <w:r>
          <w:rPr>
            <w:rStyle w:val="Hyperlink"/>
          </w:rPr>
          <w:t xml:space="preserve">10.1007/s40279-016-0571-4</w:t>
        </w:r>
      </w:hyperlink>
      <w:r>
        <w:t xml:space="preserve">.</w:t>
      </w:r>
    </w:p>
    <w:bookmarkEnd w:id="56"/>
    <w:bookmarkStart w:id="58" w:name="ref-morton_systematic_2018"/>
    <w:p>
      <w:pPr>
        <w:pStyle w:val="Bibliography"/>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57">
        <w:r>
          <w:rPr>
            <w:rStyle w:val="Hyperlink"/>
          </w:rPr>
          <w:t xml:space="preserve">10.1136/bjsports-2017-097608</w:t>
        </w:r>
      </w:hyperlink>
      <w:r>
        <w:t xml:space="preserve">.</w:t>
      </w:r>
    </w:p>
    <w:bookmarkEnd w:id="58"/>
    <w:bookmarkStart w:id="60" w:name="ref-mul_exercise_2015"/>
    <w:p>
      <w:pPr>
        <w:pStyle w:val="Bibliography"/>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59">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60"/>
    <w:bookmarkStart w:id="62" w:name="ref-sebata_control_2018"/>
    <w:p>
      <w:pPr>
        <w:pStyle w:val="Bibliography"/>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61">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62"/>
    <w:bookmarkStart w:id="64" w:name="ref-kusnadi_regulation_2015"/>
    <w:p>
      <w:pPr>
        <w:pStyle w:val="Bibliography"/>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63">
        <w:r>
          <w:rPr>
            <w:rStyle w:val="Hyperlink"/>
          </w:rPr>
          <w:t xml:space="preserve">10.1016/j.gene.2014.11.010</w:t>
        </w:r>
      </w:hyperlink>
      <w:r>
        <w:t xml:space="preserve">.</w:t>
      </w:r>
    </w:p>
    <w:bookmarkEnd w:id="64"/>
    <w:bookmarkStart w:id="66" w:name="ref-moss_housekeeper_2007"/>
    <w:p>
      <w:pPr>
        <w:pStyle w:val="Bibliography"/>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65">
        <w:r>
          <w:rPr>
            <w:rStyle w:val="Hyperlink"/>
          </w:rPr>
          <w:t xml:space="preserve">10.1007/s00018-006-6278-1</w:t>
        </w:r>
      </w:hyperlink>
      <w:r>
        <w:t xml:space="preserve">.</w:t>
      </w:r>
    </w:p>
    <w:bookmarkEnd w:id="66"/>
    <w:bookmarkStart w:id="68" w:name="ref-figueiredo_regulation_2019"/>
    <w:p>
      <w:pPr>
        <w:pStyle w:val="Bibliography"/>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67">
        <w:r>
          <w:rPr>
            <w:rStyle w:val="Hyperlink"/>
          </w:rPr>
          <w:t xml:space="preserve">10.1152/physiol.00034.2018</w:t>
        </w:r>
      </w:hyperlink>
      <w:r>
        <w:t xml:space="preserve">.</w:t>
      </w:r>
    </w:p>
    <w:bookmarkEnd w:id="68"/>
    <w:bookmarkStart w:id="70" w:name="ref-stec_ribosome_2016"/>
    <w:p>
      <w:pPr>
        <w:pStyle w:val="Bibliography"/>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69">
        <w:r>
          <w:rPr>
            <w:rStyle w:val="Hyperlink"/>
          </w:rPr>
          <w:t xml:space="preserve">10.1152/ajpendo.00486.2015</w:t>
        </w:r>
      </w:hyperlink>
      <w:r>
        <w:t xml:space="preserve">.</w:t>
      </w:r>
    </w:p>
    <w:bookmarkEnd w:id="70"/>
    <w:bookmarkStart w:id="72" w:name="ref-von_walden_ribosome_2019"/>
    <w:p>
      <w:pPr>
        <w:pStyle w:val="Bibliography"/>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71">
        <w:r>
          <w:rPr>
            <w:rStyle w:val="Hyperlink"/>
          </w:rPr>
          <w:t xml:space="preserve">10.1152/japplphysiol.00963.2018</w:t>
        </w:r>
      </w:hyperlink>
      <w:r>
        <w:t xml:space="preserve">.</w:t>
      </w:r>
    </w:p>
    <w:bookmarkEnd w:id="72"/>
    <w:bookmarkStart w:id="74" w:name="ref-moss_promotion_1995"/>
    <w:p>
      <w:pPr>
        <w:pStyle w:val="Bibliography"/>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73">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74"/>
    <w:bookmarkStart w:id="76" w:name="ref-west_acute_2016"/>
    <w:p>
      <w:pPr>
        <w:pStyle w:val="Bibliography"/>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75">
        <w:r>
          <w:rPr>
            <w:rStyle w:val="Hyperlink"/>
          </w:rPr>
          <w:t xml:space="preserve">10.1113/JP271365</w:t>
        </w:r>
      </w:hyperlink>
      <w:r>
        <w:t xml:space="preserve">.</w:t>
      </w:r>
    </w:p>
    <w:bookmarkEnd w:id="76"/>
    <w:bookmarkStart w:id="78" w:name="ref-mori_c-myc_2021"/>
    <w:p>
      <w:pPr>
        <w:pStyle w:val="Bibliography"/>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77">
        <w:r>
          <w:rPr>
            <w:rStyle w:val="Hyperlink"/>
          </w:rPr>
          <w:t xml:space="preserve">10.1152/ajpendo.00164.2021</w:t>
        </w:r>
      </w:hyperlink>
      <w:r>
        <w:t xml:space="preserve">.</w:t>
      </w:r>
    </w:p>
    <w:bookmarkEnd w:id="78"/>
    <w:bookmarkStart w:id="80" w:name="ref-hoppe_amp-activated_2009"/>
    <w:p>
      <w:pPr>
        <w:pStyle w:val="Bibliography"/>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79">
        <w:r>
          <w:rPr>
            <w:rStyle w:val="Hyperlink"/>
          </w:rPr>
          <w:t xml:space="preserve">10.1073/pnas.0909873106</w:t>
        </w:r>
      </w:hyperlink>
      <w:r>
        <w:t xml:space="preserve">.</w:t>
      </w:r>
    </w:p>
    <w:bookmarkEnd w:id="80"/>
    <w:bookmarkStart w:id="82" w:name="ref-hillier_physiological_2000"/>
    <w:p>
      <w:pPr>
        <w:pStyle w:val="Bibliography"/>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81">
        <w:r>
          <w:rPr>
            <w:rStyle w:val="Hyperlink"/>
          </w:rPr>
          <w:t xml:space="preserve">10.1210/jcem.85.12.7036</w:t>
        </w:r>
      </w:hyperlink>
      <w:r>
        <w:t xml:space="preserve">.</w:t>
      </w:r>
    </w:p>
    <w:bookmarkEnd w:id="82"/>
    <w:bookmarkStart w:id="84" w:name="ref-sanij_ubf_2008"/>
    <w:p>
      <w:pPr>
        <w:pStyle w:val="Bibliography"/>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83">
        <w:r>
          <w:rPr>
            <w:rStyle w:val="Hyperlink"/>
          </w:rPr>
          <w:t xml:space="preserve">10.1083/jcb.200805146</w:t>
        </w:r>
      </w:hyperlink>
      <w:r>
        <w:t xml:space="preserve">.</w:t>
      </w:r>
    </w:p>
    <w:bookmarkEnd w:id="84"/>
    <w:bookmarkStart w:id="86" w:name="ref-poortinga_c-myc_2011"/>
    <w:p>
      <w:pPr>
        <w:pStyle w:val="Bibliography"/>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85">
        <w:r>
          <w:rPr>
            <w:rStyle w:val="Hyperlink"/>
          </w:rPr>
          <w:t xml:space="preserve">10.1093/nar/gkq1205</w:t>
        </w:r>
      </w:hyperlink>
      <w:r>
        <w:t xml:space="preserve">.</w:t>
      </w:r>
    </w:p>
    <w:bookmarkEnd w:id="86"/>
    <w:bookmarkStart w:id="88" w:name="ref-mariappan_ribosomal_2011"/>
    <w:p>
      <w:pPr>
        <w:pStyle w:val="Bibliography"/>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87">
        <w:r>
          <w:rPr>
            <w:rStyle w:val="Hyperlink"/>
          </w:rPr>
          <w:t xml:space="preserve">10.1152/ajprenal.00207.2010</w:t>
        </w:r>
      </w:hyperlink>
      <w:r>
        <w:t xml:space="preserve">.</w:t>
      </w:r>
    </w:p>
    <w:bookmarkEnd w:id="88"/>
    <w:bookmarkStart w:id="90" w:name="ref-zhai_human_2012"/>
    <w:p>
      <w:pPr>
        <w:pStyle w:val="Bibliography"/>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89">
        <w:r>
          <w:rPr>
            <w:rStyle w:val="Hyperlink"/>
          </w:rPr>
          <w:t xml:space="preserve">10.1093/jmcb/mjs003</w:t>
        </w:r>
      </w:hyperlink>
      <w:r>
        <w:t xml:space="preserve">.</w:t>
      </w:r>
    </w:p>
    <w:bookmarkEnd w:id="90"/>
    <w:bookmarkStart w:id="92" w:name="ref-hammarstrom_ribosome_2022"/>
    <w:p>
      <w:pPr>
        <w:pStyle w:val="Bibliography"/>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91">
        <w:r>
          <w:rPr>
            <w:rStyle w:val="Hyperlink"/>
          </w:rPr>
          <w:t xml:space="preserve">10.1111/apha.13806</w:t>
        </w:r>
      </w:hyperlink>
      <w:r>
        <w:t xml:space="preserve">.</w:t>
      </w:r>
    </w:p>
    <w:bookmarkEnd w:id="92"/>
    <w:bookmarkStart w:id="94" w:name="ref-figueiredo_revisiting_2019"/>
    <w:p>
      <w:pPr>
        <w:pStyle w:val="Bibliography"/>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93">
        <w:r>
          <w:rPr>
            <w:rStyle w:val="Hyperlink"/>
          </w:rPr>
          <w:t xml:space="preserve">10.1152/ajpregu.00162.2019</w:t>
        </w:r>
      </w:hyperlink>
      <w:r>
        <w:t xml:space="preserve">.</w:t>
      </w:r>
    </w:p>
    <w:bookmarkEnd w:id="94"/>
    <w:bookmarkStart w:id="96" w:name="ref-ellefsen_improved_2008"/>
    <w:p>
      <w:pPr>
        <w:pStyle w:val="Bibliography"/>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95">
        <w:r>
          <w:rPr>
            <w:rStyle w:val="Hyperlink"/>
          </w:rPr>
          <w:t xml:space="preserve">10.1016/j.ab.2008.01.028</w:t>
        </w:r>
      </w:hyperlink>
      <w:r>
        <w:t xml:space="preserve">.</w:t>
      </w:r>
    </w:p>
    <w:bookmarkEnd w:id="96"/>
    <w:bookmarkStart w:id="98" w:name="ref-ellefsen_reliable_2014"/>
    <w:p>
      <w:pPr>
        <w:pStyle w:val="Bibliography"/>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97">
        <w:r>
          <w:rPr>
            <w:rStyle w:val="Hyperlink"/>
          </w:rPr>
          <w:t xml:space="preserve">10.1111/sms.12185</w:t>
        </w:r>
      </w:hyperlink>
      <w:r>
        <w:t xml:space="preserve">.</w:t>
      </w:r>
    </w:p>
    <w:bookmarkEnd w:id="98"/>
    <w:bookmarkStart w:id="100" w:name="ref-ritz_qpcr_2008"/>
    <w:p>
      <w:pPr>
        <w:pStyle w:val="Bibliography"/>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99">
        <w:r>
          <w:rPr>
            <w:rStyle w:val="Hyperlink"/>
          </w:rPr>
          <w:t xml:space="preserve">10.1093/bioinformatics/btn227</w:t>
        </w:r>
      </w:hyperlink>
      <w:r>
        <w:t xml:space="preserve">.</w:t>
      </w:r>
    </w:p>
    <w:bookmarkEnd w:id="100"/>
    <w:bookmarkStart w:id="102" w:name="ref-Rcore"/>
    <w:p>
      <w:pPr>
        <w:pStyle w:val="Bibliography"/>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01">
        <w:r>
          <w:rPr>
            <w:rStyle w:val="Hyperlink"/>
          </w:rPr>
          <w:t xml:space="preserve">https://www.R-project.org/</w:t>
        </w:r>
      </w:hyperlink>
      <w:r>
        <w:t xml:space="preserve">.</w:t>
      </w:r>
    </w:p>
    <w:bookmarkEnd w:id="102"/>
    <w:bookmarkStart w:id="104" w:name="ref-rueden_imagej2_2017"/>
    <w:p>
      <w:pPr>
        <w:pStyle w:val="Bibliography"/>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03">
        <w:r>
          <w:rPr>
            <w:rStyle w:val="Hyperlink"/>
          </w:rPr>
          <w:t xml:space="preserve">10.1186/s12859-017-1934-z</w:t>
        </w:r>
      </w:hyperlink>
      <w:r>
        <w:t xml:space="preserve">.</w:t>
      </w:r>
    </w:p>
    <w:bookmarkEnd w:id="104"/>
    <w:bookmarkStart w:id="106" w:name="ref-lindstrom_nonlinear_1990"/>
    <w:p>
      <w:pPr>
        <w:pStyle w:val="Bibliography"/>
      </w:pPr>
      <w:r>
        <w:t xml:space="preserve">35.</w:t>
      </w:r>
      <w:r>
        <w:t xml:space="preserve"> </w:t>
      </w:r>
      <w:r>
        <w:t xml:space="preserve">	</w:t>
      </w:r>
      <w:r>
        <w:rPr>
          <w:bCs/>
          <w:b/>
        </w:rPr>
        <w:t xml:space="preserve">Lindstrom ML</w:t>
      </w:r>
      <w:r>
        <w:t xml:space="preserve">,</w:t>
      </w:r>
      <w:r>
        <w:t xml:space="preserve"> </w:t>
      </w:r>
      <w:r>
        <w:rPr>
          <w:bCs/>
          <w:b/>
        </w:rPr>
        <w:t xml:space="preserve">Bates DM</w:t>
      </w:r>
      <w:r>
        <w:t xml:space="preserve">.</w:t>
      </w:r>
      <w:r>
        <w:t xml:space="preserve"> </w:t>
      </w:r>
      <w:hyperlink r:id="rId105">
        <w:r>
          <w:rPr>
            <w:rStyle w:val="Hyperlink"/>
          </w:rPr>
          <w:t xml:space="preserve">Nonlinear mixed effects models for repeated measures data</w:t>
        </w:r>
      </w:hyperlink>
      <w:r>
        <w:t xml:space="preserve">.</w:t>
      </w:r>
      <w:r>
        <w:t xml:space="preserve"> </w:t>
      </w:r>
      <w:r>
        <w:rPr>
          <w:iCs/>
          <w:i/>
        </w:rPr>
        <w:t xml:space="preserve">Biometrics</w:t>
      </w:r>
      <w:r>
        <w:t xml:space="preserve"> </w:t>
      </w:r>
      <w:r>
        <w:t xml:space="preserve">46: 673–687, 1990.</w:t>
      </w:r>
    </w:p>
    <w:bookmarkEnd w:id="106"/>
    <w:bookmarkStart w:id="108" w:name="ref-bates_fitting_2014"/>
    <w:p>
      <w:pPr>
        <w:pStyle w:val="Bibliography"/>
      </w:pPr>
      <w:r>
        <w:t xml:space="preserve">36.</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07">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 lme4</w:t>
        </w:r>
      </w:hyperlink>
      <w:r>
        <w:t xml:space="preserve">.</w:t>
      </w:r>
    </w:p>
    <w:bookmarkEnd w:id="108"/>
    <w:bookmarkStart w:id="110" w:name="ref-tanaka_mild_2015"/>
    <w:p>
      <w:pPr>
        <w:pStyle w:val="Bibliography"/>
      </w:pPr>
      <w:r>
        <w:t xml:space="preserve">37.</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09">
        <w:r>
          <w:rPr>
            <w:rStyle w:val="Hyperlink"/>
          </w:rPr>
          <w:t xml:space="preserve">10.1128/MCB.00579-15</w:t>
        </w:r>
      </w:hyperlink>
      <w:r>
        <w:t xml:space="preserve">.</w:t>
      </w:r>
    </w:p>
    <w:bookmarkEnd w:id="110"/>
    <w:bookmarkStart w:id="112" w:name="ref-figueiredo_impact_2016"/>
    <w:p>
      <w:pPr>
        <w:pStyle w:val="Bibliography"/>
      </w:pPr>
      <w:r>
        <w:t xml:space="preserve">38.</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11">
        <w:r>
          <w:rPr>
            <w:rStyle w:val="Hyperlink"/>
          </w:rPr>
          <w:t xml:space="preserve">10.14814/phy2.12670</w:t>
        </w:r>
      </w:hyperlink>
      <w:r>
        <w:t xml:space="preserve">.</w:t>
      </w:r>
    </w:p>
    <w:bookmarkEnd w:id="112"/>
    <w:bookmarkStart w:id="114" w:name="ref-kim_nutrient_2013"/>
    <w:p>
      <w:pPr>
        <w:pStyle w:val="Bibliography"/>
      </w:pPr>
      <w:r>
        <w:t xml:space="preserve">39.</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13">
        <w:r>
          <w:rPr>
            <w:rStyle w:val="Hyperlink"/>
          </w:rPr>
          <w:t xml:space="preserve">10.1007/s10059-013-0138-2</w:t>
        </w:r>
      </w:hyperlink>
      <w:r>
        <w:t xml:space="preserve">.</w:t>
      </w:r>
    </w:p>
    <w:bookmarkEnd w:id="114"/>
    <w:bookmarkStart w:id="116" w:name="Xed01d12bc1658ef91a78078e882e81108dc2147"/>
    <w:p>
      <w:pPr>
        <w:pStyle w:val="Bibliography"/>
      </w:pPr>
      <w:r>
        <w:t xml:space="preserve">40.</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15">
        <w:r>
          <w:rPr>
            <w:rStyle w:val="Hyperlink"/>
          </w:rPr>
          <w:t xml:space="preserve">10.1016/j.tibs.2004.12.008</w:t>
        </w:r>
      </w:hyperlink>
      <w:r>
        <w:t xml:space="preserve">.</w:t>
      </w:r>
    </w:p>
    <w:bookmarkEnd w:id="116"/>
    <w:bookmarkStart w:id="118" w:name="ref-chaillou_hypoxia_2012"/>
    <w:p>
      <w:pPr>
        <w:pStyle w:val="Bibliography"/>
      </w:pPr>
      <w:r>
        <w:t xml:space="preserve">41.</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17">
        <w:r>
          <w:rPr>
            <w:rStyle w:val="Hyperlink"/>
          </w:rPr>
          <w:t xml:space="preserve">10.1152/ajpregu.00262.2011</w:t>
        </w:r>
      </w:hyperlink>
      <w:r>
        <w:t xml:space="preserve">.</w:t>
      </w:r>
    </w:p>
    <w:bookmarkEnd w:id="118"/>
    <w:bookmarkStart w:id="120" w:name="ref-nakada_correlation_2016"/>
    <w:p>
      <w:pPr>
        <w:pStyle w:val="Bibliography"/>
      </w:pPr>
      <w:r>
        <w:t xml:space="preserve">42.</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19">
        <w:r>
          <w:rPr>
            <w:rStyle w:val="Hyperlink"/>
          </w:rPr>
          <w:t xml:space="preserve">10.1371/journal.pone.0147284</w:t>
        </w:r>
      </w:hyperlink>
      <w:r>
        <w:t xml:space="preserve">.</w:t>
      </w:r>
    </w:p>
    <w:bookmarkEnd w:id="120"/>
    <w:bookmarkStart w:id="122" w:name="ref-von_walden_mechanical_2012"/>
    <w:p>
      <w:pPr>
        <w:pStyle w:val="Bibliography"/>
      </w:pPr>
      <w:r>
        <w:t xml:space="preserve">43.</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21">
        <w:r>
          <w:rPr>
            <w:rStyle w:val="Hyperlink"/>
          </w:rPr>
          <w:t xml:space="preserve">10.1152/ajpcell.00460.2011</w:t>
        </w:r>
      </w:hyperlink>
      <w:r>
        <w:t xml:space="preserve">.</w:t>
      </w:r>
    </w:p>
    <w:bookmarkEnd w:id="122"/>
    <w:bookmarkStart w:id="124" w:name="ref-raastad_recovery_2000"/>
    <w:p>
      <w:pPr>
        <w:pStyle w:val="Bibliography"/>
      </w:pPr>
      <w:r>
        <w:t xml:space="preserve">44.</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23">
        <w:r>
          <w:rPr>
            <w:rStyle w:val="Hyperlink"/>
          </w:rPr>
          <w:t xml:space="preserve">10.1007/s004210050673</w:t>
        </w:r>
      </w:hyperlink>
      <w:r>
        <w:t xml:space="preserve">.</w:t>
      </w:r>
    </w:p>
    <w:bookmarkEnd w:id="124"/>
    <w:bookmarkStart w:id="126" w:name="ref-westerblad_mechanisms_1998"/>
    <w:p>
      <w:pPr>
        <w:pStyle w:val="Bibliography"/>
      </w:pPr>
      <w:r>
        <w:t xml:space="preserve">45.</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25">
        <w:r>
          <w:rPr>
            <w:rStyle w:val="Hyperlink"/>
          </w:rPr>
          <w:t xml:space="preserve">10.1046/j.1365-201X.1998.0301f.x</w:t>
        </w:r>
      </w:hyperlink>
      <w:r>
        <w:t xml:space="preserve">.</w:t>
      </w:r>
    </w:p>
    <w:bookmarkEnd w:id="126"/>
    <w:bookmarkStart w:id="128" w:name="ref-kent-braun_central_1999"/>
    <w:p>
      <w:pPr>
        <w:pStyle w:val="Bibliography"/>
      </w:pPr>
      <w:r>
        <w:t xml:space="preserve">46.</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27">
        <w:r>
          <w:rPr>
            <w:rStyle w:val="Hyperlink"/>
          </w:rPr>
          <w:t xml:space="preserve">10.1007/s004210050558</w:t>
        </w:r>
      </w:hyperlink>
      <w:r>
        <w:t xml:space="preserve">.</w:t>
      </w:r>
    </w:p>
    <w:bookmarkEnd w:id="128"/>
    <w:bookmarkEnd w:id="129"/>
    <w:bookmarkEnd w:id="130"/>
    <w:bookmarkStart w:id="131" w:name="figuretable-text"/>
    <w:p>
      <w:pPr>
        <w:pStyle w:val="Heading2"/>
      </w:pPr>
      <w:r>
        <w:t xml:space="preserve">Figure/table text</w:t>
      </w:r>
    </w:p>
    <w:p>
      <w:pPr>
        <w:pStyle w:val="FirstParagraph"/>
      </w:pPr>
      <w:r>
        <w:rPr>
          <w:bCs/>
          <w:b/>
        </w:rPr>
        <w:t xml:space="preserve">Table 1:</w:t>
      </w:r>
      <w:r>
        <w:t xml:space="preserve"> </w:t>
      </w:r>
      <w:r>
        <w:t xml:space="preserve">Baseline characteristics. Age = mean age in years, Height = mean height in cm, Weight and Lean mass = mean in kg, Iso 60/240 = mean unilateral isokinetic knee extension peak torque in Nm at 60 d/s and 240 d/s, Isom = mean unilateral isometric knee extension peak torque in Nm.</w:t>
      </w:r>
    </w:p>
    <w:p>
      <w:pPr>
        <w:pStyle w:val="BodyText"/>
      </w:pPr>
      <w:r>
        <w:rPr>
          <w:bCs/>
          <w:b/>
        </w:rPr>
        <w:t xml:space="preserve">Table 2:</w:t>
      </w:r>
      <w:r>
        <w:t xml:space="preserve"> </w:t>
      </w:r>
      <w:r>
        <w:t xml:space="preserve">Mean total session volume and mean change in total session volume from session 1 to session 6.</w:t>
      </w:r>
    </w:p>
    <w:p>
      <w:pPr>
        <w:pStyle w:val="BodyText"/>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i.e.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31"/>
    <w:sectPr w:rsidR="000F3310">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5437902" w:numId="1">
    <w:abstractNumId w:val="10"/>
  </w:num>
  <w:num w16cid:durableId="607666411" w:numId="2">
    <w:abstractNumId w:val="9"/>
  </w:num>
  <w:num w16cid:durableId="102379954" w:numId="3">
    <w:abstractNumId w:val="7"/>
  </w:num>
  <w:num w16cid:durableId="53741325" w:numId="4">
    <w:abstractNumId w:val="6"/>
  </w:num>
  <w:num w16cid:durableId="681321137" w:numId="5">
    <w:abstractNumId w:val="5"/>
  </w:num>
  <w:num w16cid:durableId="1457869183" w:numId="6">
    <w:abstractNumId w:val="4"/>
  </w:num>
  <w:num w16cid:durableId="1475103565" w:numId="7">
    <w:abstractNumId w:val="8"/>
  </w:num>
  <w:num w16cid:durableId="330257052" w:numId="8">
    <w:abstractNumId w:val="3"/>
  </w:num>
  <w:num w16cid:durableId="1324433373" w:numId="9">
    <w:abstractNumId w:val="2"/>
  </w:num>
  <w:num w16cid:durableId="2056617089" w:numId="10">
    <w:abstractNumId w:val="1"/>
  </w:num>
  <w:num w16cid:durableId="136428087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5241"/>
    <w:pPr>
      <w:spacing w:after="180" w:before="180"/>
    </w:pPr>
    <w:rPr>
      <w:rFonts w:ascii="Times New Roman" w:hAnsi="Times New Roman"/>
    </w:rPr>
  </w:style>
  <w:style w:customStyle="1" w:styleId="FirstParagraph" w:type="paragraph">
    <w:name w:val="First Paragraph"/>
    <w:basedOn w:val="BodyText"/>
    <w:next w:val="BodyText"/>
    <w:qFormat/>
    <w:rsid w:val="00F447F4"/>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447F4"/>
    <w:pPr>
      <w:keepNext/>
      <w:keepLines/>
      <w:jc w:val="center"/>
    </w:pPr>
    <w:rPr>
      <w:rFonts w:ascii="Times New Roman" w:hAnsi="Times New Roman"/>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652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00018-006-6278-1" TargetMode="External" /><Relationship Type="http://schemas.openxmlformats.org/officeDocument/2006/relationships/hyperlink" Id="rId127" Target="https://doi.org/10.1007/s004210050558" TargetMode="External" /><Relationship Type="http://schemas.openxmlformats.org/officeDocument/2006/relationships/hyperlink" Id="rId123" Target="https://doi.org/10.1007/s004210050673" TargetMode="External" /><Relationship Type="http://schemas.openxmlformats.org/officeDocument/2006/relationships/hyperlink" Id="rId113" Target="https://doi.org/10.1007/s10059-013-0138-2" TargetMode="External" /><Relationship Type="http://schemas.openxmlformats.org/officeDocument/2006/relationships/hyperlink" Id="rId39" Target="https://doi.org/10.1007/s40279-014-0197-3" TargetMode="External" /><Relationship Type="http://schemas.openxmlformats.org/officeDocument/2006/relationships/hyperlink" Id="rId53" Target="https://doi.org/10.1007/s40279-015-0337-4" TargetMode="External" /><Relationship Type="http://schemas.openxmlformats.org/officeDocument/2006/relationships/hyperlink" Id="rId55" Target="https://doi.org/10.1007/s40279-016-0571-4" TargetMode="External" /><Relationship Type="http://schemas.openxmlformats.org/officeDocument/2006/relationships/hyperlink" Id="rId73" Target="https://doi.org/10.1016/S0079-6603(08)60810-7" TargetMode="External" /><Relationship Type="http://schemas.openxmlformats.org/officeDocument/2006/relationships/hyperlink" Id="rId59" Target="https://doi.org/10.1016/bs.pmbts.2015.07.020" TargetMode="External" /><Relationship Type="http://schemas.openxmlformats.org/officeDocument/2006/relationships/hyperlink" Id="rId95" Target="https://doi.org/10.1016/j.ab.2008.01.028" TargetMode="External" /><Relationship Type="http://schemas.openxmlformats.org/officeDocument/2006/relationships/hyperlink" Id="rId63" Target="https://doi.org/10.1016/j.gene.2014.11.010" TargetMode="External" /><Relationship Type="http://schemas.openxmlformats.org/officeDocument/2006/relationships/hyperlink" Id="rId115" Target="https://doi.org/10.1016/j.tibs.2004.12.008" TargetMode="External" /><Relationship Type="http://schemas.openxmlformats.org/officeDocument/2006/relationships/hyperlink" Id="rId125" Target="https://doi.org/10.1046/j.1365-201X.1998.0301f.x" TargetMode="External" /><Relationship Type="http://schemas.openxmlformats.org/officeDocument/2006/relationships/hyperlink" Id="rId79" Target="https://doi.org/10.1073/pnas.0909873106" TargetMode="External" /><Relationship Type="http://schemas.openxmlformats.org/officeDocument/2006/relationships/hyperlink" Id="rId83" Target="https://doi.org/10.1083/jcb.200805146" TargetMode="External" /><Relationship Type="http://schemas.openxmlformats.org/officeDocument/2006/relationships/hyperlink" Id="rId99" Target="https://doi.org/10.1093/bioinformatics/btn227" TargetMode="External" /><Relationship Type="http://schemas.openxmlformats.org/officeDocument/2006/relationships/hyperlink" Id="rId89" Target="https://doi.org/10.1093/jmcb/mjs003" TargetMode="External" /><Relationship Type="http://schemas.openxmlformats.org/officeDocument/2006/relationships/hyperlink" Id="rId85" Target="https://doi.org/10.1093/nar/gkq1205" TargetMode="External" /><Relationship Type="http://schemas.openxmlformats.org/officeDocument/2006/relationships/hyperlink" Id="rId91" Target="https://doi.org/10.1111/apha.13806" TargetMode="External" /><Relationship Type="http://schemas.openxmlformats.org/officeDocument/2006/relationships/hyperlink" Id="rId97" Target="https://doi.org/10.1111/sms.12185" TargetMode="External" /><Relationship Type="http://schemas.openxmlformats.org/officeDocument/2006/relationships/hyperlink" Id="rId37" Target="https://doi.org/10.1111/sms.13213" TargetMode="External" /><Relationship Type="http://schemas.openxmlformats.org/officeDocument/2006/relationships/hyperlink" Id="rId75" Target="https://doi.org/10.1113/JP271365" TargetMode="External" /><Relationship Type="http://schemas.openxmlformats.org/officeDocument/2006/relationships/hyperlink" Id="rId45" Target="https://doi.org/10.1113/JP278455" TargetMode="External" /><Relationship Type="http://schemas.openxmlformats.org/officeDocument/2006/relationships/hyperlink" Id="rId43" Target="https://doi.org/10.1113/JP281244" TargetMode="External" /><Relationship Type="http://schemas.openxmlformats.org/officeDocument/2006/relationships/hyperlink" Id="rId109" Target="https://doi.org/10.1128/MCB.00579-15" TargetMode="External" /><Relationship Type="http://schemas.openxmlformats.org/officeDocument/2006/relationships/hyperlink" Id="rId57" Target="https://doi.org/10.1136/bjsports-2017-097608" TargetMode="External" /><Relationship Type="http://schemas.openxmlformats.org/officeDocument/2006/relationships/hyperlink" Id="rId121" Target="https://doi.org/10.1152/ajpcell.00460.2011" TargetMode="External" /><Relationship Type="http://schemas.openxmlformats.org/officeDocument/2006/relationships/hyperlink" Id="rId77" Target="https://doi.org/10.1152/ajpendo.00164.2021" TargetMode="External" /><Relationship Type="http://schemas.openxmlformats.org/officeDocument/2006/relationships/hyperlink" Id="rId69" Target="https://doi.org/10.1152/ajpendo.00486.2015" TargetMode="External" /><Relationship Type="http://schemas.openxmlformats.org/officeDocument/2006/relationships/hyperlink" Id="rId93" Target="https://doi.org/10.1152/ajpregu.00162.2019" TargetMode="External" /><Relationship Type="http://schemas.openxmlformats.org/officeDocument/2006/relationships/hyperlink" Id="rId117" Target="https://doi.org/10.1152/ajpregu.00262.2011" TargetMode="External" /><Relationship Type="http://schemas.openxmlformats.org/officeDocument/2006/relationships/hyperlink" Id="rId87" Target="https://doi.org/10.1152/ajprenal.00207.2010" TargetMode="External" /><Relationship Type="http://schemas.openxmlformats.org/officeDocument/2006/relationships/hyperlink" Id="rId71" Target="https://doi.org/10.1152/japplphysiol.00963.2018" TargetMode="External" /><Relationship Type="http://schemas.openxmlformats.org/officeDocument/2006/relationships/hyperlink" Id="rId67" Target="https://doi.org/10.1152/physiol.00034.2018" TargetMode="External" /><Relationship Type="http://schemas.openxmlformats.org/officeDocument/2006/relationships/hyperlink" Id="rId41" Target="https://doi.org/10.1152/physiolgenomics.00167.2012" TargetMode="External" /><Relationship Type="http://schemas.openxmlformats.org/officeDocument/2006/relationships/hyperlink" Id="rId103" Target="https://doi.org/10.1186/s12859-017-1934-z" TargetMode="External" /><Relationship Type="http://schemas.openxmlformats.org/officeDocument/2006/relationships/hyperlink" Id="rId81" Target="https://doi.org/10.1210/jcem.85.12.7036" TargetMode="External" /><Relationship Type="http://schemas.openxmlformats.org/officeDocument/2006/relationships/hyperlink" Id="rId119" Target="https://doi.org/10.1371/journal.pone.0147284" TargetMode="External" /><Relationship Type="http://schemas.openxmlformats.org/officeDocument/2006/relationships/hyperlink" Id="rId111" Target="https://doi.org/10.14814/phy2.12670" TargetMode="External" /><Relationship Type="http://schemas.openxmlformats.org/officeDocument/2006/relationships/hyperlink" Id="rId49" Target="https://doi.org/10.1519/JSC.0000000000002200" TargetMode="External" /><Relationship Type="http://schemas.openxmlformats.org/officeDocument/2006/relationships/hyperlink" Id="rId47" Target="https://doi.org/10.1519/JSC.0b013e3181b370be" TargetMode="External" /><Relationship Type="http://schemas.openxmlformats.org/officeDocument/2006/relationships/hyperlink" Id="rId51" Target="https://doi.org/10.3945/ajcn.112.037556" TargetMode="External" /><Relationship Type="http://schemas.openxmlformats.org/officeDocument/2006/relationships/hyperlink" Id="rId107" Target="https://doi.org/10.48550/ARXIV.1406.5823" TargetMode="External" /><Relationship Type="http://schemas.openxmlformats.org/officeDocument/2006/relationships/hyperlink" Id="rId61" Target="https://doi.org/10.5772/intechopen.71866" TargetMode="External" /><Relationship Type="http://schemas.openxmlformats.org/officeDocument/2006/relationships/hyperlink" Id="rId101" Target="https://www.R-project.org/" TargetMode="External" /><Relationship Type="http://schemas.openxmlformats.org/officeDocument/2006/relationships/hyperlink" Id="rId105" Target="https://www.ncbi.nlm.nih.gov/pubmed/2242409"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00018-006-6278-1" TargetMode="External" /><Relationship Type="http://schemas.openxmlformats.org/officeDocument/2006/relationships/hyperlink" Id="rId127" Target="https://doi.org/10.1007/s004210050558" TargetMode="External" /><Relationship Type="http://schemas.openxmlformats.org/officeDocument/2006/relationships/hyperlink" Id="rId123" Target="https://doi.org/10.1007/s004210050673" TargetMode="External" /><Relationship Type="http://schemas.openxmlformats.org/officeDocument/2006/relationships/hyperlink" Id="rId113" Target="https://doi.org/10.1007/s10059-013-0138-2" TargetMode="External" /><Relationship Type="http://schemas.openxmlformats.org/officeDocument/2006/relationships/hyperlink" Id="rId39" Target="https://doi.org/10.1007/s40279-014-0197-3" TargetMode="External" /><Relationship Type="http://schemas.openxmlformats.org/officeDocument/2006/relationships/hyperlink" Id="rId53" Target="https://doi.org/10.1007/s40279-015-0337-4" TargetMode="External" /><Relationship Type="http://schemas.openxmlformats.org/officeDocument/2006/relationships/hyperlink" Id="rId55" Target="https://doi.org/10.1007/s40279-016-0571-4" TargetMode="External" /><Relationship Type="http://schemas.openxmlformats.org/officeDocument/2006/relationships/hyperlink" Id="rId73" Target="https://doi.org/10.1016/S0079-6603(08)60810-7" TargetMode="External" /><Relationship Type="http://schemas.openxmlformats.org/officeDocument/2006/relationships/hyperlink" Id="rId59" Target="https://doi.org/10.1016/bs.pmbts.2015.07.020" TargetMode="External" /><Relationship Type="http://schemas.openxmlformats.org/officeDocument/2006/relationships/hyperlink" Id="rId95" Target="https://doi.org/10.1016/j.ab.2008.01.028" TargetMode="External" /><Relationship Type="http://schemas.openxmlformats.org/officeDocument/2006/relationships/hyperlink" Id="rId63" Target="https://doi.org/10.1016/j.gene.2014.11.010" TargetMode="External" /><Relationship Type="http://schemas.openxmlformats.org/officeDocument/2006/relationships/hyperlink" Id="rId115" Target="https://doi.org/10.1016/j.tibs.2004.12.008" TargetMode="External" /><Relationship Type="http://schemas.openxmlformats.org/officeDocument/2006/relationships/hyperlink" Id="rId125" Target="https://doi.org/10.1046/j.1365-201X.1998.0301f.x" TargetMode="External" /><Relationship Type="http://schemas.openxmlformats.org/officeDocument/2006/relationships/hyperlink" Id="rId79" Target="https://doi.org/10.1073/pnas.0909873106" TargetMode="External" /><Relationship Type="http://schemas.openxmlformats.org/officeDocument/2006/relationships/hyperlink" Id="rId83" Target="https://doi.org/10.1083/jcb.200805146" TargetMode="External" /><Relationship Type="http://schemas.openxmlformats.org/officeDocument/2006/relationships/hyperlink" Id="rId99" Target="https://doi.org/10.1093/bioinformatics/btn227" TargetMode="External" /><Relationship Type="http://schemas.openxmlformats.org/officeDocument/2006/relationships/hyperlink" Id="rId89" Target="https://doi.org/10.1093/jmcb/mjs003" TargetMode="External" /><Relationship Type="http://schemas.openxmlformats.org/officeDocument/2006/relationships/hyperlink" Id="rId85" Target="https://doi.org/10.1093/nar/gkq1205" TargetMode="External" /><Relationship Type="http://schemas.openxmlformats.org/officeDocument/2006/relationships/hyperlink" Id="rId91" Target="https://doi.org/10.1111/apha.13806" TargetMode="External" /><Relationship Type="http://schemas.openxmlformats.org/officeDocument/2006/relationships/hyperlink" Id="rId97" Target="https://doi.org/10.1111/sms.12185" TargetMode="External" /><Relationship Type="http://schemas.openxmlformats.org/officeDocument/2006/relationships/hyperlink" Id="rId37" Target="https://doi.org/10.1111/sms.13213" TargetMode="External" /><Relationship Type="http://schemas.openxmlformats.org/officeDocument/2006/relationships/hyperlink" Id="rId75" Target="https://doi.org/10.1113/JP271365" TargetMode="External" /><Relationship Type="http://schemas.openxmlformats.org/officeDocument/2006/relationships/hyperlink" Id="rId45" Target="https://doi.org/10.1113/JP278455" TargetMode="External" /><Relationship Type="http://schemas.openxmlformats.org/officeDocument/2006/relationships/hyperlink" Id="rId43" Target="https://doi.org/10.1113/JP281244" TargetMode="External" /><Relationship Type="http://schemas.openxmlformats.org/officeDocument/2006/relationships/hyperlink" Id="rId109" Target="https://doi.org/10.1128/MCB.00579-15" TargetMode="External" /><Relationship Type="http://schemas.openxmlformats.org/officeDocument/2006/relationships/hyperlink" Id="rId57" Target="https://doi.org/10.1136/bjsports-2017-097608" TargetMode="External" /><Relationship Type="http://schemas.openxmlformats.org/officeDocument/2006/relationships/hyperlink" Id="rId121" Target="https://doi.org/10.1152/ajpcell.00460.2011" TargetMode="External" /><Relationship Type="http://schemas.openxmlformats.org/officeDocument/2006/relationships/hyperlink" Id="rId77" Target="https://doi.org/10.1152/ajpendo.00164.2021" TargetMode="External" /><Relationship Type="http://schemas.openxmlformats.org/officeDocument/2006/relationships/hyperlink" Id="rId69" Target="https://doi.org/10.1152/ajpendo.00486.2015" TargetMode="External" /><Relationship Type="http://schemas.openxmlformats.org/officeDocument/2006/relationships/hyperlink" Id="rId93" Target="https://doi.org/10.1152/ajpregu.00162.2019" TargetMode="External" /><Relationship Type="http://schemas.openxmlformats.org/officeDocument/2006/relationships/hyperlink" Id="rId117" Target="https://doi.org/10.1152/ajpregu.00262.2011" TargetMode="External" /><Relationship Type="http://schemas.openxmlformats.org/officeDocument/2006/relationships/hyperlink" Id="rId87" Target="https://doi.org/10.1152/ajprenal.00207.2010" TargetMode="External" /><Relationship Type="http://schemas.openxmlformats.org/officeDocument/2006/relationships/hyperlink" Id="rId71" Target="https://doi.org/10.1152/japplphysiol.00963.2018" TargetMode="External" /><Relationship Type="http://schemas.openxmlformats.org/officeDocument/2006/relationships/hyperlink" Id="rId67" Target="https://doi.org/10.1152/physiol.00034.2018" TargetMode="External" /><Relationship Type="http://schemas.openxmlformats.org/officeDocument/2006/relationships/hyperlink" Id="rId41" Target="https://doi.org/10.1152/physiolgenomics.00167.2012" TargetMode="External" /><Relationship Type="http://schemas.openxmlformats.org/officeDocument/2006/relationships/hyperlink" Id="rId103" Target="https://doi.org/10.1186/s12859-017-1934-z" TargetMode="External" /><Relationship Type="http://schemas.openxmlformats.org/officeDocument/2006/relationships/hyperlink" Id="rId81" Target="https://doi.org/10.1210/jcem.85.12.7036" TargetMode="External" /><Relationship Type="http://schemas.openxmlformats.org/officeDocument/2006/relationships/hyperlink" Id="rId119" Target="https://doi.org/10.1371/journal.pone.0147284" TargetMode="External" /><Relationship Type="http://schemas.openxmlformats.org/officeDocument/2006/relationships/hyperlink" Id="rId111" Target="https://doi.org/10.14814/phy2.12670" TargetMode="External" /><Relationship Type="http://schemas.openxmlformats.org/officeDocument/2006/relationships/hyperlink" Id="rId49" Target="https://doi.org/10.1519/JSC.0000000000002200" TargetMode="External" /><Relationship Type="http://schemas.openxmlformats.org/officeDocument/2006/relationships/hyperlink" Id="rId47" Target="https://doi.org/10.1519/JSC.0b013e3181b370be" TargetMode="External" /><Relationship Type="http://schemas.openxmlformats.org/officeDocument/2006/relationships/hyperlink" Id="rId51" Target="https://doi.org/10.3945/ajcn.112.037556" TargetMode="External" /><Relationship Type="http://schemas.openxmlformats.org/officeDocument/2006/relationships/hyperlink" Id="rId107" Target="https://doi.org/10.48550/ARXIV.1406.5823" TargetMode="External" /><Relationship Type="http://schemas.openxmlformats.org/officeDocument/2006/relationships/hyperlink" Id="rId61" Target="https://doi.org/10.5772/intechopen.71866" TargetMode="External" /><Relationship Type="http://schemas.openxmlformats.org/officeDocument/2006/relationships/hyperlink" Id="rId101" Target="https://www.R-project.org/" TargetMode="External" /><Relationship Type="http://schemas.openxmlformats.org/officeDocument/2006/relationships/hyperlink" Id="rId105" Target="https://www.ncbi.nlm.nih.gov/pubmed/2242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380</Words>
  <Characters>2170</Characters>
  <Application>Microsoft Office Word</Application>
  <DocSecurity>0</DocSecurity>
  <Lines>18</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 Daniel Hammarström, Stian Ellefsen, Håvard Hamarsland</dc:creator>
  <cp:keywords/>
  <dcterms:created xsi:type="dcterms:W3CDTF">2023-03-30T09:49:50Z</dcterms:created>
  <dcterms:modified xsi:type="dcterms:W3CDTF">2023-03-30T09:49:50Z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