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t xml:space="preserve"> </w:t>
      </w:r>
      <w:r>
        <w:t xml:space="preserve">Daniel</w:t>
      </w:r>
      <w:r>
        <w:t xml:space="preserve"> </w:t>
      </w:r>
      <w:r>
        <w:t xml:space="preserve">Hammarström,</w:t>
      </w:r>
      <w:r>
        <w:t xml:space="preserve"> </w:t>
      </w:r>
      <w:r>
        <w:t xml:space="preserve">Stian</w:t>
      </w:r>
      <w:r>
        <w:t xml:space="preserve"> </w:t>
      </w:r>
      <w:r>
        <w:t xml:space="preserve">Ellefsen,</w:t>
      </w:r>
      <w:r>
        <w:t xml:space="preserve"> </w:t>
      </w:r>
      <w:r>
        <w:t xml:space="preserve">Håvard</w:t>
      </w:r>
      <w:r>
        <w:t xml:space="preserve"> </w:t>
      </w:r>
      <w:r>
        <w:t xml:space="preserve">Hamarsland</w:t>
      </w:r>
    </w:p>
    <w:bookmarkStart w:id="20" w:name="introduction"/>
    <w:p>
      <w:pPr>
        <w:pStyle w:val="Heading2"/>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(1–3)</w:t>
      </w:r>
      <w:r>
        <w:t xml:space="preserve">. Such inability to benefit from RT may be explained by genetic and/or epigenetic disposition affecting the internal physiological milieu and subsequently affecting the ability to mount an anabolic response to RT</w:t>
      </w:r>
      <w:r>
        <w:t xml:space="preserve"> </w:t>
      </w:r>
      <w:r>
        <w:t xml:space="preserve">(3, 4)</w:t>
      </w:r>
      <w:r>
        <w:t xml:space="preserve">.</w:t>
      </w:r>
      <w:r>
        <w:t xml:space="preserve"> </w:t>
      </w:r>
      <w:r>
        <w:t xml:space="preserve">Although RT program modifications such as altered exercise volume or intensity may induce more favourable adaptations in some individuals, these benefits are not uniform between individuals</w:t>
      </w:r>
      <w:r>
        <w:t xml:space="preserve"> </w:t>
      </w:r>
      <w:r>
        <w:t xml:space="preserve">(5–7)</w:t>
      </w:r>
      <w:r>
        <w:t xml:space="preserve">.</w:t>
      </w:r>
      <w:r>
        <w:t xml:space="preserve"> </w:t>
      </w:r>
      <w:r>
        <w:t xml:space="preserve">For instance, although changes in training volume generally induce greater benefits of RT, not all individuals benefit from such modifications</w:t>
      </w:r>
      <w:r>
        <w:t xml:space="preserve"> </w:t>
      </w:r>
      <w:r>
        <w:t xml:space="preserve">(5)</w:t>
      </w:r>
      <w:r>
        <w:t xml:space="preserve">. Therefore, other means than modification of RT variables seem necessary to optimize individual responses.</w:t>
      </w:r>
    </w:p>
    <w:p>
      <w:pPr>
        <w:pStyle w:val="BodyText"/>
      </w:pPr>
      <w:r>
        <w:t xml:space="preserve">Nutritional supplements such as protein and creatine effectively optimize RT adaptations</w:t>
      </w:r>
      <w:r>
        <w:t xml:space="preserve"> </w:t>
      </w:r>
      <w:r>
        <w:t xml:space="preserve">(8–11)</w:t>
      </w:r>
      <w:r>
        <w:t xml:space="preserve">.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w:t>
      </w:r>
      <w:r>
        <w:t xml:space="preserve"> </w:t>
      </w:r>
      <w:r>
        <w:t xml:space="preserve">(12, 13)</w:t>
      </w:r>
      <w:r>
        <w:t xml:space="preserve">. Furthermore, energy availability is a decisive factor in the</w:t>
      </w:r>
      <w:r>
        <w:rPr>
          <w:iCs/>
          <w:i/>
        </w:rPr>
        <w:t xml:space="preserve">de novo</w:t>
      </w:r>
      <w:r>
        <w:t xml:space="preserve"> </w:t>
      </w:r>
      <w:r>
        <w:t xml:space="preserve">synthesis of ribosomes</w:t>
      </w:r>
      <w:r>
        <w:t xml:space="preserve"> </w:t>
      </w:r>
      <w:r>
        <w:t xml:space="preserve">(13–15)</w:t>
      </w:r>
      <w:r>
        <w:t xml:space="preserve"> </w:t>
      </w:r>
      <w:r>
        <w:t xml:space="preserve">which in turn determines muscle growth by increasing the muscle’s translational capacity</w:t>
      </w:r>
      <w:r>
        <w:t xml:space="preserve"> </w:t>
      </w:r>
      <w:r>
        <w:t xml:space="preserve">(5, 13, 16–18)</w:t>
      </w:r>
      <w:r>
        <w:t xml:space="preserve">. Therefore, investigating the effects of combined RT and glucose ingestion may provide valuable insight into the potential additive effect of glucose and RT on ribosome biogenesis.</w:t>
      </w:r>
    </w:p>
    <w:p>
      <w:pPr>
        <w:pStyle w:val="BodyText"/>
      </w:pPr>
      <w:r>
        <w:t xml:space="preserve">Transcription of ribosomal RNA (rRNA) by Pol I is considered the limiting step in synthesizing new ribosomes</w:t>
      </w:r>
      <w:r>
        <w:t xml:space="preserve"> </w:t>
      </w:r>
      <w:r>
        <w:t xml:space="preserve">(19)</w:t>
      </w:r>
      <w:r>
        <w:t xml:space="preserve">. Multiple signalling pathways converge to regulate rRNA transcription, including the mammalian target of rapamycin (mTORC1) signal-transduction pathway and c-Myc</w:t>
      </w:r>
      <w:r>
        <w:t xml:space="preserve"> </w:t>
      </w:r>
      <w:r>
        <w:t xml:space="preserve">(13, 14, 18, 20, 21)</w:t>
      </w:r>
      <w:r>
        <w:t xml:space="preserve">. mTOR receives input from growth factors, hormones, mechanical loading, and nutrients to balance protein synthesis through multiple mechanisms based on cellular energy levels</w:t>
      </w:r>
      <w:r>
        <w:t xml:space="preserve"> </w:t>
      </w:r>
      <w:r>
        <w:t xml:space="preserve">(22)</w:t>
      </w:r>
      <w:r>
        <w:t xml:space="preserve">. Importantly, mTOR and its downstream target S6K1 serve as a mediator from insulin signalling in skeletal muscle</w:t>
      </w:r>
      <w:r>
        <w:t xml:space="preserve"> </w:t>
      </w:r>
      <w:r>
        <w:t xml:space="preserve">(23)</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(16, 18)</w:t>
      </w:r>
      <w:r>
        <w:t xml:space="preserve">. Parallel to mTORC1</w:t>
      </w:r>
      <w:r>
        <w:t xml:space="preserve"> </w:t>
      </w:r>
      <w:r>
        <w:t xml:space="preserve">(20, 21)</w:t>
      </w:r>
      <w:r>
        <w:t xml:space="preserve">, c-Myc increases ribosomal biogenesis directly and through transcriptional control of the upstream binding factor (UBF)</w:t>
      </w:r>
      <w:r>
        <w:t xml:space="preserve"> </w:t>
      </w:r>
      <w:r>
        <w:t xml:space="preserve">(24, 25)</w:t>
      </w:r>
      <w:r>
        <w:t xml:space="preserve">. Additionally, UBF phosphorylation, required for interaction with the rDNA promoter, is increased by high glucose in a mTORC1 dependent manner (rapamycin sensitive) in kidney glomerular epithelial cells</w:t>
      </w:r>
      <w:r>
        <w:t xml:space="preserve">(26)</w:t>
      </w:r>
      <w:r>
        <w:t xml:space="preserve">. Independently from UBF and mTORC1, high glucose was shown to lead to chromatin remodelling, which promotes rRNA transcription in cell cultures</w:t>
      </w:r>
      <w:r>
        <w:t xml:space="preserve">(27)</w:t>
      </w:r>
      <w:r>
        <w:t xml:space="preserve">. Together these observations indicate a potential role of glucose in positively affecting muscle rRNA synthesis.</w:t>
      </w:r>
    </w:p>
    <w:p>
      <w:pPr>
        <w:pStyle w:val="BodyText"/>
      </w:pPr>
      <w:r>
        <w:t xml:space="preserve">The purpose of this investigation was to test the hypothesis that glucose supplementation before and after</w:t>
      </w:r>
      <w:r>
        <w:t xml:space="preserve"> </w:t>
      </w:r>
      <w:r>
        <w:t xml:space="preserve">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if not more, as translational efficiency in regard to long-term skeletal muscle adaptations to RT</w:t>
      </w:r>
      <w:r>
        <w:t xml:space="preserve"> </w:t>
      </w:r>
      <w:r>
        <w:t xml:space="preserve">(5, 28, 29)</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(18, 26)</w:t>
      </w:r>
      <w:r>
        <w:t xml:space="preserve">. Coupled with the recent observations by Hammarström et al.</w:t>
      </w:r>
      <w:r>
        <w:t xml:space="preserve"> </w:t>
      </w:r>
      <w:r>
        <w:t xml:space="preserve">(5, 28)</w:t>
      </w:r>
      <w:r>
        <w:t xml:space="preserve">, understanding underlying factors regulating and affecting ribosome biogenesis seems key to furthering our understanding of the optimization of RT to individual phenotypes.</w:t>
      </w:r>
      <w:r>
        <w:br/>
      </w:r>
    </w:p>
    <w:bookmarkEnd w:id="20"/>
    <w:bookmarkStart w:id="31" w:name="methods"/>
    <w:p>
      <w:pPr>
        <w:pStyle w:val="Heading2"/>
      </w:pPr>
      <w:r>
        <w:t xml:space="preserve">Methods</w:t>
      </w:r>
    </w:p>
    <w:bookmarkStart w:id="21" w:name="materials-and-methods"/>
    <w:p>
      <w:pPr>
        <w:pStyle w:val="Heading3"/>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End w:id="21"/>
    <w:bookmarkStart w:id="22" w:name="participants"/>
    <w:p>
      <w:pPr>
        <w:pStyle w:val="Heading3"/>
      </w:pPr>
      <w:r>
        <w:t xml:space="preserve">Participants</w:t>
      </w:r>
    </w:p>
    <w:p>
      <w:pPr>
        <w:pStyle w:val="FirstParagraph"/>
      </w:pPr>
      <w:r>
        <w:t xml:space="preserve">Sixteen healthy male and female participants (20-33yrs, Tab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related to heavy resistance training. Lean mass (Tab 1) was measured using DXA (Prodigy Advance PA+302047, Lunar, San Francisco, CA, USA) on Day -1, the last day preceding the RT intervention.</w:t>
      </w:r>
    </w:p>
    <w:bookmarkEnd w:id="22"/>
    <w:bookmarkStart w:id="23" w:name="experimental-design"/>
    <w:p>
      <w:pPr>
        <w:pStyle w:val="Heading3"/>
      </w:pPr>
      <w:r>
        <w:t xml:space="preserve">Experimental design</w:t>
      </w:r>
    </w:p>
    <w:p>
      <w:pPr>
        <w:pStyle w:val="FirstParagraph"/>
      </w:pPr>
      <w:r>
        <w:t xml:space="preserve">The study was designed as a 12-day double-blinded randomized controlled trial, with an alternating unilateral RT protocol (Fig 1A). Participants were randomly allocated to exercise one leg with glucose and one leg with a placebo (Fig 1A).</w:t>
      </w:r>
      <w:r>
        <w:t xml:space="preserve"> </w:t>
      </w:r>
      <w:r>
        <w:t xml:space="preserve"> </w:t>
      </w:r>
      <w:r>
        <w:t xml:space="preserve">One person was exclusively responsible for the randomization code and supplement distribution, blinding both investigators and participants regarding which leg exercised with glucose/placebo.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standardize this, participants also recorded and repeated their daily macronutrient intake (protein, fat, carbohydrate) and total calories on pairwise consecutive days.</w:t>
      </w:r>
    </w:p>
    <w:p>
      <w:pPr>
        <w:pStyle w:val="BodyTex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bookmarkEnd w:id="23"/>
    <w:bookmarkStart w:id="24" w:name="dietary-intervention"/>
    <w:p>
      <w:pPr>
        <w:pStyle w:val="Heading3"/>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treatments.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During sessions, participants were free to ingest water ad libitum.</w:t>
      </w:r>
    </w:p>
    <w:bookmarkEnd w:id="24"/>
    <w:bookmarkStart w:id="25" w:name="assessment-of-muscular-strength"/>
    <w:p>
      <w:pPr>
        <w:pStyle w:val="Heading3"/>
      </w:pPr>
      <w:r>
        <w:t xml:space="preserve">Assessment of muscular strength</w:t>
      </w:r>
    </w:p>
    <w:p>
      <w:pPr>
        <w:pStyle w:val="FirstParagraph"/>
      </w:pPr>
      <w:r>
        <w:t xml:space="preserve">Strength tests were performed prior to (Days -7 and -5, and -1, both legs) and during the intervention (Fig 1A, on days 4 and 8 for leg 1, and days 5 and 9 for leg two), after session 5 and after finalization of intervention (Fig 1A, on days 11/12 for leg 1 and days 12/13 for leg 2). Maximal isometric and isokinetic knee extension torque was measured with a Humac Norm Dynamometer (CSMi, Stoughton, Massachusetts, USA). Individual positions were recorded and standardized from pre-intervention tests (Fig 1A, days -7 and -5). Isokinetic peak torque was measured at extensions speeds of 60- and 240 d/s, 2x3 repetitions each, with the first set of each exercise as a sub-maximal warm-up. Isometric peak torque was measured at a knee-angle of 60 degrees (extended knee was set to 0 degrees), for a maximum of 10 seconds and two repetitions per test. The isometric tests were ended when the participants reached a plateau or peak torque development decreased, which on average occurred between 2-4 seconds into the test. During days 4, 5, 8 and 9 (Fig 1D, days 4 and 5 = Post 2RT, days 8 and 9 = Post 4RT), humac tests were conducted one hour before RT on the leg performing RT the previous day. During days 11 and 12, humac tests were performed four times: I) 45min before the last RT session (Fig 1D, Post 5RT), II) 30min after the last RT session (Fig 1D, 30 min post 6RT), III) 2hrs after the last RT session (Fig 1D, 2h post 6RT), and IV) 23hrs after the last RT session (Fig 1D, 23h post 6RT). Test I on day 12/13 included testing of both legs, representing 23hrs post-RT session test of one leg and post-session 5 test of the other leg. The highest peak torque values from the respective extension speeds and time points were summarized in an index. The index was calculated by dividing the average peak torque value by the highest observed peak torque value per extension speed, and summarizing this new index per extension speed to a mean strength index.</w:t>
      </w:r>
    </w:p>
    <w:p>
      <w:pPr>
        <w:pStyle w:val="BodyText"/>
      </w:pPr>
      <w:r>
        <w:t xml:space="preserve">Assessment of unilateral one repetition maximum (1RM) leg press and knee extension was conducted at pre-intervention testing during familiarization (days -7 and -5, Fig 1D). The participants performed a general warm-up with 10min cycling on an indoor exercise bicycle. In addition, a protocol consisting of 1x10, 1x6 and 1x3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minutes of rest were given during the specific warm-up, and three minutes of rest was given between 1RM attempts.</w:t>
      </w:r>
    </w:p>
    <w:bookmarkEnd w:id="25"/>
    <w:bookmarkStart w:id="26" w:name="resistance-training-protocol"/>
    <w:p>
      <w:pPr>
        <w:pStyle w:val="Heading3"/>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To ensure an adequate exercise stimulation throughout the intervention, the exercise load was increased if the participants lifted more than 12 repetitions, as a progressive loading strategy. Rest between working sets was two minutes. For safety and standardization purposes, all sessions were monitored by trained personnel.</w:t>
      </w:r>
      <w:r>
        <w:t xml:space="preserve"> </w:t>
      </w:r>
      <w:r>
        <w:t xml:space="preserve"> </w:t>
      </w:r>
      <w:r>
        <w:t xml:space="preserve">Lastly, training volume (load and repetitions) was logged for every session.</w:t>
      </w:r>
    </w:p>
    <w:bookmarkEnd w:id="26"/>
    <w:bookmarkStart w:id="27" w:name="sampling-of-muscle-tissue-and-blood"/>
    <w:p>
      <w:pPr>
        <w:pStyle w:val="Heading3"/>
      </w:pPr>
      <w:r>
        <w:t xml:space="preserve">Sampling of muscle tissue and blood</w:t>
      </w:r>
    </w:p>
    <w:p>
      <w:pPr>
        <w:pStyle w:val="FirstParagraph"/>
      </w:pPr>
      <w:r>
        <w:t xml:space="preserve">Muscle biopsies were sampled from m. vastus lateralis using well-established procedures</w:t>
      </w:r>
      <w:r>
        <w:t xml:space="preserve"> </w:t>
      </w:r>
      <w:r>
        <w:t xml:space="preserve">(5)</w:t>
      </w:r>
      <w:r>
        <w:t xml:space="preserve">. Briefly, muscle biopsy sampling was performed under local anaesthesia (Xylocaine, 10mg ml-1 with adrenaline 5μg ml−1, AstraZeneca AS, Oslo, Norway) using a 12-14-gauge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snap frozen in isopentane (-80°C) and stored at -80°C until further analyses. Muscle biopsies were sampled at four times: I/II) Pre-intervention (Fig 1A, 2hrs before training, Day 1 = leg 1, Day 2 = leg 2), and III/IV) after the fifth RT session, two hours before the sixth RT session (1A, Day 11 = leg 1, Day 12 = leg 2). At each time point, two samples were taken from the same incision. To standardize this procedure, all individual participants had biopsies taken at the same time of day, in an overnight fasted state.</w:t>
      </w:r>
    </w:p>
    <w:p>
      <w:pPr>
        <w:pStyle w:val="BodyText"/>
      </w:pPr>
      <w:r>
        <w:t xml:space="preserve">To measure blood glucose levels with and without glucose ingestion/training, blood was collected by means of finger draws on days with biopsy sampling. One finger draw was taken on day 1 (Fig 1A) to serve as a baseline. On days 11 and 12 (Fig 1A), finger draws were collected seven times: I) Immediately prior to protein ingestion (0700hrs) II) 45 minutes after protein ingestion (0745hrs) III) 1.5hrs after protein ingestion (0800hrs, i.e., immediately before GLU/PLAC intake), IV) 2hrs after protein ingestion (0900hrs, i.e., immediately before training), IV) in the middle of RT (~0915hrs), V) immediately after training (~0930hrs), and VI) 2hrs after completion of training (~1130hrs). Finger draws were analysed with in-house equipment (BIOSEN C-Line, EKF diagnostic GmbH, Barleben). Venous blood samples were collected from the antecubital vein, coinciding with the finger draws except 45min after protein ingestion and in the middle of the RT session, to analyse endocrine variables.</w:t>
      </w:r>
    </w:p>
    <w:bookmarkEnd w:id="27"/>
    <w:bookmarkStart w:id="28" w:name="Xd015144b5eba5551340fd4dcddb6574a5c3e1b2"/>
    <w:p>
      <w:pPr>
        <w:pStyle w:val="Heading3"/>
      </w:pPr>
      <w:r>
        <w:t xml:space="preserve">Total RNA extraction and quantitative real-time reverse transcription polymerase chain reaction</w:t>
      </w:r>
    </w:p>
    <w:p>
      <w:pPr>
        <w:pStyle w:val="FirstParagraph"/>
      </w:pPr>
      <w:r>
        <w:t xml:space="preserve">Two muscle biopsy samples were collected for total RNA extraction per leg per time point, and total RNA was extracted in two duplicates per muscle biopsy. Thus, we had two duplicates per leg per time point, a total of eight RNA samples per participant. Total RNA was extracted using TRIzol according to the manufacturer’s protocol. An exogenous RNA control (λ polyA External Standard Kit, Takara Bio Inc., Shiga, Japan) was added at a fixed amount (0.04 ng ml-1 of Trizol reagent) to enable analysis of target gene expression per unit tissue weight</w:t>
      </w:r>
      <w:r>
        <w:t xml:space="preserve"> </w:t>
      </w:r>
      <w:r>
        <w:t xml:space="preserve">(30, 31)</w:t>
      </w:r>
      <w:r>
        <w:t xml:space="preserve">. Briefly, muscle tissue was homogenized in TRIzol using 0.5mm RNase-free Zirconium beads (~50 ul) (Next Advanced, Averill Park, NY, USA) and a bullet blender (Bullet Blender, Next Advanced, Averill Park, NY, USA). Chloroform (Sigma-Aldrich, Missouri, USA) was used for phase separation, and an RNA pellet was precipitated with isopropanol (VWR International, Pennsylvania, USA). For assessment of RNA content and -purity 5µl RNA, from the RNA stock, was eluted in TE-buffer (1:2), for assessment via spectrophotometry. All samples had a 260nm to 280nm ratio &gt; 1.9. The RNA stock was stored at -80°C until further analyses. RNA was reverse transcribed using Super Script IV Reverse Transcriptase (Invitrogen), according to the manufacturer’s instructions. One µl 10 mM dNTP mix, 0.5µl anchored oligo-dT, 0.5µl random hexamer primers (Thermo Scientific), a maximum of 9µl template RNA and 2 µl nuclease-free water were mixed, vortexed and briefly spun down. Samples were then heated at 65°C for 5 minutes, followed by at least 1-minute incubation on ice. For the next step, 4µl 5x SSIV Buffer, 1µl 100 mM DTT, 1 µl RNase OUT, and Super Script IV Reverse Transcriptase (Invitrogen) were mixed, vortexed and briefly spun down and added to the samples. Samples were incubated for 10 minutes at 23°C, 10 minutes at 50-55°C and 10 minutes at 80°C. All samples were reverse transcribed and diluted to 1:50 before quantitative real-time polymerase chain reaction (qPCR). Lambda was used as an external reference gene, added in the RNA extraction (2µl per extraction). qPCR reactions were run on a fast-cycling real-time detection system (Applied Biosystems 7500 fast Real-Time PCR Systems, Life Technologies AS), with a total volume of 10 µl, containing 2 µl of cDNA, gene-specific primers (0.5 µM final concentration) and a commercial master mix (2X SYBR Select Master Mix, Applied Biosystems, Life Technologies AS)</w:t>
      </w:r>
      <w:r>
        <w:t xml:space="preserve"> </w:t>
      </w:r>
      <w:r>
        <w:t xml:space="preserve">(5)</w:t>
      </w:r>
      <w:r>
        <w:t xml:space="preserve">. qPCR reactions consisted of 40 cycles (3 s 95°C denaturing and 30 s 60°C annealing)</w:t>
      </w:r>
      <w:r>
        <w:t xml:space="preserve"> </w:t>
      </w:r>
      <w:r>
        <w:t xml:space="preserve">(5)</w:t>
      </w:r>
      <w:r>
        <w:t xml:space="preserve">. Raw fluorescence data were exported from the platform-specific software and amplification curves were modelled with a best-fit sigmoidal model using the qPCR package</w:t>
      </w:r>
      <w:r>
        <w:t xml:space="preserve"> </w:t>
      </w:r>
      <w:r>
        <w:t xml:space="preserve">(32)</w:t>
      </w:r>
      <w:r>
        <w:t xml:space="preserve"> </w:t>
      </w:r>
      <w:r>
        <w:t xml:space="preserve">written for R</w:t>
      </w:r>
      <w:r>
        <w:t xml:space="preserve"> </w:t>
      </w:r>
      <w:r>
        <w:t xml:space="preserve">(5, 33)</w:t>
      </w:r>
      <w:r>
        <w:t xml:space="preserve">.</w:t>
      </w:r>
    </w:p>
    <w:bookmarkEnd w:id="28"/>
    <w:bookmarkStart w:id="29" w:name="protein-extraction-and-immunoblotting"/>
    <w:p>
      <w:pPr>
        <w:pStyle w:val="Heading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24hrs and dissected before extraction. The tissue was homogenized with a plastic rod in 80mg protein extraction powder (Invent Biotechnology) and 100ul iced cell lysis buffer (Denaturing Buffer, Invent Biotechnology), and centrifuged at 19 000g for 1 min. The supernatant was divided into 2x25ul aliquots to run samples in duplicates, and total protein concentrations were determined in a 1:10 dilution (Pierce Detergent Compatible Bradford Assay Reagent, Thermo Fisher Scientific, Oslo, Norway). The protein samples were diluted to 20.25 µg µl−1 total protein with lysis buffer and 4X Laemmli sample buffer (Bio-Rad Laboratories AB, Oslo, Norway) containing 2-mercaptoethanol. Twenty microlitres from each protein sample were pooled as a normalization factor for gel separation. All protein samples were incubated at 95°C and stored at -20°C until further analysis. The protein samples (20.25µg total protein) were separated at 250V for 50min using 4-20% Tris-Glycine gels (Thermo Fisher Scientific), then transferred to PVDF membranes with wet transfer at 300mA for 3hrs. Both gel electrophoresis and protein transfer were performed at 4°C. Following the wet transfer, membranes were stained with a MemCode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UBF:(UBF-9, sc-13125), rpS6:(Ribosomal protein S6 C-8, sc-74459), and Thermo Fisher Scientific (Oslo, Norway) c-Myc:(c-Myc 9E10), goat anti-mouse for c-Myc (goat anti-mouse IgG1 (y1) horseradish peroxidase conjugate), and anti-mouse (anti-mouse IgG1 horseradish peroxidase conjugate). Antibodies were diluted in a 5% non-fat dry milk blocking buffer (TBS, 5% non-fat dry milk, 0.1% Tween-20). Membranes were incubated overnight with primary antibodies, and for 1hr with secondary antibodies. Between blocking and primary antibody staining, membranes were washed 1x5min, between primary and secondary staining, and after secondary staining, membranes were washed 3x5 with TBS-Tween (TBS; 20mM Tris, 150mM NaCl, 0.1% Tween). Following the last TBS-T wash, membranes were incubated 1x5min with enhanced chemiluminescent substrate (ECL, SuperSignal West Femto Maximum Sensitivity Substrate, Thermo Fisher Scientific). Membrane blocking, secondary antibody incubation, washing and ECL incubation were performed at room temp, on a tipping board. Primary antibody incubation was performed at 4°C on a tipping board. Chemiluminescence signals were quantified using Image Studio Lite (LI-COR Biotechnology, Lincoln, NE, USA), and total protein content was quantified using ImageJ</w:t>
      </w:r>
      <w:r>
        <w:t xml:space="preserve"> </w:t>
      </w:r>
      <w:r>
        <w:t xml:space="preserve">(34)</w:t>
      </w:r>
      <w:r>
        <w:t xml:space="preserve">, whereny total protein content was defined as mean grey value of the whole well with between-well values subtracted as background.</w:t>
      </w:r>
    </w:p>
    <w:bookmarkEnd w:id="29"/>
    <w:bookmarkStart w:id="30" w:name="data-handling-and-statistical-analysis"/>
    <w:p>
      <w:pPr>
        <w:pStyle w:val="Heading3"/>
      </w:pPr>
      <w:r>
        <w:t xml:space="preserve">Data handling and statistical analysis</w:t>
      </w:r>
    </w:p>
    <w:p>
      <w:pPr>
        <w:pStyle w:val="FirstParagraph"/>
      </w:pPr>
      <w:r>
        <w:t xml:space="preserve">A priori power calculations showed that 20 participants would grant a statistical power of 80% (= 0.05), with an expected dropout of 20%. This power calculation was based on an assumption that the effects of glucose ingestion on ribosome biogenesis may equate to the effects of increasing RT volume from low to moderate</w:t>
      </w:r>
      <w:r>
        <w:t xml:space="preserve"> </w:t>
      </w:r>
      <w:r>
        <w:t xml:space="preserve">(5)</w:t>
      </w:r>
      <w:r>
        <w:t xml:space="preserve">.</w:t>
      </w:r>
      <w:r>
        <w:t xml:space="preserve"> </w:t>
      </w:r>
      <w:r>
        <w:t xml:space="preserve"> </w:t>
      </w:r>
      <w:r>
        <w:t xml:space="preserve">Raw data were imported and analyzed in R via R studios</w:t>
      </w:r>
      <w:r>
        <w:t xml:space="preserve"> </w:t>
      </w:r>
      <w:r>
        <w:t xml:space="preserve">(33)</w:t>
      </w:r>
      <w:r>
        <w:t xml:space="preserve">. Legs were categorized as either glucose or placebo in accordance with the randomization. Before quantitative analyses, total RNA was normalized by wet muscle weight, qPCR values were normalized by wet muscle weight and an external reference gene (Lambda), while quantified protein signals from western blot were normalized by pool signals and total protein signal per gel.</w:t>
      </w:r>
      <w:r>
        <w:t xml:space="preserve"> </w:t>
      </w:r>
      <w:r>
        <w:t xml:space="preserve">Total RNA and qPCR values were analyzed by comparing post to pre log-fold change score differences. This was achieved by modelling change as response with baseline and supplement (glucose/placebo) as explanatory factors, and mean-centred baseline values as a covariate in a linear mixed effects model, then calculating the estimated marginal means. Quantified western blot signals and the UBF/total RNA association were analyzed using a linear mixed effects model from the nlme package</w:t>
      </w:r>
      <w:r>
        <w:t xml:space="preserve"> </w:t>
      </w:r>
      <w:r>
        <w:t xml:space="preserve">(35)</w:t>
      </w:r>
      <w:r>
        <w:t xml:space="preserve">, with protein signal per time point as response, with time and supplement as explanatory factors. Plasma glucose and c-peptide, training volume, and the strength index were analyzed by multiple time-point log-fold change score comparisons, using the same linear mixed effects model with time added as explanatory factor. The linear mixed effects model was designed with the lmer function (Satterthwaite’s method) from the lme4 package</w:t>
      </w:r>
      <w:r>
        <w:t xml:space="preserve"> </w:t>
      </w:r>
      <w:r>
        <w:t xml:space="preserve">(36)</w:t>
      </w:r>
      <w:r>
        <w:t xml:space="preserve"> </w:t>
      </w:r>
      <w:r>
        <w:t xml:space="preserve">in R studios, using the lmerTest function to procure p-values. Log-transformation and mean-centring of baseline values were performed to control for heteroscedasticity and regression to the mean, respectively. Log-transformed values were reverse-transformed for figure illustrations. Values are presented as mean change + 95% confidence limits unless otherwise stated, with the alpha-level set to α = 0.05.</w:t>
      </w:r>
    </w:p>
    <w:bookmarkEnd w:id="30"/>
    <w:bookmarkEnd w:id="31"/>
    <w:bookmarkStart w:id="35" w:name="results"/>
    <w:p>
      <w:pPr>
        <w:pStyle w:val="Heading2"/>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(Tab 2; Mean change, Session 2:</w:t>
      </w:r>
      <w:r>
        <w:t xml:space="preserve"> </w:t>
      </w:r>
      <w:r>
        <w:rPr>
          <w:iCs/>
          <w:i/>
        </w:rPr>
        <w:t xml:space="preserve">p</w:t>
      </w:r>
      <w:r>
        <w:t xml:space="preserve"> </w:t>
      </w:r>
      <w:r>
        <w:t xml:space="preserve">= 0.345, Session 3:</w:t>
      </w:r>
      <w:r>
        <w:t xml:space="preserve"> </w:t>
      </w:r>
      <w:r>
        <w:rPr>
          <w:iCs/>
          <w:i/>
        </w:rPr>
        <w:t xml:space="preserve">p</w:t>
      </w:r>
      <w:r>
        <w:t xml:space="preserve"> </w:t>
      </w:r>
      <w:r>
        <w:t xml:space="preserve">= 0.896, Session 4:</w:t>
      </w:r>
      <w:r>
        <w:t xml:space="preserve"> </w:t>
      </w:r>
      <w:r>
        <w:rPr>
          <w:iCs/>
          <w:i/>
        </w:rPr>
        <w:t xml:space="preserve">p</w:t>
      </w:r>
      <w:r>
        <w:t xml:space="preserve"> </w:t>
      </w:r>
      <w:r>
        <w:t xml:space="preserve">= 0.683, Session 5:</w:t>
      </w:r>
      <w:r>
        <w:t xml:space="preserve"> </w:t>
      </w:r>
      <w:r>
        <w:rPr>
          <w:iCs/>
          <w:i/>
        </w:rPr>
        <w:t xml:space="preserve">p</w:t>
      </w:r>
      <w:r>
        <w:t xml:space="preserve"> </w:t>
      </w:r>
      <w:r>
        <w:t xml:space="preserve">= 0.472, Session 6:</w:t>
      </w:r>
      <w:r>
        <w:t xml:space="preserve"> </w:t>
      </w:r>
      <w:r>
        <w:rPr>
          <w:iCs/>
          <w:i/>
        </w:rPr>
        <w:t xml:space="preserve">p</w:t>
      </w:r>
      <w:r>
        <w:t xml:space="preserve"> </w:t>
      </w:r>
      <w:r>
        <w:t xml:space="preserve">= 0.887). Both exercising with glucose and placebo led to significant increases in mean total training session volume at sessions four, five and six, compared to session 1 (Tab 2; Mean change, 2:</w:t>
      </w:r>
      <w:r>
        <w:t xml:space="preserve"> </w:t>
      </w:r>
      <w:r>
        <w:rPr>
          <w:iCs/>
          <w:i/>
        </w:rPr>
        <w:t xml:space="preserve">p</w:t>
      </w:r>
      <w:r>
        <w:t xml:space="preserve"> </w:t>
      </w:r>
      <w:r>
        <w:t xml:space="preserve">= 0.6568, 3:</w:t>
      </w:r>
      <w:r>
        <w:t xml:space="preserve"> </w:t>
      </w:r>
      <w:r>
        <w:rPr>
          <w:iCs/>
          <w:i/>
        </w:rPr>
        <w:t xml:space="preserve">p</w:t>
      </w:r>
      <w:r>
        <w:t xml:space="preserve"> </w:t>
      </w:r>
      <w:r>
        <w:t xml:space="preserve">= 0.3417, 4:</w:t>
      </w:r>
      <w:r>
        <w:t xml:space="preserve"> </w:t>
      </w:r>
      <w:r>
        <w:rPr>
          <w:iCs/>
          <w:i/>
        </w:rPr>
        <w:t xml:space="preserve">p</w:t>
      </w:r>
      <w:r>
        <w:t xml:space="preserve"> </w:t>
      </w:r>
      <w:r>
        <w:t xml:space="preserve">= 0.008, 5:</w:t>
      </w:r>
      <w:r>
        <w:t xml:space="preserve"> </w:t>
      </w:r>
      <w:r>
        <w:rPr>
          <w:iCs/>
          <w:i/>
        </w:rPr>
        <w:t xml:space="preserve">p</w:t>
      </w:r>
      <w:r>
        <w:t xml:space="preserve"> </w:t>
      </w:r>
      <w:r>
        <w:t xml:space="preserve">= 0.002, 6:</w:t>
      </w:r>
      <w:r>
        <w:t xml:space="preserve"> </w:t>
      </w:r>
      <w:r>
        <w:rPr>
          <w:iCs/>
          <w:i/>
        </w:rPr>
        <w:t xml:space="preserve">p</w:t>
      </w:r>
      <w:r>
        <w:t xml:space="preserve"> </w:t>
      </w:r>
      <w:r>
        <w:t xml:space="preserve">= 0.001). Regarding the dietary data, 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odyText"/>
      </w:pPr>
      <w:r>
        <w:t xml:space="preserve">Glucose ingestion before and after RT led to significant increases in plasma levels of glucose by 38% immediately before RT (Fig 1B, 0 min:</w:t>
      </w:r>
      <w:r>
        <w:t xml:space="preserve"> </w:t>
      </w:r>
      <w:r>
        <w:rPr>
          <w:iCs/>
          <w:i/>
        </w:rPr>
        <w:t xml:space="preserve">p</w:t>
      </w:r>
      <w:r>
        <w:t xml:space="preserve"> </w:t>
      </w:r>
      <w:r>
        <w:t xml:space="preserve">= 0.000), by 31% during RT (1B, 15 min:</w:t>
      </w:r>
      <w:r>
        <w:t xml:space="preserve"> </w:t>
      </w:r>
      <w:r>
        <w:rPr>
          <w:iCs/>
          <w:i/>
        </w:rPr>
        <w:t xml:space="preserve">p</w:t>
      </w:r>
      <w:r>
        <w:t xml:space="preserve"> </w:t>
      </w:r>
      <w:r>
        <w:t xml:space="preserve">= 0.000) and by 32% immediately after RT (1B, 30 min:</w:t>
      </w:r>
      <w:r>
        <w:t xml:space="preserve"> </w:t>
      </w:r>
      <w:r>
        <w:rPr>
          <w:iCs/>
          <w:i/>
        </w:rPr>
        <w:t xml:space="preserve">p</w:t>
      </w:r>
      <w:r>
        <w:t xml:space="preserve"> </w:t>
      </w:r>
      <w:r>
        <w:t xml:space="preserve">= 0.000), compared to placebo ingestion before and after RT. Two hours after the session, RT with glucose measured 8% lower plasma glucose levels compared to RT with placebo (1B, 270min:</w:t>
      </w:r>
      <w:r>
        <w:t xml:space="preserve"> </w:t>
      </w:r>
      <w:r>
        <w:rPr>
          <w:iCs/>
          <w:i/>
        </w:rPr>
        <w:t xml:space="preserve">p</w:t>
      </w:r>
      <w:r>
        <w:t xml:space="preserve"> </w:t>
      </w:r>
      <w:r>
        <w:t xml:space="preserve">= 0.029). Similarly, levels of c-peptide increased significantly more in exercises with glucose compared to placebo, by 95% immediately before (Fig 1C, 0 min:</w:t>
      </w:r>
      <w:r>
        <w:t xml:space="preserve"> </w:t>
      </w:r>
      <w:r>
        <w:rPr>
          <w:iCs/>
          <w:i/>
        </w:rPr>
        <w:t xml:space="preserve">p</w:t>
      </w:r>
      <w:r>
        <w:t xml:space="preserve"> </w:t>
      </w:r>
      <w:r>
        <w:t xml:space="preserve">= 0.000) and 87% after RT (1C, 30 min:</w:t>
      </w:r>
      <w:r>
        <w:t xml:space="preserve"> </w:t>
      </w:r>
      <w:r>
        <w:rPr>
          <w:iCs/>
          <w:i/>
        </w:rPr>
        <w:t xml:space="preserve">p</w:t>
      </w:r>
      <w:r>
        <w:t xml:space="preserve"> </w:t>
      </w:r>
      <w:r>
        <w:t xml:space="preserve">= 0.000).</w:t>
      </w:r>
    </w:p>
    <w:p>
      <w:pPr>
        <w:pStyle w:val="BodyText"/>
      </w:pPr>
      <w:r>
        <w:t xml:space="preserve">After 5 RT sessions (Fig 1D, Post 5RT), there was a significant difference in strength between glucose and placebo, where placebo decreased strength by 7% more than glucose (1D,</w:t>
      </w:r>
      <w:r>
        <w:t xml:space="preserve"> </w:t>
      </w:r>
      <w:r>
        <w:rPr>
          <w:iCs/>
          <w:i/>
        </w:rPr>
        <w:t xml:space="preserve">p</w:t>
      </w:r>
      <w:r>
        <w:t xml:space="preserve"> </w:t>
      </w:r>
      <w:r>
        <w:t xml:space="preserve">= 0.039). At the other time points, there were no significant differences in mean change between exercising with glucose and placebo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(1D, 30min post 6RT:</w:t>
      </w:r>
      <w:r>
        <w:t xml:space="preserve"> </w:t>
      </w:r>
      <w:r>
        <w:rPr>
          <w:iCs/>
          <w:i/>
        </w:rPr>
        <w:t xml:space="preserve">p</w:t>
      </w:r>
      <w:r>
        <w:t xml:space="preserve"> </w:t>
      </w:r>
      <w:r>
        <w:t xml:space="preserve">= 0.01) and two hours after the sixth RT session (1D, 2h post 6RT:</w:t>
      </w:r>
      <w:r>
        <w:t xml:space="preserve"> </w:t>
      </w:r>
      <w:r>
        <w:rPr>
          <w:iCs/>
          <w:i/>
        </w:rPr>
        <w:t xml:space="preserve">p</w:t>
      </w:r>
      <w:r>
        <w:t xml:space="preserve"> </w:t>
      </w:r>
      <w:r>
        <w:t xml:space="preserve">= 0.004). Twenty-three hours after the last sixth RT session, strength was unchanged compared to after the fifth RT session (23h post 6RT:</w:t>
      </w:r>
      <w:r>
        <w:t xml:space="preserve"> </w:t>
      </w:r>
      <w:r>
        <w:rPr>
          <w:iCs/>
          <w:i/>
        </w:rPr>
        <w:t xml:space="preserve">p</w:t>
      </w:r>
      <w:r>
        <w:t xml:space="preserve"> </w:t>
      </w:r>
      <w:r>
        <w:t xml:space="preserve">= 0.117).</w:t>
      </w:r>
    </w:p>
    <w:bookmarkStart w:id="34" w:name="markers-of-ribosome-biogenesis"/>
    <w:p>
      <w:pPr>
        <w:pStyle w:val="Heading3"/>
      </w:pPr>
      <w:r>
        <w:t xml:space="preserve">Markers of ribosome biogenesis</w:t>
      </w:r>
    </w:p>
    <w:bookmarkStart w:id="32" w:name="total-rna-and-ribosomal-rna"/>
    <w:p>
      <w:pPr>
        <w:pStyle w:val="Heading5"/>
      </w:pPr>
      <w:r>
        <w:t xml:space="preserve">Total RNA and ribosomal RNA</w:t>
      </w:r>
    </w:p>
    <w:p>
      <w:pPr>
        <w:pStyle w:val="FirstParagraph"/>
      </w:pPr>
      <w:r>
        <w:t xml:space="preserve">Resistance training with glucose did not induce a higher accumulation of total RNA (fig 2A,</w:t>
      </w:r>
      <w:r>
        <w:t xml:space="preserve"> </w:t>
      </w:r>
      <w:r>
        <w:rPr>
          <w:iCs/>
          <w:i/>
        </w:rPr>
        <w:t xml:space="preserve">p</w:t>
      </w:r>
      <w:r>
        <w:t xml:space="preserve"> </w:t>
      </w:r>
      <w:r>
        <w:t xml:space="preserve">= 0.499) or rRNA (fig 2B, 47S:</w:t>
      </w:r>
      <w:r>
        <w:t xml:space="preserve"> </w:t>
      </w:r>
      <w:r>
        <w:rPr>
          <w:iCs/>
          <w:i/>
        </w:rPr>
        <w:t xml:space="preserve">p</w:t>
      </w:r>
      <w:r>
        <w:t xml:space="preserve"> </w:t>
      </w:r>
      <w:r>
        <w:t xml:space="preserve">= 0.502, 18S:</w:t>
      </w:r>
      <w:r>
        <w:t xml:space="preserve"> </w:t>
      </w:r>
      <w:r>
        <w:rPr>
          <w:iCs/>
          <w:i/>
        </w:rPr>
        <w:t xml:space="preserve">p</w:t>
      </w:r>
      <w:r>
        <w:t xml:space="preserve"> </w:t>
      </w:r>
      <w:r>
        <w:t xml:space="preserve">= 0.585, 28S:</w:t>
      </w:r>
      <w:r>
        <w:t xml:space="preserve"> </w:t>
      </w:r>
      <w:r>
        <w:rPr>
          <w:iCs/>
          <w:i/>
        </w:rPr>
        <w:t xml:space="preserve">p</w:t>
      </w:r>
      <w:r>
        <w:t xml:space="preserve"> </w:t>
      </w:r>
      <w:r>
        <w:t xml:space="preserve">= 0.74, 5.8S:</w:t>
      </w:r>
      <w:r>
        <w:t xml:space="preserve"> </w:t>
      </w:r>
      <w:r>
        <w:rPr>
          <w:iCs/>
          <w:i/>
        </w:rPr>
        <w:t xml:space="preserve">p</w:t>
      </w:r>
      <w:r>
        <w:t xml:space="preserve"> </w:t>
      </w:r>
      <w:r>
        <w:t xml:space="preserve">= 0.935, 5S:</w:t>
      </w:r>
      <w:r>
        <w:t xml:space="preserve"> </w:t>
      </w:r>
      <w:r>
        <w:rPr>
          <w:iCs/>
          <w:i/>
        </w:rPr>
        <w:t xml:space="preserve">p</w:t>
      </w:r>
      <w:r>
        <w:t xml:space="preserve"> </w:t>
      </w:r>
      <w:r>
        <w:t xml:space="preserve">= 0.79) compared to RT with placebo. From baseline to post-intervention, there was a mean increase in levels of total RNA by 26 and 22% after RT with glucose and placebo, respectively (</w:t>
      </w:r>
      <w:r>
        <w:rPr>
          <w:iCs/>
          <w:i/>
        </w:rPr>
        <w:t xml:space="preserve">p</w:t>
      </w:r>
      <w:r>
        <w:t xml:space="preserve"> </w:t>
      </w:r>
      <w:r>
        <w:t xml:space="preserve">&lt; 0.05, compared to baseline). A robust accumulation was also observed in ribosomal RNA expression in both RT with glucose and placebo, with mean increases between 34-43% (GLU) and 33-41% (PLAC) (</w:t>
      </w:r>
      <w:r>
        <w:rPr>
          <w:iCs/>
          <w:i/>
        </w:rPr>
        <w:t xml:space="preserve">p</w:t>
      </w:r>
      <w:r>
        <w:t xml:space="preserve"> </w:t>
      </w:r>
      <w:r>
        <w:t xml:space="preserve">&lt; 0.05, compared to baseline) in the four rRNAs. The expression of the 47S pre-rRNA increased by 37 and 59% with glucose and placebo respectively, where only RT with placebo increased significantly from baseline to post (fig 45,</w:t>
      </w:r>
      <w:r>
        <w:t xml:space="preserve"> </w:t>
      </w:r>
      <w:r>
        <w:rPr>
          <w:iCs/>
          <w:i/>
        </w:rPr>
        <w:t xml:space="preserve">p</w:t>
      </w:r>
      <w:r>
        <w:t xml:space="preserve"> </w:t>
      </w:r>
      <w:r>
        <w:t xml:space="preserve">= 0.04).</w:t>
      </w:r>
    </w:p>
    <w:bookmarkEnd w:id="32"/>
    <w:bookmarkStart w:id="33" w:name="protein"/>
    <w:p>
      <w:pPr>
        <w:pStyle w:val="Heading5"/>
      </w:pPr>
      <w:r>
        <w:t xml:space="preserve">Protein</w:t>
      </w:r>
    </w:p>
    <w:p>
      <w:pPr>
        <w:pStyle w:val="FirstParagraph"/>
      </w:pPr>
      <w:r>
        <w:t xml:space="preserve">Levels of c-Myc increased by 42% more after RT with placebo compared to RT with glucose, a significant difference (Fig 3A:</w:t>
      </w:r>
      <w:r>
        <w:t xml:space="preserve"> </w:t>
      </w:r>
      <w:r>
        <w:rPr>
          <w:iCs/>
          <w:i/>
        </w:rPr>
        <w:t xml:space="preserve">p</w:t>
      </w:r>
      <w:r>
        <w:t xml:space="preserve"> </w:t>
      </w:r>
      <w:r>
        <w:t xml:space="preserve">= 0.027). Levels of UBF and rpS6 increased by 19 and 23% more in placebo compared to glucose, with no significant differences between groups (Fig 3A: UBF:</w:t>
      </w:r>
      <w:r>
        <w:t xml:space="preserve"> </w:t>
      </w:r>
      <w:r>
        <w:rPr>
          <w:iCs/>
          <w:i/>
        </w:rPr>
        <w:t xml:space="preserve">p</w:t>
      </w:r>
      <w:r>
        <w:t xml:space="preserve"> </w:t>
      </w:r>
      <w:r>
        <w:t xml:space="preserve">= 0.185, rpS6:</w:t>
      </w:r>
      <w:r>
        <w:t xml:space="preserve"> </w:t>
      </w:r>
      <w:r>
        <w:rPr>
          <w:iCs/>
          <w:i/>
        </w:rPr>
        <w:t xml:space="preserve">p</w:t>
      </w:r>
      <w:r>
        <w:t xml:space="preserve"> </w:t>
      </w:r>
      <w:r>
        <w:t xml:space="preserve">= 0.178). The increase in both RT with glucose and placebo for all measured proteins was significant at post compared to baseline (</w:t>
      </w:r>
      <w:r>
        <w:rPr>
          <w:iCs/>
          <w:i/>
        </w:rPr>
        <w:t xml:space="preserve">p</w:t>
      </w:r>
      <w:r>
        <w:t xml:space="preserve"> </w:t>
      </w:r>
      <w:r>
        <w:t xml:space="preserve">&lt; 0.05). Further, we found a linear relationship between UBF and total RNA, where an increase of 1 SD unit of UBF equated to a 13% increase in total RNA (</w:t>
      </w:r>
      <w:r>
        <w:rPr>
          <w:iCs/>
          <w:i/>
        </w:rPr>
        <w:t xml:space="preserve">p</w:t>
      </w:r>
      <w:r>
        <w:t xml:space="preserve"> </w:t>
      </w:r>
      <w:r>
        <w:t xml:space="preserve">= 0.002).</w:t>
      </w:r>
    </w:p>
    <w:bookmarkEnd w:id="33"/>
    <w:bookmarkEnd w:id="34"/>
    <w:bookmarkEnd w:id="35"/>
    <w:bookmarkStart w:id="36" w:name="discussion"/>
    <w:p>
      <w:pPr>
        <w:pStyle w:val="Heading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treatment on rDNA transcription initiation observed in previous</w:t>
      </w:r>
      <w:r>
        <w:t xml:space="preserve"> </w:t>
      </w:r>
      <w:r>
        <w:rPr>
          <w:iCs/>
          <w:i/>
        </w:rPr>
        <w:t xml:space="preserve">in vitro</w:t>
      </w:r>
      <w:r>
        <w:t xml:space="preserve"> </w:t>
      </w:r>
      <w:r>
        <w:t xml:space="preserve">studies</w:t>
      </w:r>
      <w:r>
        <w:t xml:space="preserve"> </w:t>
      </w:r>
      <w:r>
        <w:t xml:space="preserve">(26, 37)</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to.</w:t>
      </w:r>
    </w:p>
    <w:p>
      <w:pPr>
        <w:pStyle w:val="BodyText"/>
      </w:pPr>
      <w:r>
        <w:t xml:space="preserve">To our knowledge, no previous study has investigated the effects of glucose compared to placebo ingestion with RT on ribosome biogenesis in human skeletal muscle previously, making our hypotheses exploratory and comparisons few.</w:t>
      </w:r>
      <w:r>
        <w:rPr>
          <w:bCs/>
          <w:b/>
        </w:rPr>
        <w:t xml:space="preserve">In vitro</w:t>
      </w:r>
      <w:r>
        <w:t xml:space="preserve"> </w:t>
      </w:r>
      <w:r>
        <w:t xml:space="preserve">studies on mice glomerular epithelial cells</w:t>
      </w:r>
      <w:r>
        <w:t xml:space="preserve"> </w:t>
      </w:r>
      <w:r>
        <w:t xml:space="preserve">(26)</w:t>
      </w:r>
      <w:r>
        <w:t xml:space="preserve"> </w:t>
      </w:r>
      <w:r>
        <w:t xml:space="preserve">and human breast cancer cells</w:t>
      </w:r>
      <w:r>
        <w:t xml:space="preserve"> </w:t>
      </w:r>
      <w:r>
        <w:t xml:space="preserve">(37)</w:t>
      </w:r>
      <w:r>
        <w:t xml:space="preserve"> </w:t>
      </w:r>
      <w:r>
        <w:t xml:space="preserve">have observed glucose-induced UBF-dependent augmentation of ribosome biogenesis</w:t>
      </w:r>
      <w:r>
        <w:t xml:space="preserve"> </w:t>
      </w:r>
      <w:r>
        <w:t xml:space="preserve">(26)</w:t>
      </w:r>
      <w:r>
        <w:t xml:space="preserve">, and reduced rRNA transcription by glucose starvation</w:t>
      </w:r>
      <w:r>
        <w:t xml:space="preserve"> </w:t>
      </w:r>
      <w:r>
        <w:t xml:space="preserve">(37)</w:t>
      </w:r>
      <w:r>
        <w:t xml:space="preserve">. These findings do imply an important role for glucose in the initiation of rDNA transcription, the rate-limiting step of ribosome biogenesis</w:t>
      </w:r>
      <w:r>
        <w:t xml:space="preserve"> </w:t>
      </w:r>
      <w:r>
        <w:t xml:space="preserve">(26, 37)</w:t>
      </w:r>
      <w:r>
        <w:t xml:space="preserve">. In addition, Hillier et al. found physiological hyperinsulinemia to stimulate p70S6K phosphorylation in human skeletal muscle</w:t>
      </w:r>
      <w:r>
        <w:t xml:space="preserve"> </w:t>
      </w:r>
      <w:r>
        <w:t xml:space="preserve">(23)</w:t>
      </w:r>
      <w:r>
        <w:t xml:space="preserve">. Moreover, robust increases in markers of ribosome biogenesis such as 47S pre-rRNA and mature rRNA can be expected after an acute bout of RT</w:t>
      </w:r>
      <w:r>
        <w:t xml:space="preserve"> </w:t>
      </w:r>
      <w:r>
        <w:t xml:space="preserve">(38)</w:t>
      </w:r>
      <w:r>
        <w:t xml:space="preserve"> </w:t>
      </w:r>
      <w:r>
        <w:t xml:space="preserve">or a short period of RT</w:t>
      </w:r>
      <w:r>
        <w:t xml:space="preserve"> </w:t>
      </w:r>
      <w:r>
        <w:t xml:space="preserve">(5, 28)</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treatment would stimulate energy-sensitive pathways such as PIH1, mTORC1, ERK1/2, AMPK and SIRT1</w:t>
      </w:r>
      <w:r>
        <w:t xml:space="preserve"> </w:t>
      </w:r>
      <w:r>
        <w:t xml:space="preserve">(26, 27, 37, 39)</w:t>
      </w:r>
      <w:r>
        <w:t xml:space="preserve">. Despite previously reported upregulation in PIC assembly due to high-glucose mediated mTORC1, ERK1/2 and PIH1 or low-glucose mediated AMPK and SIRT1 activation</w:t>
      </w:r>
      <w:r>
        <w:t xml:space="preserve"> </w:t>
      </w:r>
      <w:r>
        <w:t xml:space="preserve">(22, 26, 27, 37, 39)</w:t>
      </w:r>
      <w:r>
        <w:t xml:space="preserve">, the present study showed no signs of such effects of glucose vs. placebo treatment. Resistance training, irrespective of treatment, yielded a robust accumulation of total RNA and expression of rRNA, in line with previous observations</w:t>
      </w:r>
      <w:r>
        <w:t xml:space="preserve"> </w:t>
      </w:r>
      <w:r>
        <w:t xml:space="preserve">(5, 28)</w:t>
      </w:r>
      <w:r>
        <w:t xml:space="preserve">. Due to the exploratory nature of our hypotheses, this was hardly a very surprising result. Indeed, previous studies have used cell cultures from yeast</w:t>
      </w:r>
      <w:r>
        <w:t xml:space="preserve"> </w:t>
      </w:r>
      <w:r>
        <w:t xml:space="preserve">(27)</w:t>
      </w:r>
      <w:r>
        <w:t xml:space="preserve">, rodent</w:t>
      </w:r>
      <w:r>
        <w:t xml:space="preserve"> </w:t>
      </w:r>
      <w:r>
        <w:t xml:space="preserve">(22, 26)</w:t>
      </w:r>
      <w:r>
        <w:t xml:space="preserve"> </w:t>
      </w:r>
      <w:r>
        <w:t xml:space="preserve">or human cells</w:t>
      </w:r>
      <w:r>
        <w:t xml:space="preserve"> </w:t>
      </w:r>
      <w:r>
        <w:t xml:space="preserve">(37)</w:t>
      </w:r>
      <w:r>
        <w:t xml:space="preserve"> </w:t>
      </w:r>
      <w:r>
        <w:t xml:space="preserve">and are, as such, not directly comparable to human skeletal muscle cells. Importantly, previous studies investigated high vs. low glucose treatment</w:t>
      </w:r>
      <w:r>
        <w:t xml:space="preserve"> </w:t>
      </w:r>
      <w:r>
        <w:t xml:space="preserve">(26)</w:t>
      </w:r>
      <w:r>
        <w:t xml:space="preserve">, or high glucose vs. glucose starvation</w:t>
      </w:r>
      <w:r>
        <w:t xml:space="preserve"> </w:t>
      </w:r>
      <w:r>
        <w:t xml:space="preserve">(22, 37)</w:t>
      </w:r>
      <w:r>
        <w:t xml:space="preserve">, while the present study aimed to compare high glucose treatment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(13, 14, 16)</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odyText"/>
      </w:pPr>
      <w:r>
        <w:t xml:space="preserve">In the present study, despite not measuring the activity in central pathways mediating anabolic signalling (mTORC1, ERK1/2), analyses of the downstream target UBF and the ribosomal protein S6 (rpS6) further supported observations from the RNA data. UBF has previously been described as a master regulator of rDNA transcription</w:t>
      </w:r>
      <w:r>
        <w:t xml:space="preserve"> </w:t>
      </w:r>
      <w:r>
        <w:rPr>
          <w:iCs/>
          <w:i/>
        </w:rPr>
        <w:t xml:space="preserve">in vitro</w:t>
      </w:r>
      <w:r>
        <w:t xml:space="preserve"> </w:t>
      </w:r>
      <w:r>
        <w:t xml:space="preserve">(14, 16, 40)</w:t>
      </w:r>
      <w:r>
        <w:t xml:space="preserve">, while rpS6 is proposed as a valid and reliable means to measure ribosome biogenesis</w:t>
      </w:r>
      <w:r>
        <w:t xml:space="preserve"> </w:t>
      </w:r>
      <w:r>
        <w:t xml:space="preserve">(41, 42)</w:t>
      </w:r>
      <w:r>
        <w:t xml:space="preserve">. While content of UBF and rpS6 changed equally in RT with glucose compared to placebo, content of c-Myc was significanly higher after RT with placebo. This was unexpected, since the general transcription factor c-Myc previously has been described as a potent regulator of ribosome biogenesis, independent of mTORC1, and a direct regulator of UBF</w:t>
      </w:r>
      <w:r>
        <w:t xml:space="preserve"> </w:t>
      </w:r>
      <w:r>
        <w:t xml:space="preserve">(20, 21, 25)</w:t>
      </w:r>
      <w:r>
        <w:t xml:space="preserve">. Along that notion, it would be reasonable to expect that differences in c-Myc content was reflected in total RNA and rRNA. However, this was not the case in the present study. c-Myc’s independency from mTORC1 may explain why only c-Myc content differed between treatments, while UBF and rpS6 content changed equally. Moreover, the observation that total RNA and rRNA were unaffected by the significant differences in c-Myc content, does strengthen the importance and specificity of UBF content in human skeletal muscle ribosome biogenesis. The linear relationship found exclusively between UBF content and total RNA accumulation, and not c-Myc or rpS6, found in the present study also support this notion. While this is not a novel finding, it has only recently been observed in human skeletal muscle following RT</w:t>
      </w:r>
      <w:r>
        <w:t xml:space="preserve"> </w:t>
      </w:r>
      <w:r>
        <w:t xml:space="preserve">(28)</w:t>
      </w:r>
      <w:r>
        <w:t xml:space="preserve">. As such, UBF also seems to respond to mechanical loading in human muscle cells in line with responses seen in cell cultures and synergist ablation models</w:t>
      </w:r>
      <w:r>
        <w:t xml:space="preserve"> </w:t>
      </w:r>
      <w:r>
        <w:t xml:space="preserve">(26, 43)</w:t>
      </w:r>
      <w:r>
        <w:t xml:space="preserve">, in addition to the previously reported response to hormonal, nutritional, and cellular energy signals</w:t>
      </w:r>
      <w:r>
        <w:t xml:space="preserve"> </w:t>
      </w:r>
      <w:r>
        <w:t xml:space="preserve">(14, 16, 40)</w:t>
      </w:r>
      <w:r>
        <w:t xml:space="preserve">.</w:t>
      </w:r>
    </w:p>
    <w:p>
      <w:pPr>
        <w:pStyle w:val="BodyText"/>
      </w:pPr>
      <w:r>
        <w:t xml:space="preserve">As in the biological data, there was generally no difference in the change of strength as an index between the treatments.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(44)</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(44)</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treatments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(12)</w:t>
      </w:r>
      <w:r>
        <w:t xml:space="preserve">, thus increasing performance with glucose compared to placebo. This may also, at least partly, explain the significantly higher content of the stress-responsive c-Myc in RT with placebo compared to glucose</w:t>
      </w:r>
      <w:r>
        <w:t xml:space="preserve"> </w:t>
      </w:r>
      <w:r>
        <w:t xml:space="preserve">(20, 21, 25)</w:t>
      </w:r>
      <w:r>
        <w:t xml:space="preserve">. However, training volume showed that the total training session volume was equal on pairwise consecutive days, i.e. no difference between days 1-2, days 3-4 and so on. Hence, there were no differences in mechanical loading to induce a higher stress between treatments. Arguably, the significantly higher plasma levels of glucose during RT with glucose may have increased energy availability in muscle, resulting in lower metabolic stress and less performance reduction, compared to placebo during RT</w:t>
      </w:r>
      <w:r>
        <w:t xml:space="preserve"> </w:t>
      </w:r>
      <w:r>
        <w:t xml:space="preserve">(45, 46)</w:t>
      </w:r>
      <w:r>
        <w:t xml:space="preserve"> </w:t>
      </w:r>
      <w:r>
        <w:t xml:space="preserve">Unfortunately, we did not conduct measurements of markers of metabolic stress such ass inorganic phosphate, H+, Mg2+ and the ADP/ATP ratio</w:t>
      </w:r>
      <w:r>
        <w:t xml:space="preserve"> </w:t>
      </w:r>
      <w:r>
        <w:t xml:space="preserve">(45, 46)</w:t>
      </w:r>
      <w:r>
        <w:t xml:space="preserve">. Therefore, discussing the potential effect of differences in metabolic stress between treatments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pPr>
        <w:pStyle w:val="BodyTex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End w:id="36"/>
    <w:bookmarkStart w:id="130" w:name="references"/>
    <w:p>
      <w:pPr>
        <w:pStyle w:val="Heading2"/>
      </w:pPr>
      <w:r>
        <w:t xml:space="preserve">References</w:t>
      </w:r>
    </w:p>
    <w:bookmarkStart w:id="129" w:name="refs"/>
    <w:bookmarkStart w:id="38" w:name="ref-alvarez_interindividual_2018"/>
    <w:p>
      <w:pPr>
        <w:pStyle w:val="Bibliography"/>
      </w:pPr>
      <w:r>
        <w:t xml:space="preserve">1.</w:t>
      </w:r>
      <w:r>
        <w:t xml:space="preserve"> </w:t>
      </w:r>
      <w:r>
        <w:t xml:space="preserve">	</w:t>
      </w:r>
      <w:r>
        <w:rPr>
          <w:bCs/>
          <w:b/>
        </w:rPr>
        <w:t xml:space="preserve">Álvarez C</w:t>
      </w:r>
      <w:r>
        <w:t xml:space="preserve">,</w:t>
      </w:r>
      <w:r>
        <w:t xml:space="preserve"> </w:t>
      </w:r>
      <w:r>
        <w:rPr>
          <w:bCs/>
          <w:b/>
        </w:rPr>
        <w:t xml:space="preserve">Ramírez-Vélez R</w:t>
      </w:r>
      <w:r>
        <w:t xml:space="preserve">,</w:t>
      </w:r>
      <w:r>
        <w:t xml:space="preserve"> </w:t>
      </w:r>
      <w:r>
        <w:rPr>
          <w:bCs/>
          <w:b/>
        </w:rPr>
        <w:t xml:space="preserve">Ramírez-Campillo R</w:t>
      </w:r>
      <w:r>
        <w:t xml:space="preserve">,</w:t>
      </w:r>
      <w:r>
        <w:t xml:space="preserve"> </w:t>
      </w:r>
      <w:r>
        <w:rPr>
          <w:bCs/>
          <w:b/>
        </w:rPr>
        <w:t xml:space="preserve">Ito S</w:t>
      </w:r>
      <w:r>
        <w:t xml:space="preserve">,</w:t>
      </w:r>
      <w:r>
        <w:t xml:space="preserve"> </w:t>
      </w:r>
      <w:r>
        <w:rPr>
          <w:bCs/>
          <w:b/>
        </w:rPr>
        <w:t xml:space="preserve">Celis-Morales C</w:t>
      </w:r>
      <w:r>
        <w:t xml:space="preserve">,</w:t>
      </w:r>
      <w:r>
        <w:t xml:space="preserve"> </w:t>
      </w:r>
      <w:r>
        <w:rPr>
          <w:bCs/>
          <w:b/>
        </w:rPr>
        <w:t xml:space="preserve">García-Hermoso A</w:t>
      </w:r>
      <w:r>
        <w:t xml:space="preserve">,</w:t>
      </w:r>
      <w:r>
        <w:t xml:space="preserve"> </w:t>
      </w:r>
      <w:r>
        <w:rPr>
          <w:bCs/>
          <w:b/>
        </w:rPr>
        <w:t xml:space="preserve">Rodriguez-Mañas L</w:t>
      </w:r>
      <w:r>
        <w:t xml:space="preserve">,</w:t>
      </w:r>
      <w:r>
        <w:t xml:space="preserve"> </w:t>
      </w:r>
      <w:r>
        <w:rPr>
          <w:bCs/>
          <w:b/>
        </w:rPr>
        <w:t xml:space="preserve">Lucia A</w:t>
      </w:r>
      <w:r>
        <w:t xml:space="preserve">,</w:t>
      </w:r>
      <w:r>
        <w:t xml:space="preserve"> </w:t>
      </w:r>
      <w:r>
        <w:rPr>
          <w:bCs/>
          <w:b/>
        </w:rPr>
        <w:t xml:space="preserve">Izquierdo M</w:t>
      </w:r>
      <w:r>
        <w:t xml:space="preserve">. Interindividual responses to different exercise stimuli among insulin-resistant women.</w:t>
      </w:r>
      <w:r>
        <w:t xml:space="preserve"> </w:t>
      </w:r>
      <w:r>
        <w:rPr>
          <w:iCs/>
          <w:i/>
        </w:rPr>
        <w:t xml:space="preserve">Scandinavian Journal of Medicine &amp; Science in Sports</w:t>
      </w:r>
      <w:r>
        <w:t xml:space="preserve"> </w:t>
      </w:r>
      <w:r>
        <w:t xml:space="preserve">28: 2052–2065, 2018. doi:</w:t>
      </w:r>
      <w:r>
        <w:t xml:space="preserve"> </w:t>
      </w:r>
      <w:hyperlink r:id="rId37">
        <w:r>
          <w:rPr>
            <w:rStyle w:val="Hyperlink"/>
          </w:rPr>
          <w:t xml:space="preserve">10.1111/sms.13213</w:t>
        </w:r>
      </w:hyperlink>
      <w:r>
        <w:t xml:space="preserve">.</w:t>
      </w:r>
    </w:p>
    <w:bookmarkEnd w:id="38"/>
    <w:bookmarkStart w:id="40" w:name="ref-mann_high_2014"/>
    <w:p>
      <w:pPr>
        <w:pStyle w:val="Bibliography"/>
      </w:pPr>
      <w:r>
        <w:t xml:space="preserve">2.</w:t>
      </w:r>
      <w:r>
        <w:t xml:space="preserve"> </w:t>
      </w:r>
      <w:r>
        <w:t xml:space="preserve">	</w:t>
      </w:r>
      <w:r>
        <w:rPr>
          <w:bCs/>
          <w:b/>
        </w:rPr>
        <w:t xml:space="preserve">Mann TN</w:t>
      </w:r>
      <w:r>
        <w:t xml:space="preserve">,</w:t>
      </w:r>
      <w:r>
        <w:t xml:space="preserve"> </w:t>
      </w:r>
      <w:r>
        <w:rPr>
          <w:bCs/>
          <w:b/>
        </w:rPr>
        <w:t xml:space="preserve">Lamberts RP</w:t>
      </w:r>
      <w:r>
        <w:t xml:space="preserve">,</w:t>
      </w:r>
      <w:r>
        <w:t xml:space="preserve"> </w:t>
      </w:r>
      <w:r>
        <w:rPr>
          <w:bCs/>
          <w:b/>
        </w:rPr>
        <w:t xml:space="preserve">Lambert MI</w:t>
      </w:r>
      <w:r>
        <w:t xml:space="preserve">.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w:t>
      </w:r>
      <w:r>
        <w:t xml:space="preserve"> </w:t>
      </w:r>
      <w:r>
        <w:rPr>
          <w:iCs/>
          <w:i/>
        </w:rPr>
        <w:t xml:space="preserve">Sports Medicine</w:t>
      </w:r>
      <w:r>
        <w:t xml:space="preserve"> </w:t>
      </w:r>
      <w:r>
        <w:t xml:space="preserve">44: 1113–1124, 2014. doi:</w:t>
      </w:r>
      <w:r>
        <w:t xml:space="preserve"> </w:t>
      </w:r>
      <w:hyperlink r:id="rId39">
        <w:r>
          <w:rPr>
            <w:rStyle w:val="Hyperlink"/>
          </w:rPr>
          <w:t xml:space="preserve">10.1007/s40279-014-0197-3</w:t>
        </w:r>
      </w:hyperlink>
      <w:r>
        <w:t xml:space="preserve">.</w:t>
      </w:r>
    </w:p>
    <w:bookmarkEnd w:id="40"/>
    <w:bookmarkStart w:id="42" w:name="ref-thalacker-mercer_cluster_2013"/>
    <w:p>
      <w:pPr>
        <w:pStyle w:val="Bibliography"/>
      </w:pPr>
      <w:r>
        <w:t xml:space="preserve">3.</w:t>
      </w:r>
      <w:r>
        <w:t xml:space="preserve"> </w:t>
      </w:r>
      <w:r>
        <w:t xml:space="preserve">	</w:t>
      </w:r>
      <w:r>
        <w:rPr>
          <w:bCs/>
          <w:b/>
        </w:rPr>
        <w:t xml:space="preserve">Thalacker-Mercer A</w:t>
      </w:r>
      <w:r>
        <w:t xml:space="preserve">,</w:t>
      </w:r>
      <w:r>
        <w:t xml:space="preserve"> </w:t>
      </w:r>
      <w:r>
        <w:rPr>
          <w:bCs/>
          <w:b/>
        </w:rPr>
        <w:t xml:space="preserve">Stec M</w:t>
      </w:r>
      <w:r>
        <w:t xml:space="preserve">,</w:t>
      </w:r>
      <w:r>
        <w:t xml:space="preserve"> </w:t>
      </w:r>
      <w:r>
        <w:rPr>
          <w:bCs/>
          <w:b/>
        </w:rPr>
        <w:t xml:space="preserve">Cui X</w:t>
      </w:r>
      <w:r>
        <w:t xml:space="preserve">,</w:t>
      </w:r>
      <w:r>
        <w:t xml:space="preserve"> </w:t>
      </w:r>
      <w:r>
        <w:rPr>
          <w:bCs/>
          <w:b/>
        </w:rPr>
        <w:t xml:space="preserve">Cross J</w:t>
      </w:r>
      <w:r>
        <w:t xml:space="preserve">,</w:t>
      </w:r>
      <w:r>
        <w:t xml:space="preserve"> </w:t>
      </w:r>
      <w:r>
        <w:rPr>
          <w:bCs/>
          <w:b/>
        </w:rPr>
        <w:t xml:space="preserve">Windham S</w:t>
      </w:r>
      <w:r>
        <w:t xml:space="preserve">,</w:t>
      </w:r>
      <w:r>
        <w:t xml:space="preserve"> </w:t>
      </w:r>
      <w:r>
        <w:rPr>
          <w:bCs/>
          <w:b/>
        </w:rPr>
        <w:t xml:space="preserve">Bamman M</w:t>
      </w:r>
      <w:r>
        <w:t xml:space="preserve">. Cluster analysis reveals differential transcript profiles associated with resistance training-induced human skeletal muscle hypertrophy.</w:t>
      </w:r>
      <w:r>
        <w:t xml:space="preserve"> </w:t>
      </w:r>
      <w:r>
        <w:rPr>
          <w:iCs/>
          <w:i/>
        </w:rPr>
        <w:t xml:space="preserve">Physiological Genomics</w:t>
      </w:r>
      <w:r>
        <w:t xml:space="preserve"> </w:t>
      </w:r>
      <w:r>
        <w:t xml:space="preserve">45: 499–507, 2013. doi:</w:t>
      </w:r>
      <w:r>
        <w:t xml:space="preserve"> </w:t>
      </w:r>
      <w:hyperlink r:id="rId41">
        <w:r>
          <w:rPr>
            <w:rStyle w:val="Hyperlink"/>
          </w:rPr>
          <w:t xml:space="preserve">10.1152/physiolgenomics.00167.2012</w:t>
        </w:r>
      </w:hyperlink>
      <w:r>
        <w:t xml:space="preserve">.</w:t>
      </w:r>
    </w:p>
    <w:bookmarkEnd w:id="42"/>
    <w:bookmarkStart w:id="44" w:name="ref-figueiredo_genetic_2021"/>
    <w:p>
      <w:pPr>
        <w:pStyle w:val="Bibliography"/>
      </w:pPr>
      <w:r>
        <w:t xml:space="preserve">4.</w:t>
      </w:r>
      <w:r>
        <w:t xml:space="preserve"> </w:t>
      </w:r>
      <w:r>
        <w:t xml:space="preserve">	</w:t>
      </w:r>
      <w:r>
        <w:rPr>
          <w:bCs/>
          <w:b/>
        </w:rPr>
        <w:t xml:space="preserve">Figueiredo VC</w:t>
      </w:r>
      <w:r>
        <w:t xml:space="preserve">,</w:t>
      </w:r>
      <w:r>
        <w:t xml:space="preserve"> </w:t>
      </w:r>
      <w:r>
        <w:rPr>
          <w:bCs/>
          <w:b/>
        </w:rPr>
        <w:t xml:space="preserve">Wen Y</w:t>
      </w:r>
      <w:r>
        <w:t xml:space="preserve">,</w:t>
      </w:r>
      <w:r>
        <w:t xml:space="preserve"> </w:t>
      </w:r>
      <w:r>
        <w:rPr>
          <w:bCs/>
          <w:b/>
        </w:rPr>
        <w:t xml:space="preserve">Alkner B</w:t>
      </w:r>
      <w:r>
        <w:t xml:space="preserve">,</w:t>
      </w:r>
      <w:r>
        <w:t xml:space="preserve"> </w:t>
      </w:r>
      <w:r>
        <w:rPr>
          <w:bCs/>
          <w:b/>
        </w:rPr>
        <w:t xml:space="preserve">Fernandez‐Gonzalo R</w:t>
      </w:r>
      <w:r>
        <w:t xml:space="preserve">,</w:t>
      </w:r>
      <w:r>
        <w:t xml:space="preserve"> </w:t>
      </w:r>
      <w:r>
        <w:rPr>
          <w:bCs/>
          <w:b/>
        </w:rPr>
        <w:t xml:space="preserve">Norrbom J</w:t>
      </w:r>
      <w:r>
        <w:t xml:space="preserve">,</w:t>
      </w:r>
      <w:r>
        <w:t xml:space="preserve"> </w:t>
      </w:r>
      <w:r>
        <w:rPr>
          <w:bCs/>
          <w:b/>
        </w:rPr>
        <w:t xml:space="preserve">Vechetti IJ</w:t>
      </w:r>
      <w:r>
        <w:t xml:space="preserve">,</w:t>
      </w:r>
      <w:r>
        <w:t xml:space="preserve"> </w:t>
      </w:r>
      <w:r>
        <w:rPr>
          <w:bCs/>
          <w:b/>
        </w:rPr>
        <w:t xml:space="preserve">Valentino T</w:t>
      </w:r>
      <w:r>
        <w:t xml:space="preserve">,</w:t>
      </w:r>
      <w:r>
        <w:t xml:space="preserve"> </w:t>
      </w:r>
      <w:r>
        <w:rPr>
          <w:bCs/>
          <w:b/>
        </w:rPr>
        <w:t xml:space="preserve">Mobley CB</w:t>
      </w:r>
      <w:r>
        <w:t xml:space="preserve">,</w:t>
      </w:r>
      <w:r>
        <w:t xml:space="preserve"> </w:t>
      </w:r>
      <w:r>
        <w:rPr>
          <w:bCs/>
          <w:b/>
        </w:rPr>
        <w:t xml:space="preserve">Zentner GE</w:t>
      </w:r>
      <w:r>
        <w:t xml:space="preserve">,</w:t>
      </w:r>
      <w:r>
        <w:t xml:space="preserve"> </w:t>
      </w:r>
      <w:r>
        <w:rPr>
          <w:bCs/>
          <w:b/>
        </w:rPr>
        <w:t xml:space="preserve">Peterson CA</w:t>
      </w:r>
      <w:r>
        <w:t xml:space="preserve">,</w:t>
      </w:r>
      <w:r>
        <w:t xml:space="preserve"> </w:t>
      </w:r>
      <w:r>
        <w:rPr>
          <w:bCs/>
          <w:b/>
        </w:rPr>
        <w:t xml:space="preserve">McCarthy JJ</w:t>
      </w:r>
      <w:r>
        <w:t xml:space="preserve">,</w:t>
      </w:r>
      <w:r>
        <w:t xml:space="preserve"> </w:t>
      </w:r>
      <w:r>
        <w:rPr>
          <w:bCs/>
          <w:b/>
        </w:rPr>
        <w:t xml:space="preserve">Murach KA</w:t>
      </w:r>
      <w:r>
        <w:t xml:space="preserve">,</w:t>
      </w:r>
      <w:r>
        <w:t xml:space="preserve"> </w:t>
      </w:r>
      <w:r>
        <w:rPr>
          <w:bCs/>
          <w:b/>
        </w:rPr>
        <w:t xml:space="preserve">Walden F</w:t>
      </w:r>
      <w:r>
        <w:t xml:space="preserve">. Genetic and epigenetic regulation of skeletal muscle ribosome biogenesis with exercise.</w:t>
      </w:r>
      <w:r>
        <w:t xml:space="preserve"> </w:t>
      </w:r>
      <w:r>
        <w:rPr>
          <w:iCs/>
          <w:i/>
        </w:rPr>
        <w:t xml:space="preserve">The Journal of Physiology</w:t>
      </w:r>
      <w:r>
        <w:t xml:space="preserve"> </w:t>
      </w:r>
      <w:r>
        <w:t xml:space="preserve">599: 3363–3384, 2021. doi:</w:t>
      </w:r>
      <w:r>
        <w:t xml:space="preserve"> </w:t>
      </w:r>
      <w:hyperlink r:id="rId43">
        <w:r>
          <w:rPr>
            <w:rStyle w:val="Hyperlink"/>
          </w:rPr>
          <w:t xml:space="preserve">10.1113/JP281244</w:t>
        </w:r>
      </w:hyperlink>
      <w:r>
        <w:t xml:space="preserve">.</w:t>
      </w:r>
    </w:p>
    <w:bookmarkEnd w:id="44"/>
    <w:bookmarkStart w:id="46" w:name="ref-hammarstrom_benefits_2020"/>
    <w:p>
      <w:pPr>
        <w:pStyle w:val="Bibliography"/>
      </w:pPr>
      <w:r>
        <w:t xml:space="preserve">5.</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The Journal of Physiology</w:t>
      </w:r>
      <w:r>
        <w:t xml:space="preserve"> </w:t>
      </w:r>
      <w:r>
        <w:t xml:space="preserve">598: 543–565, 2020. doi:</w:t>
      </w:r>
      <w:r>
        <w:t xml:space="preserve"> </w:t>
      </w:r>
      <w:hyperlink r:id="rId45">
        <w:r>
          <w:rPr>
            <w:rStyle w:val="Hyperlink"/>
          </w:rPr>
          <w:t xml:space="preserve">10.1113/JP278455</w:t>
        </w:r>
      </w:hyperlink>
      <w:r>
        <w:t xml:space="preserve">.</w:t>
      </w:r>
    </w:p>
    <w:bookmarkEnd w:id="46"/>
    <w:bookmarkStart w:id="48" w:name="ref-krieger_single_2009"/>
    <w:p>
      <w:pPr>
        <w:pStyle w:val="Bibliography"/>
      </w:pPr>
      <w:r>
        <w:t xml:space="preserve">6.</w:t>
      </w:r>
      <w:r>
        <w:t xml:space="preserve"> </w:t>
      </w:r>
      <w:r>
        <w:t xml:space="preserve">	</w:t>
      </w:r>
      <w:r>
        <w:rPr>
          <w:bCs/>
          <w:b/>
        </w:rPr>
        <w:t xml:space="preserve">Krieger JW</w:t>
      </w:r>
      <w:r>
        <w:t xml:space="preserve">.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 </w:t>
      </w:r>
      <w:r>
        <w:t xml:space="preserve">23: 1890–1901, 2009. doi:</w:t>
      </w:r>
      <w:r>
        <w:t xml:space="preserve"> </w:t>
      </w:r>
      <w:hyperlink r:id="rId47">
        <w:r>
          <w:rPr>
            <w:rStyle w:val="Hyperlink"/>
          </w:rPr>
          <w:t xml:space="preserve">10.1519/JSC.0b013e3181b370be</w:t>
        </w:r>
      </w:hyperlink>
      <w:r>
        <w:t xml:space="preserve">.</w:t>
      </w:r>
    </w:p>
    <w:bookmarkEnd w:id="48"/>
    <w:bookmarkStart w:id="50" w:name="ref-schoenfeld_strength_2017"/>
    <w:p>
      <w:pPr>
        <w:pStyle w:val="Bibliography"/>
      </w:pPr>
      <w:r>
        <w:t xml:space="preserve">7.</w:t>
      </w:r>
      <w:r>
        <w:t xml:space="preserve"> </w:t>
      </w:r>
      <w:r>
        <w:t xml:space="preserve">	</w:t>
      </w:r>
      <w:r>
        <w:rPr>
          <w:bCs/>
          <w:b/>
        </w:rPr>
        <w:t xml:space="preserve">Schoenfeld BJ</w:t>
      </w:r>
      <w:r>
        <w:t xml:space="preserve">,</w:t>
      </w:r>
      <w:r>
        <w:t xml:space="preserve"> </w:t>
      </w:r>
      <w:r>
        <w:rPr>
          <w:bCs/>
          <w:b/>
        </w:rPr>
        <w:t xml:space="preserve">Grgic J</w:t>
      </w:r>
      <w:r>
        <w:t xml:space="preserve">,</w:t>
      </w:r>
      <w:r>
        <w:t xml:space="preserve"> </w:t>
      </w:r>
      <w:r>
        <w:rPr>
          <w:bCs/>
          <w:b/>
        </w:rPr>
        <w:t xml:space="preserve">Ogborn D</w:t>
      </w:r>
      <w:r>
        <w:t xml:space="preserve">,</w:t>
      </w:r>
      <w:r>
        <w:t xml:space="preserve"> </w:t>
      </w:r>
      <w:r>
        <w:rPr>
          <w:bCs/>
          <w:b/>
        </w:rPr>
        <w:t xml:space="preserve">Krieger JW</w:t>
      </w:r>
      <w:r>
        <w:t xml:space="preserve">.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w:t>
      </w:r>
      <w:r>
        <w:t xml:space="preserve"> </w:t>
      </w:r>
      <w:r>
        <w:rPr>
          <w:iCs/>
          <w:i/>
        </w:rPr>
        <w:t xml:space="preserve">Journal of Strength and Conditioning Research</w:t>
      </w:r>
      <w:r>
        <w:t xml:space="preserve"> </w:t>
      </w:r>
      <w:r>
        <w:t xml:space="preserve">31: 3508–3523, 2017. doi:</w:t>
      </w:r>
      <w:r>
        <w:t xml:space="preserve"> </w:t>
      </w:r>
      <w:hyperlink r:id="rId49">
        <w:r>
          <w:rPr>
            <w:rStyle w:val="Hyperlink"/>
          </w:rPr>
          <w:t xml:space="preserve">10.1519/JSC.0000000000002200</w:t>
        </w:r>
      </w:hyperlink>
      <w:r>
        <w:t xml:space="preserve">.</w:t>
      </w:r>
    </w:p>
    <w:bookmarkEnd w:id="50"/>
    <w:bookmarkStart w:id="52" w:name="ref-cermak_protein_2012"/>
    <w:p>
      <w:pPr>
        <w:pStyle w:val="Bibliography"/>
      </w:pPr>
      <w:r>
        <w:t xml:space="preserve">8.</w:t>
      </w:r>
      <w:r>
        <w:t xml:space="preserve"> </w:t>
      </w:r>
      <w:r>
        <w:t xml:space="preserve">	</w:t>
      </w:r>
      <w:r>
        <w:rPr>
          <w:bCs/>
          <w:b/>
        </w:rPr>
        <w:t xml:space="preserve">Cermak NM</w:t>
      </w:r>
      <w:r>
        <w:t xml:space="preserve">,</w:t>
      </w:r>
      <w:r>
        <w:t xml:space="preserve"> </w:t>
      </w:r>
      <w:r>
        <w:rPr>
          <w:bCs/>
          <w:b/>
        </w:rPr>
        <w:t xml:space="preserve">Res PT</w:t>
      </w:r>
      <w:r>
        <w:t xml:space="preserve">,</w:t>
      </w:r>
      <w:r>
        <w:t xml:space="preserve"> </w:t>
      </w:r>
      <w:r>
        <w:rPr>
          <w:bCs/>
          <w:b/>
        </w:rPr>
        <w:t xml:space="preserve">Groot LC de</w:t>
      </w:r>
      <w:r>
        <w:t xml:space="preserve">,</w:t>
      </w:r>
      <w:r>
        <w:t xml:space="preserve"> </w:t>
      </w:r>
      <w:r>
        <w:rPr>
          <w:bCs/>
          <w:b/>
        </w:rPr>
        <w:t xml:space="preserve">Saris WH</w:t>
      </w:r>
      <w:r>
        <w:t xml:space="preserve">,</w:t>
      </w:r>
      <w:r>
        <w:t xml:space="preserve"> </w:t>
      </w:r>
      <w:r>
        <w:rPr>
          <w:bCs/>
          <w:b/>
        </w:rPr>
        <w:t xml:space="preserve">Loon LJ van</w:t>
      </w:r>
      <w:r>
        <w:t xml:space="preserve">. Protein supplementation augments the adaptive response of skeletal muscle to resistance-type exercise training: A meta-analysis.</w:t>
      </w:r>
      <w:r>
        <w:t xml:space="preserve"> </w:t>
      </w:r>
      <w:r>
        <w:rPr>
          <w:iCs/>
          <w:i/>
        </w:rPr>
        <w:t xml:space="preserve">The American Journal of Clinical Nutrition</w:t>
      </w:r>
      <w:r>
        <w:t xml:space="preserve"> </w:t>
      </w:r>
      <w:r>
        <w:t xml:space="preserve">96: 1454–1464, 2012. doi:</w:t>
      </w:r>
      <w:r>
        <w:t xml:space="preserve"> </w:t>
      </w:r>
      <w:hyperlink r:id="rId51">
        <w:r>
          <w:rPr>
            <w:rStyle w:val="Hyperlink"/>
          </w:rPr>
          <w:t xml:space="preserve">10.3945/ajcn.112.037556</w:t>
        </w:r>
      </w:hyperlink>
      <w:r>
        <w:t xml:space="preserve">.</w:t>
      </w:r>
    </w:p>
    <w:bookmarkEnd w:id="52"/>
    <w:bookmarkStart w:id="54" w:name="ref-lanhers_creatine_2015"/>
    <w:p>
      <w:pPr>
        <w:pStyle w:val="Bibliography"/>
      </w:pPr>
      <w:r>
        <w:t xml:space="preserve">9.</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w:t>
      </w:r>
      <w:r>
        <w:t xml:space="preserve"> </w:t>
      </w:r>
      <w:r>
        <w:rPr>
          <w:iCs/>
          <w:i/>
        </w:rPr>
        <w:t xml:space="preserve">Sports Medicine</w:t>
      </w:r>
      <w:r>
        <w:t xml:space="preserve"> </w:t>
      </w:r>
      <w:r>
        <w:t xml:space="preserve">45: 1285–1294, 2015. doi:</w:t>
      </w:r>
      <w:r>
        <w:t xml:space="preserve"> </w:t>
      </w:r>
      <w:hyperlink r:id="rId53">
        <w:r>
          <w:rPr>
            <w:rStyle w:val="Hyperlink"/>
          </w:rPr>
          <w:t xml:space="preserve">10.1007/s40279-015-0337-4</w:t>
        </w:r>
      </w:hyperlink>
      <w:r>
        <w:t xml:space="preserve">.</w:t>
      </w:r>
    </w:p>
    <w:bookmarkEnd w:id="54"/>
    <w:bookmarkStart w:id="56" w:name="ref-lanhers_creatine_2017"/>
    <w:p>
      <w:pPr>
        <w:pStyle w:val="Bibliography"/>
      </w:pPr>
      <w:r>
        <w:t xml:space="preserve">10.</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Sports Medicine</w:t>
      </w:r>
      <w:r>
        <w:t xml:space="preserve"> </w:t>
      </w:r>
      <w:r>
        <w:t xml:space="preserve">47: 163–173, 2017. doi:</w:t>
      </w:r>
      <w:r>
        <w:t xml:space="preserve"> </w:t>
      </w:r>
      <w:hyperlink r:id="rId55">
        <w:r>
          <w:rPr>
            <w:rStyle w:val="Hyperlink"/>
          </w:rPr>
          <w:t xml:space="preserve">10.1007/s40279-016-0571-4</w:t>
        </w:r>
      </w:hyperlink>
      <w:r>
        <w:t xml:space="preserve">.</w:t>
      </w:r>
    </w:p>
    <w:bookmarkEnd w:id="56"/>
    <w:bookmarkStart w:id="58" w:name="ref-morton_systematic_2018"/>
    <w:p>
      <w:pPr>
        <w:pStyle w:val="Bibliography"/>
      </w:pPr>
      <w:r>
        <w:t xml:space="preserve">11.</w:t>
      </w:r>
      <w:r>
        <w:t xml:space="preserve"> </w:t>
      </w:r>
      <w:r>
        <w:t xml:space="preserve">	</w:t>
      </w:r>
      <w:r>
        <w:rPr>
          <w:bCs/>
          <w:b/>
        </w:rPr>
        <w:t xml:space="preserve">Morton RW</w:t>
      </w:r>
      <w:r>
        <w:t xml:space="preserve">,</w:t>
      </w:r>
      <w:r>
        <w:t xml:space="preserve"> </w:t>
      </w:r>
      <w:r>
        <w:rPr>
          <w:bCs/>
          <w:b/>
        </w:rPr>
        <w:t xml:space="preserve">Murphy KT</w:t>
      </w:r>
      <w:r>
        <w:t xml:space="preserve">,</w:t>
      </w:r>
      <w:r>
        <w:t xml:space="preserve"> </w:t>
      </w:r>
      <w:r>
        <w:rPr>
          <w:bCs/>
          <w:b/>
        </w:rPr>
        <w:t xml:space="preserve">McKellar SR</w:t>
      </w:r>
      <w:r>
        <w:t xml:space="preserve">,</w:t>
      </w:r>
      <w:r>
        <w:t xml:space="preserve"> </w:t>
      </w:r>
      <w:r>
        <w:rPr>
          <w:bCs/>
          <w:b/>
        </w:rPr>
        <w:t xml:space="preserve">Schoenfeld BJ</w:t>
      </w:r>
      <w:r>
        <w:t xml:space="preserve">,</w:t>
      </w:r>
      <w:r>
        <w:t xml:space="preserve"> </w:t>
      </w:r>
      <w:r>
        <w:rPr>
          <w:bCs/>
          <w:b/>
        </w:rPr>
        <w:t xml:space="preserve">Henselmans M</w:t>
      </w:r>
      <w:r>
        <w:t xml:space="preserve">,</w:t>
      </w:r>
      <w:r>
        <w:t xml:space="preserve"> </w:t>
      </w:r>
      <w:r>
        <w:rPr>
          <w:bCs/>
          <w:b/>
        </w:rPr>
        <w:t xml:space="preserve">Helms E</w:t>
      </w:r>
      <w:r>
        <w:t xml:space="preserve">,</w:t>
      </w:r>
      <w:r>
        <w:t xml:space="preserve"> </w:t>
      </w:r>
      <w:r>
        <w:rPr>
          <w:bCs/>
          <w:b/>
        </w:rPr>
        <w:t xml:space="preserve">Aragon AA</w:t>
      </w:r>
      <w:r>
        <w:t xml:space="preserve">,</w:t>
      </w:r>
      <w:r>
        <w:t xml:space="preserve"> </w:t>
      </w:r>
      <w:r>
        <w:rPr>
          <w:bCs/>
          <w:b/>
        </w:rPr>
        <w:t xml:space="preserve">Devries MC</w:t>
      </w:r>
      <w:r>
        <w:t xml:space="preserve">,</w:t>
      </w:r>
      <w:r>
        <w:t xml:space="preserve"> </w:t>
      </w:r>
      <w:r>
        <w:rPr>
          <w:bCs/>
          <w:b/>
        </w:rPr>
        <w:t xml:space="preserve">Banfield L</w:t>
      </w:r>
      <w:r>
        <w:t xml:space="preserve">,</w:t>
      </w:r>
      <w:r>
        <w:t xml:space="preserve"> </w:t>
      </w:r>
      <w:r>
        <w:rPr>
          <w:bCs/>
          <w:b/>
        </w:rPr>
        <w:t xml:space="preserve">Krieger JW</w:t>
      </w:r>
      <w:r>
        <w:t xml:space="preserve">,</w:t>
      </w:r>
      <w:r>
        <w:t xml:space="preserve"> </w:t>
      </w:r>
      <w:r>
        <w:rPr>
          <w:bCs/>
          <w:b/>
        </w:rPr>
        <w:t xml:space="preserve">Phillips SM</w:t>
      </w:r>
      <w:r>
        <w:t xml:space="preserve">. A systematic review, meta-analysis and meta-regression of the effect of protein supplementation on resistance training-induced gains in muscle mass and strength in healthy adults.</w:t>
      </w:r>
      <w:r>
        <w:t xml:space="preserve"> </w:t>
      </w:r>
      <w:r>
        <w:rPr>
          <w:iCs/>
          <w:i/>
        </w:rPr>
        <w:t xml:space="preserve">British Journal of Sports Medicine</w:t>
      </w:r>
      <w:r>
        <w:t xml:space="preserve"> </w:t>
      </w:r>
      <w:r>
        <w:t xml:space="preserve">52: 376, 2018. doi:</w:t>
      </w:r>
      <w:r>
        <w:t xml:space="preserve"> </w:t>
      </w:r>
      <w:hyperlink r:id="rId57">
        <w:r>
          <w:rPr>
            <w:rStyle w:val="Hyperlink"/>
          </w:rPr>
          <w:t xml:space="preserve">10.1136/bjsports-2017-097608</w:t>
        </w:r>
      </w:hyperlink>
      <w:r>
        <w:t xml:space="preserve">.</w:t>
      </w:r>
    </w:p>
    <w:bookmarkEnd w:id="58"/>
    <w:bookmarkStart w:id="60" w:name="ref-mul_exercise_2015"/>
    <w:p>
      <w:pPr>
        <w:pStyle w:val="Bibliography"/>
      </w:pPr>
      <w:r>
        <w:t xml:space="preserve">12.</w:t>
      </w:r>
      <w:r>
        <w:t xml:space="preserve"> </w:t>
      </w:r>
      <w:r>
        <w:t xml:space="preserve">	</w:t>
      </w:r>
      <w:r>
        <w:rPr>
          <w:bCs/>
          <w:b/>
        </w:rPr>
        <w:t xml:space="preserve">Mul JD</w:t>
      </w:r>
      <w:r>
        <w:t xml:space="preserve">,</w:t>
      </w:r>
      <w:r>
        <w:t xml:space="preserve"> </w:t>
      </w:r>
      <w:r>
        <w:rPr>
          <w:bCs/>
          <w:b/>
        </w:rPr>
        <w:t xml:space="preserve">Stanford KI</w:t>
      </w:r>
      <w:r>
        <w:t xml:space="preserve">,</w:t>
      </w:r>
      <w:r>
        <w:t xml:space="preserve"> </w:t>
      </w:r>
      <w:r>
        <w:rPr>
          <w:bCs/>
          <w:b/>
        </w:rPr>
        <w:t xml:space="preserve">Hirshman MF</w:t>
      </w:r>
      <w:r>
        <w:t xml:space="preserve">,</w:t>
      </w:r>
      <w:r>
        <w:t xml:space="preserve"> </w:t>
      </w:r>
      <w:r>
        <w:rPr>
          <w:bCs/>
          <w:b/>
        </w:rPr>
        <w:t xml:space="preserve">Goodyear LJ</w:t>
      </w:r>
      <w:r>
        <w:t xml:space="preserve">.</w:t>
      </w:r>
      <w:r>
        <w:t xml:space="preserve"> </w:t>
      </w:r>
      <w:hyperlink r:id="rId59">
        <w:r>
          <w:rPr>
            <w:rStyle w:val="Hyperlink"/>
          </w:rPr>
          <w:t xml:space="preserve">Exercise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Carbohydrate</w:t>
        </w:r>
        <w:r>
          <w:rPr>
            <w:rStyle w:val="Hyperlink"/>
          </w:rPr>
          <w:t xml:space="preserve"> </w:t>
        </w:r>
        <w:r>
          <w:rPr>
            <w:rStyle w:val="Hyperlink"/>
          </w:rPr>
          <w:t xml:space="preserve">Metabolism</w:t>
        </w:r>
      </w:hyperlink>
      <w:r>
        <w:t xml:space="preserve">. In:</w:t>
      </w:r>
      <w:r>
        <w:t xml:space="preserve"> </w:t>
      </w:r>
      <w:r>
        <w:rPr>
          <w:iCs/>
          <w:i/>
        </w:rPr>
        <w:t xml:space="preserve">Progress in</w:t>
      </w:r>
      <w:r>
        <w:rPr>
          <w:iCs/>
          <w:i/>
        </w:rPr>
        <w:t xml:space="preserve"> </w:t>
      </w:r>
      <w:r>
        <w:rPr>
          <w:iCs/>
          <w:i/>
        </w:rPr>
        <w:t xml:space="preserve">Molecular</w:t>
      </w:r>
      <w:r>
        <w:rPr>
          <w:iCs/>
          <w:i/>
        </w:rPr>
        <w:t xml:space="preserve"> </w:t>
      </w:r>
      <w:r>
        <w:rPr>
          <w:iCs/>
          <w:i/>
        </w:rPr>
        <w:t xml:space="preserve">Biology</w:t>
      </w:r>
      <w:r>
        <w:rPr>
          <w:iCs/>
          <w:i/>
        </w:rPr>
        <w:t xml:space="preserve"> </w:t>
      </w:r>
      <w:r>
        <w:rPr>
          <w:iCs/>
          <w:i/>
        </w:rPr>
        <w:t xml:space="preserve">and</w:t>
      </w:r>
      <w:r>
        <w:rPr>
          <w:iCs/>
          <w:i/>
        </w:rPr>
        <w:t xml:space="preserve"> </w:t>
      </w:r>
      <w:r>
        <w:rPr>
          <w:iCs/>
          <w:i/>
        </w:rPr>
        <w:t xml:space="preserve">Translational</w:t>
      </w:r>
      <w:r>
        <w:rPr>
          <w:iCs/>
          <w:i/>
        </w:rPr>
        <w:t xml:space="preserve"> </w:t>
      </w:r>
      <w:r>
        <w:rPr>
          <w:iCs/>
          <w:i/>
        </w:rPr>
        <w:t xml:space="preserve">Science</w:t>
      </w:r>
      <w:r>
        <w:t xml:space="preserve">. Elsevier, p. 17–37.</w:t>
      </w:r>
    </w:p>
    <w:bookmarkEnd w:id="60"/>
    <w:bookmarkStart w:id="62" w:name="ref-sebata_control_2018"/>
    <w:p>
      <w:pPr>
        <w:pStyle w:val="Bibliography"/>
      </w:pPr>
      <w:r>
        <w:t xml:space="preserve">13.</w:t>
      </w:r>
      <w:r>
        <w:t xml:space="preserve"> </w:t>
      </w:r>
      <w:r>
        <w:t xml:space="preserve">	</w:t>
      </w:r>
      <w:r>
        <w:rPr>
          <w:bCs/>
          <w:b/>
        </w:rPr>
        <w:t xml:space="preserve">Tanaka Y</w:t>
      </w:r>
      <w:r>
        <w:t xml:space="preserve">,</w:t>
      </w:r>
      <w:r>
        <w:t xml:space="preserve"> </w:t>
      </w:r>
      <w:r>
        <w:rPr>
          <w:bCs/>
          <w:b/>
        </w:rPr>
        <w:t xml:space="preserve">Tsuneoka M</w:t>
      </w:r>
      <w:r>
        <w:t xml:space="preserve">.</w:t>
      </w:r>
      <w:r>
        <w:t xml:space="preserve"> </w:t>
      </w:r>
      <w:hyperlink r:id="rId61">
        <w:r>
          <w:rPr>
            <w:rStyle w:val="Hyperlink"/>
          </w:rPr>
          <w:t xml:space="preserve">Control of</w:t>
        </w:r>
        <w:r>
          <w:rPr>
            <w:rStyle w:val="Hyperlink"/>
          </w:rPr>
          <w:t xml:space="preserve"> </w:t>
        </w:r>
        <w:r>
          <w:rPr>
            <w:rStyle w:val="Hyperlink"/>
          </w:rPr>
          <w:t xml:space="preserve">Ribosomal</w:t>
        </w:r>
        <w:r>
          <w:rPr>
            <w:rStyle w:val="Hyperlink"/>
          </w:rPr>
          <w:t xml:space="preserve"> </w:t>
        </w:r>
        <w:r>
          <w:rPr>
            <w:rStyle w:val="Hyperlink"/>
          </w:rPr>
          <w:t xml:space="preserve">RNA</w:t>
        </w:r>
        <w:r>
          <w:rPr>
            <w:rStyle w:val="Hyperlink"/>
          </w:rPr>
          <w:t xml:space="preserve"> </w:t>
        </w:r>
        <w:r>
          <w:rPr>
            <w:rStyle w:val="Hyperlink"/>
          </w:rPr>
          <w:t xml:space="preserve">Transcription</w:t>
        </w:r>
        <w:r>
          <w:rPr>
            <w:rStyle w:val="Hyperlink"/>
          </w:rPr>
          <w:t xml:space="preserve"> </w:t>
        </w:r>
        <w:r>
          <w:rPr>
            <w:rStyle w:val="Hyperlink"/>
          </w:rPr>
          <w:t xml:space="preserve">by</w:t>
        </w:r>
        <w:r>
          <w:rPr>
            <w:rStyle w:val="Hyperlink"/>
          </w:rPr>
          <w:t xml:space="preserve"> </w:t>
        </w:r>
        <w:r>
          <w:rPr>
            <w:rStyle w:val="Hyperlink"/>
          </w:rPr>
          <w:t xml:space="preserve">Nutrients</w:t>
        </w:r>
      </w:hyperlink>
      <w:r>
        <w:t xml:space="preserve">. In:</w:t>
      </w:r>
      <w:r>
        <w:t xml:space="preserve"> </w:t>
      </w:r>
      <w:r>
        <w:rPr>
          <w:iCs/>
          <w:i/>
        </w:rPr>
        <w:t xml:space="preserve">Gene</w:t>
      </w:r>
      <w:r>
        <w:rPr>
          <w:iCs/>
          <w:i/>
        </w:rPr>
        <w:t xml:space="preserve"> </w:t>
      </w:r>
      <w:r>
        <w:rPr>
          <w:iCs/>
          <w:i/>
        </w:rPr>
        <w:t xml:space="preserve">Expression</w:t>
      </w:r>
      <w:r>
        <w:rPr>
          <w:iCs/>
          <w:i/>
        </w:rPr>
        <w:t xml:space="preserve"> </w:t>
      </w:r>
      <w:r>
        <w:rPr>
          <w:iCs/>
          <w:i/>
        </w:rPr>
        <w:t xml:space="preserve">and</w:t>
      </w:r>
      <w:r>
        <w:rPr>
          <w:iCs/>
          <w:i/>
        </w:rPr>
        <w:t xml:space="preserve"> </w:t>
      </w:r>
      <w:r>
        <w:rPr>
          <w:iCs/>
          <w:i/>
        </w:rPr>
        <w:t xml:space="preserve">Regulation</w:t>
      </w:r>
      <w:r>
        <w:rPr>
          <w:iCs/>
          <w:i/>
        </w:rPr>
        <w:t xml:space="preserve"> </w:t>
      </w:r>
      <w:r>
        <w:rPr>
          <w:iCs/>
          <w:i/>
        </w:rPr>
        <w:t xml:space="preserve">in</w:t>
      </w:r>
      <w:r>
        <w:rPr>
          <w:iCs/>
          <w:i/>
        </w:rPr>
        <w:t xml:space="preserve"> </w:t>
      </w:r>
      <w:r>
        <w:rPr>
          <w:iCs/>
          <w:i/>
        </w:rPr>
        <w:t xml:space="preserve">Mammalian</w:t>
      </w:r>
      <w:r>
        <w:rPr>
          <w:iCs/>
          <w:i/>
        </w:rPr>
        <w:t xml:space="preserve"> </w:t>
      </w:r>
      <w:r>
        <w:rPr>
          <w:iCs/>
          <w:i/>
        </w:rPr>
        <w:t xml:space="preserve">Cells</w:t>
      </w:r>
      <w:r>
        <w:rPr>
          <w:iCs/>
          <w:i/>
        </w:rPr>
        <w:t xml:space="preserve"> </w:t>
      </w:r>
      <w:r>
        <w:rPr>
          <w:iCs/>
          <w:i/>
        </w:rPr>
        <w:t xml:space="preserve">-</w:t>
      </w:r>
      <w:r>
        <w:rPr>
          <w:iCs/>
          <w:i/>
        </w:rPr>
        <w:t xml:space="preserve"> </w:t>
      </w:r>
      <w:r>
        <w:rPr>
          <w:iCs/>
          <w:i/>
        </w:rPr>
        <w:t xml:space="preserve">Transcription</w:t>
      </w:r>
      <w:r>
        <w:rPr>
          <w:iCs/>
          <w:i/>
        </w:rPr>
        <w:t xml:space="preserve"> </w:t>
      </w:r>
      <w:r>
        <w:rPr>
          <w:iCs/>
          <w:i/>
        </w:rPr>
        <w:t xml:space="preserve">Toward</w:t>
      </w:r>
      <w:r>
        <w:rPr>
          <w:iCs/>
          <w:i/>
        </w:rPr>
        <w:t xml:space="preserve"> </w:t>
      </w:r>
      <w:r>
        <w:rPr>
          <w:iCs/>
          <w:i/>
        </w:rPr>
        <w:t xml:space="preserve">the</w:t>
      </w:r>
      <w:r>
        <w:rPr>
          <w:iCs/>
          <w:i/>
        </w:rPr>
        <w:t xml:space="preserve"> </w:t>
      </w:r>
      <w:r>
        <w:rPr>
          <w:iCs/>
          <w:i/>
        </w:rPr>
        <w:t xml:space="preserve">Establishment</w:t>
      </w:r>
      <w:r>
        <w:rPr>
          <w:iCs/>
          <w:i/>
        </w:rPr>
        <w:t xml:space="preserve"> </w:t>
      </w:r>
      <w:r>
        <w:rPr>
          <w:iCs/>
          <w:i/>
        </w:rPr>
        <w:t xml:space="preserve">of</w:t>
      </w:r>
      <w:r>
        <w:rPr>
          <w:iCs/>
          <w:i/>
        </w:rPr>
        <w:t xml:space="preserve"> </w:t>
      </w:r>
      <w:r>
        <w:rPr>
          <w:iCs/>
          <w:i/>
        </w:rPr>
        <w:t xml:space="preserve">Novel</w:t>
      </w:r>
      <w:r>
        <w:rPr>
          <w:iCs/>
          <w:i/>
        </w:rPr>
        <w:t xml:space="preserve"> </w:t>
      </w:r>
      <w:r>
        <w:rPr>
          <w:iCs/>
          <w:i/>
        </w:rPr>
        <w:t xml:space="preserve">Therapeutics</w:t>
      </w:r>
      <w:r>
        <w:t xml:space="preserve">, edited by Sebata A. InTech.</w:t>
      </w:r>
    </w:p>
    <w:bookmarkEnd w:id="62"/>
    <w:bookmarkStart w:id="64" w:name="ref-kusnadi_regulation_2015"/>
    <w:p>
      <w:pPr>
        <w:pStyle w:val="Bibliography"/>
      </w:pPr>
      <w:r>
        <w:t xml:space="preserve">14.</w:t>
      </w:r>
      <w:r>
        <w:t xml:space="preserve"> </w:t>
      </w:r>
      <w:r>
        <w:t xml:space="preserve">	</w:t>
      </w:r>
      <w:r>
        <w:rPr>
          <w:bCs/>
          <w:b/>
        </w:rPr>
        <w:t xml:space="preserve">Kusnadi EP</w:t>
      </w:r>
      <w:r>
        <w:t xml:space="preserve">,</w:t>
      </w:r>
      <w:r>
        <w:t xml:space="preserve"> </w:t>
      </w:r>
      <w:r>
        <w:rPr>
          <w:bCs/>
          <w:b/>
        </w:rPr>
        <w:t xml:space="preserve">Hannan KM</w:t>
      </w:r>
      <w:r>
        <w:t xml:space="preserve">,</w:t>
      </w:r>
      <w:r>
        <w:t xml:space="preserve"> </w:t>
      </w:r>
      <w:r>
        <w:rPr>
          <w:bCs/>
          <w:b/>
        </w:rPr>
        <w:t xml:space="preserve">Hicks RJ</w:t>
      </w:r>
      <w:r>
        <w:t xml:space="preserve">,</w:t>
      </w:r>
      <w:r>
        <w:t xml:space="preserve"> </w:t>
      </w:r>
      <w:r>
        <w:rPr>
          <w:bCs/>
          <w:b/>
        </w:rPr>
        <w:t xml:space="preserve">Hannan RD</w:t>
      </w:r>
      <w:r>
        <w:t xml:space="preserve">,</w:t>
      </w:r>
      <w:r>
        <w:t xml:space="preserve"> </w:t>
      </w:r>
      <w:r>
        <w:rPr>
          <w:bCs/>
          <w:b/>
        </w:rPr>
        <w:t xml:space="preserve">Pearson RB</w:t>
      </w:r>
      <w:r>
        <w:t xml:space="preserve">,</w:t>
      </w:r>
      <w:r>
        <w:t xml:space="preserve"> </w:t>
      </w:r>
      <w:r>
        <w:rPr>
          <w:bCs/>
          <w:b/>
        </w:rPr>
        <w:t xml:space="preserve">Kang J</w:t>
      </w:r>
      <w:r>
        <w:t xml:space="preserve">. Regulation of</w:t>
      </w:r>
      <w:r>
        <w:t xml:space="preserve"> </w:t>
      </w:r>
      <w:r>
        <w:t xml:space="preserve">rDNA</w:t>
      </w:r>
      <w:r>
        <w:t xml:space="preserve"> </w:t>
      </w:r>
      <w:r>
        <w:t xml:space="preserve">transcription in response to growth factors, nutrients and energy.</w:t>
      </w:r>
      <w:r>
        <w:t xml:space="preserve"> </w:t>
      </w:r>
      <w:r>
        <w:rPr>
          <w:iCs/>
          <w:i/>
        </w:rPr>
        <w:t xml:space="preserve">Gene</w:t>
      </w:r>
      <w:r>
        <w:t xml:space="preserve"> </w:t>
      </w:r>
      <w:r>
        <w:t xml:space="preserve">556: 27–34, 2015. doi:</w:t>
      </w:r>
      <w:r>
        <w:t xml:space="preserve"> </w:t>
      </w:r>
      <w:hyperlink r:id="rId63">
        <w:r>
          <w:rPr>
            <w:rStyle w:val="Hyperlink"/>
          </w:rPr>
          <w:t xml:space="preserve">10.1016/j.gene.2014.11.010</w:t>
        </w:r>
      </w:hyperlink>
      <w:r>
        <w:t xml:space="preserve">.</w:t>
      </w:r>
    </w:p>
    <w:bookmarkEnd w:id="64"/>
    <w:bookmarkStart w:id="66" w:name="ref-moss_housekeeper_2007"/>
    <w:p>
      <w:pPr>
        <w:pStyle w:val="Bibliography"/>
      </w:pPr>
      <w:r>
        <w:t xml:space="preserve">15.</w:t>
      </w:r>
      <w:r>
        <w:t xml:space="preserve"> </w:t>
      </w:r>
      <w:r>
        <w:t xml:space="preserve">	</w:t>
      </w:r>
      <w:r>
        <w:rPr>
          <w:bCs/>
          <w:b/>
        </w:rPr>
        <w:t xml:space="preserve">Moss T</w:t>
      </w:r>
      <w:r>
        <w:t xml:space="preserve">,</w:t>
      </w:r>
      <w:r>
        <w:t xml:space="preserve"> </w:t>
      </w:r>
      <w:r>
        <w:rPr>
          <w:bCs/>
          <w:b/>
        </w:rPr>
        <w:t xml:space="preserve">Langlois F</w:t>
      </w:r>
      <w:r>
        <w:t xml:space="preserve">,</w:t>
      </w:r>
      <w:r>
        <w:t xml:space="preserve"> </w:t>
      </w:r>
      <w:r>
        <w:rPr>
          <w:bCs/>
          <w:b/>
        </w:rPr>
        <w:t xml:space="preserve">Gagnon-Kugler T</w:t>
      </w:r>
      <w:r>
        <w:t xml:space="preserve">,</w:t>
      </w:r>
      <w:r>
        <w:t xml:space="preserve"> </w:t>
      </w:r>
      <w:r>
        <w:rPr>
          <w:bCs/>
          <w:b/>
        </w:rPr>
        <w:t xml:space="preserve">Stefanovsky V</w:t>
      </w:r>
      <w:r>
        <w:t xml:space="preserve">. A housekeeper with power of attorney: The</w:t>
      </w:r>
      <w:r>
        <w:t xml:space="preserve"> </w:t>
      </w:r>
      <w:r>
        <w:t xml:space="preserve">rRNA</w:t>
      </w:r>
      <w:r>
        <w:t xml:space="preserve"> </w:t>
      </w:r>
      <w:r>
        <w:t xml:space="preserve">genes in ribosome biogenesis.</w:t>
      </w:r>
      <w:r>
        <w:t xml:space="preserve"> </w:t>
      </w:r>
      <w:r>
        <w:rPr>
          <w:iCs/>
          <w:i/>
        </w:rPr>
        <w:t xml:space="preserve">Cellular and Molecular Life Sciences</w:t>
      </w:r>
      <w:r>
        <w:t xml:space="preserve"> </w:t>
      </w:r>
      <w:r>
        <w:t xml:space="preserve">64: 29–49, 2007. doi:</w:t>
      </w:r>
      <w:r>
        <w:t xml:space="preserve"> </w:t>
      </w:r>
      <w:hyperlink r:id="rId65">
        <w:r>
          <w:rPr>
            <w:rStyle w:val="Hyperlink"/>
          </w:rPr>
          <w:t xml:space="preserve">10.1007/s00018-006-6278-1</w:t>
        </w:r>
      </w:hyperlink>
      <w:r>
        <w:t xml:space="preserve">.</w:t>
      </w:r>
    </w:p>
    <w:bookmarkEnd w:id="66"/>
    <w:bookmarkStart w:id="68" w:name="ref-figueiredo_regulation_2019"/>
    <w:p>
      <w:pPr>
        <w:pStyle w:val="Bibliography"/>
      </w:pPr>
      <w:r>
        <w:t xml:space="preserve">16.</w:t>
      </w:r>
      <w:r>
        <w:t xml:space="preserve"> </w:t>
      </w:r>
      <w:r>
        <w:t xml:space="preserve">	</w:t>
      </w:r>
      <w:r>
        <w:rPr>
          <w:bCs/>
          <w:b/>
        </w:rPr>
        <w:t xml:space="preserve">Figueiredo VC</w:t>
      </w:r>
      <w:r>
        <w:t xml:space="preserve">,</w:t>
      </w:r>
      <w:r>
        <w:t xml:space="preserve"> </w:t>
      </w:r>
      <w:r>
        <w:rPr>
          <w:bCs/>
          <w:b/>
        </w:rPr>
        <w:t xml:space="preserve">McCarthy JJ</w:t>
      </w:r>
      <w:r>
        <w:t xml:space="preserve">.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w:t>
      </w:r>
      <w:r>
        <w:t xml:space="preserve"> </w:t>
      </w:r>
      <w:r>
        <w:rPr>
          <w:iCs/>
          <w:i/>
        </w:rPr>
        <w:t xml:space="preserve">Physiology</w:t>
      </w:r>
      <w:r>
        <w:t xml:space="preserve"> </w:t>
      </w:r>
      <w:r>
        <w:t xml:space="preserve">34: 30–42, 2019. doi:</w:t>
      </w:r>
      <w:r>
        <w:t xml:space="preserve"> </w:t>
      </w:r>
      <w:hyperlink r:id="rId67">
        <w:r>
          <w:rPr>
            <w:rStyle w:val="Hyperlink"/>
          </w:rPr>
          <w:t xml:space="preserve">10.1152/physiol.00034.2018</w:t>
        </w:r>
      </w:hyperlink>
      <w:r>
        <w:t xml:space="preserve">.</w:t>
      </w:r>
    </w:p>
    <w:bookmarkEnd w:id="68"/>
    <w:bookmarkStart w:id="70" w:name="ref-stec_ribosome_2016"/>
    <w:p>
      <w:pPr>
        <w:pStyle w:val="Bibliography"/>
      </w:pPr>
      <w:r>
        <w:t xml:space="preserve">17.</w:t>
      </w:r>
      <w:r>
        <w:t xml:space="preserve"> </w:t>
      </w:r>
      <w:r>
        <w:t xml:space="preserve">	</w:t>
      </w:r>
      <w:r>
        <w:rPr>
          <w:bCs/>
          <w:b/>
        </w:rPr>
        <w:t xml:space="preserve">Stec MJ</w:t>
      </w:r>
      <w:r>
        <w:t xml:space="preserve">,</w:t>
      </w:r>
      <w:r>
        <w:t xml:space="preserve"> </w:t>
      </w:r>
      <w:r>
        <w:rPr>
          <w:bCs/>
          <w:b/>
        </w:rPr>
        <w:t xml:space="preserve">Kelly NA</w:t>
      </w:r>
      <w:r>
        <w:t xml:space="preserve">,</w:t>
      </w:r>
      <w:r>
        <w:t xml:space="preserve"> </w:t>
      </w:r>
      <w:r>
        <w:rPr>
          <w:bCs/>
          <w:b/>
        </w:rPr>
        <w:t xml:space="preserve">Many GM</w:t>
      </w:r>
      <w:r>
        <w:t xml:space="preserve">,</w:t>
      </w:r>
      <w:r>
        <w:t xml:space="preserve"> </w:t>
      </w:r>
      <w:r>
        <w:rPr>
          <w:bCs/>
          <w:b/>
        </w:rPr>
        <w:t xml:space="preserve">Windham ST</w:t>
      </w:r>
      <w:r>
        <w:t xml:space="preserve">,</w:t>
      </w:r>
      <w:r>
        <w:t xml:space="preserve"> </w:t>
      </w:r>
      <w:r>
        <w:rPr>
          <w:bCs/>
          <w:b/>
        </w:rPr>
        <w:t xml:space="preserve">Tuggle SC</w:t>
      </w:r>
      <w:r>
        <w:t xml:space="preserve">,</w:t>
      </w:r>
      <w:r>
        <w:t xml:space="preserve"> </w:t>
      </w:r>
      <w:r>
        <w:rPr>
          <w:bCs/>
          <w:b/>
        </w:rPr>
        <w:t xml:space="preserve">Bamman MM</w:t>
      </w:r>
      <w:r>
        <w:t xml:space="preserve">. Ribosome biogenesis may augment resistance training-induced myofiber hypertrophy and is required for myotube growth in vitro.</w:t>
      </w:r>
      <w:r>
        <w:t xml:space="preserve"> </w:t>
      </w:r>
      <w:r>
        <w:rPr>
          <w:iCs/>
          <w:i/>
        </w:rPr>
        <w:t xml:space="preserve">American Journal of Physiology-Endocrinology and Metabolism</w:t>
      </w:r>
      <w:r>
        <w:t xml:space="preserve"> </w:t>
      </w:r>
      <w:r>
        <w:t xml:space="preserve">310: E652–E661, 2016. doi:</w:t>
      </w:r>
      <w:r>
        <w:t xml:space="preserve"> </w:t>
      </w:r>
      <w:hyperlink r:id="rId69">
        <w:r>
          <w:rPr>
            <w:rStyle w:val="Hyperlink"/>
          </w:rPr>
          <w:t xml:space="preserve">10.1152/ajpendo.00486.2015</w:t>
        </w:r>
      </w:hyperlink>
      <w:r>
        <w:t xml:space="preserve">.</w:t>
      </w:r>
    </w:p>
    <w:bookmarkEnd w:id="70"/>
    <w:bookmarkStart w:id="72" w:name="ref-von_walden_ribosome_2019"/>
    <w:p>
      <w:pPr>
        <w:pStyle w:val="Bibliography"/>
      </w:pPr>
      <w:r>
        <w:t xml:space="preserve">18.</w:t>
      </w:r>
      <w:r>
        <w:t xml:space="preserve"> </w:t>
      </w:r>
      <w:r>
        <w:t xml:space="preserve">	</w:t>
      </w:r>
      <w:r>
        <w:rPr>
          <w:bCs/>
          <w:b/>
        </w:rPr>
        <w:t xml:space="preserve">Walden F von</w:t>
      </w:r>
      <w:r>
        <w:t xml:space="preserve">. Ribosome biogenesis in skeletal muscle: Coordination of transcription and translation.</w:t>
      </w:r>
      <w:r>
        <w:t xml:space="preserve"> </w:t>
      </w:r>
      <w:r>
        <w:rPr>
          <w:iCs/>
          <w:i/>
        </w:rPr>
        <w:t xml:space="preserve">Journal of Applied Physiology</w:t>
      </w:r>
      <w:r>
        <w:t xml:space="preserve"> </w:t>
      </w:r>
      <w:r>
        <w:t xml:space="preserve">127: 591–598, 2019. doi:</w:t>
      </w:r>
      <w:r>
        <w:t xml:space="preserve"> </w:t>
      </w:r>
      <w:hyperlink r:id="rId71">
        <w:r>
          <w:rPr>
            <w:rStyle w:val="Hyperlink"/>
          </w:rPr>
          <w:t xml:space="preserve">10.1152/japplphysiol.00963.2018</w:t>
        </w:r>
      </w:hyperlink>
      <w:r>
        <w:t xml:space="preserve">.</w:t>
      </w:r>
    </w:p>
    <w:bookmarkEnd w:id="72"/>
    <w:bookmarkStart w:id="74" w:name="ref-moss_promotion_1995"/>
    <w:p>
      <w:pPr>
        <w:pStyle w:val="Bibliography"/>
      </w:pPr>
      <w:r>
        <w:t xml:space="preserve">19.</w:t>
      </w:r>
      <w:r>
        <w:t xml:space="preserve"> </w:t>
      </w:r>
      <w:r>
        <w:t xml:space="preserve">	</w:t>
      </w:r>
      <w:r>
        <w:rPr>
          <w:bCs/>
          <w:b/>
        </w:rPr>
        <w:t xml:space="preserve">Moss T</w:t>
      </w:r>
      <w:r>
        <w:t xml:space="preserve">,</w:t>
      </w:r>
      <w:r>
        <w:t xml:space="preserve"> </w:t>
      </w:r>
      <w:r>
        <w:rPr>
          <w:bCs/>
          <w:b/>
        </w:rPr>
        <w:t xml:space="preserve">Stefanovsky VY</w:t>
      </w:r>
      <w:r>
        <w:t xml:space="preserve">.</w:t>
      </w:r>
      <w:r>
        <w:t xml:space="preserve"> </w:t>
      </w:r>
      <w:hyperlink r:id="rId73">
        <w:r>
          <w:rPr>
            <w:rStyle w:val="Hyperlink"/>
          </w:rPr>
          <w:t xml:space="preserve">Promotion and</w:t>
        </w:r>
        <w:r>
          <w:rPr>
            <w:rStyle w:val="Hyperlink"/>
          </w:rPr>
          <w:t xml:space="preserve"> </w:t>
        </w:r>
        <w:r>
          <w:rPr>
            <w:rStyle w:val="Hyperlink"/>
          </w:rPr>
          <w:t xml:space="preserve">Regulation</w:t>
        </w:r>
        <w:r>
          <w:rPr>
            <w:rStyle w:val="Hyperlink"/>
          </w:rPr>
          <w:t xml:space="preserve"> </w:t>
        </w:r>
        <w:r>
          <w:rPr>
            <w:rStyle w:val="Hyperlink"/>
          </w:rPr>
          <w:t xml:space="preserve">of</w:t>
        </w:r>
        <w:r>
          <w:rPr>
            <w:rStyle w:val="Hyperlink"/>
          </w:rPr>
          <w:t xml:space="preserve"> </w:t>
        </w:r>
        <w:r>
          <w:rPr>
            <w:rStyle w:val="Hyperlink"/>
          </w:rPr>
          <w:t xml:space="preserve">Ribosomal</w:t>
        </w:r>
        <w:r>
          <w:rPr>
            <w:rStyle w:val="Hyperlink"/>
          </w:rPr>
          <w:t xml:space="preserve"> </w:t>
        </w:r>
        <w:r>
          <w:rPr>
            <w:rStyle w:val="Hyperlink"/>
          </w:rPr>
          <w:t xml:space="preserve">Transcription</w:t>
        </w:r>
        <w:r>
          <w:rPr>
            <w:rStyle w:val="Hyperlink"/>
          </w:rPr>
          <w:t xml:space="preserve"> </w:t>
        </w:r>
        <w:r>
          <w:rPr>
            <w:rStyle w:val="Hyperlink"/>
          </w:rPr>
          <w:t xml:space="preserve">in</w:t>
        </w:r>
        <w:r>
          <w:rPr>
            <w:rStyle w:val="Hyperlink"/>
          </w:rPr>
          <w:t xml:space="preserve"> </w:t>
        </w:r>
        <w:r>
          <w:rPr>
            <w:rStyle w:val="Hyperlink"/>
          </w:rPr>
          <w:t xml:space="preserve">Eukaryotes</w:t>
        </w:r>
        <w:r>
          <w:rPr>
            <w:rStyle w:val="Hyperlink"/>
          </w:rPr>
          <w:t xml:space="preserve"> </w:t>
        </w:r>
        <w:r>
          <w:rPr>
            <w:rStyle w:val="Hyperlink"/>
          </w:rPr>
          <w:t xml:space="preserve">by</w:t>
        </w:r>
        <w:r>
          <w:rPr>
            <w:rStyle w:val="Hyperlink"/>
          </w:rPr>
          <w:t xml:space="preserve"> </w:t>
        </w:r>
        <w:r>
          <w:rPr>
            <w:rStyle w:val="Hyperlink"/>
          </w:rPr>
          <w:t xml:space="preserve">RNA</w:t>
        </w:r>
        <w:r>
          <w:rPr>
            <w:rStyle w:val="Hyperlink"/>
          </w:rPr>
          <w:t xml:space="preserve"> </w:t>
        </w:r>
        <w:r>
          <w:rPr>
            <w:rStyle w:val="Hyperlink"/>
          </w:rPr>
          <w:t xml:space="preserve">Polymerase</w:t>
        </w:r>
      </w:hyperlink>
      <w:r>
        <w:t xml:space="preserve">. In:</w:t>
      </w:r>
      <w:r>
        <w:t xml:space="preserve"> </w:t>
      </w:r>
      <w:r>
        <w:rPr>
          <w:iCs/>
          <w:i/>
        </w:rPr>
        <w:t xml:space="preserve">Progress in</w:t>
      </w:r>
      <w:r>
        <w:rPr>
          <w:iCs/>
          <w:i/>
        </w:rPr>
        <w:t xml:space="preserve"> </w:t>
      </w:r>
      <w:r>
        <w:rPr>
          <w:iCs/>
          <w:i/>
        </w:rPr>
        <w:t xml:space="preserve">Nucleic</w:t>
      </w:r>
      <w:r>
        <w:rPr>
          <w:iCs/>
          <w:i/>
        </w:rPr>
        <w:t xml:space="preserve"> </w:t>
      </w:r>
      <w:r>
        <w:rPr>
          <w:iCs/>
          <w:i/>
        </w:rPr>
        <w:t xml:space="preserve">Acid</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Molecular</w:t>
      </w:r>
      <w:r>
        <w:rPr>
          <w:iCs/>
          <w:i/>
        </w:rPr>
        <w:t xml:space="preserve"> </w:t>
      </w:r>
      <w:r>
        <w:rPr>
          <w:iCs/>
          <w:i/>
        </w:rPr>
        <w:t xml:space="preserve">Biology</w:t>
      </w:r>
      <w:r>
        <w:t xml:space="preserve">. Elsevier, p. 25–66.</w:t>
      </w:r>
    </w:p>
    <w:bookmarkEnd w:id="74"/>
    <w:bookmarkStart w:id="76" w:name="ref-west_acute_2016"/>
    <w:p>
      <w:pPr>
        <w:pStyle w:val="Bibliography"/>
      </w:pPr>
      <w:r>
        <w:t xml:space="preserve">20.</w:t>
      </w:r>
      <w:r>
        <w:t xml:space="preserve"> </w:t>
      </w:r>
      <w:r>
        <w:t xml:space="preserve">	</w:t>
      </w:r>
      <w:r>
        <w:rPr>
          <w:bCs/>
          <w:b/>
        </w:rPr>
        <w:t xml:space="preserve">West DWD</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w:t>
      </w:r>
      <w:r>
        <w:t xml:space="preserve"> </w:t>
      </w:r>
      <w:r>
        <w:rPr>
          <w:iCs/>
          <w:i/>
        </w:rPr>
        <w:t xml:space="preserve">The Journal of Physiology</w:t>
      </w:r>
      <w:r>
        <w:t xml:space="preserve"> </w:t>
      </w:r>
      <w:r>
        <w:t xml:space="preserve">594: 453–468, 2016. doi:</w:t>
      </w:r>
      <w:r>
        <w:t xml:space="preserve"> </w:t>
      </w:r>
      <w:hyperlink r:id="rId75">
        <w:r>
          <w:rPr>
            <w:rStyle w:val="Hyperlink"/>
          </w:rPr>
          <w:t xml:space="preserve">10.1113/JP271365</w:t>
        </w:r>
      </w:hyperlink>
      <w:r>
        <w:t xml:space="preserve">.</w:t>
      </w:r>
    </w:p>
    <w:bookmarkEnd w:id="76"/>
    <w:bookmarkStart w:id="78" w:name="ref-mori_c-myc_2021"/>
    <w:p>
      <w:pPr>
        <w:pStyle w:val="Bibliography"/>
      </w:pPr>
      <w:r>
        <w:t xml:space="preserve">21.</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77">
        <w:r>
          <w:rPr>
            <w:rStyle w:val="Hyperlink"/>
          </w:rPr>
          <w:t xml:space="preserve">10.1152/ajpendo.00164.2021</w:t>
        </w:r>
      </w:hyperlink>
      <w:r>
        <w:t xml:space="preserve">.</w:t>
      </w:r>
    </w:p>
    <w:bookmarkEnd w:id="78"/>
    <w:bookmarkStart w:id="80" w:name="ref-hoppe_amp-activated_2009"/>
    <w:p>
      <w:pPr>
        <w:pStyle w:val="Bibliography"/>
      </w:pPr>
      <w:r>
        <w:t xml:space="preserve">22.</w:t>
      </w:r>
      <w:r>
        <w:t xml:space="preserve"> </w:t>
      </w:r>
      <w:r>
        <w:t xml:space="preserve">	</w:t>
      </w:r>
      <w:r>
        <w:rPr>
          <w:bCs/>
          <w:b/>
        </w:rPr>
        <w:t xml:space="preserve">Hoppe S</w:t>
      </w:r>
      <w:r>
        <w:t xml:space="preserve">,</w:t>
      </w:r>
      <w:r>
        <w:t xml:space="preserve"> </w:t>
      </w:r>
      <w:r>
        <w:rPr>
          <w:bCs/>
          <w:b/>
        </w:rPr>
        <w:t xml:space="preserve">Bierhoff H</w:t>
      </w:r>
      <w:r>
        <w:t xml:space="preserve">,</w:t>
      </w:r>
      <w:r>
        <w:t xml:space="preserve"> </w:t>
      </w:r>
      <w:r>
        <w:rPr>
          <w:bCs/>
          <w:b/>
        </w:rPr>
        <w:t xml:space="preserve">Cado I</w:t>
      </w:r>
      <w:r>
        <w:t xml:space="preserve">,</w:t>
      </w:r>
      <w:r>
        <w:t xml:space="preserve"> </w:t>
      </w:r>
      <w:r>
        <w:rPr>
          <w:bCs/>
          <w:b/>
        </w:rPr>
        <w:t xml:space="preserve">Weber A</w:t>
      </w:r>
      <w:r>
        <w:t xml:space="preserve">,</w:t>
      </w:r>
      <w:r>
        <w:t xml:space="preserve"> </w:t>
      </w:r>
      <w:r>
        <w:rPr>
          <w:bCs/>
          <w:b/>
        </w:rPr>
        <w:t xml:space="preserve">Tiebe M</w:t>
      </w:r>
      <w:r>
        <w:t xml:space="preserve">,</w:t>
      </w:r>
      <w:r>
        <w:t xml:space="preserve"> </w:t>
      </w:r>
      <w:r>
        <w:rPr>
          <w:bCs/>
          <w:b/>
        </w:rPr>
        <w:t xml:space="preserve">Grummt I</w:t>
      </w:r>
      <w:r>
        <w:t xml:space="preserve">,</w:t>
      </w:r>
      <w:r>
        <w:t xml:space="preserve"> </w:t>
      </w:r>
      <w:r>
        <w:rPr>
          <w:bCs/>
          <w:b/>
        </w:rPr>
        <w:t xml:space="preserve">Voit R</w:t>
      </w:r>
      <w:r>
        <w:t xml:space="preserve">.</w:t>
      </w:r>
      <w:r>
        <w:t xml:space="preserve"> </w:t>
      </w:r>
      <w:r>
        <w:t xml:space="preserve">AMP</w:t>
      </w:r>
      <w:r>
        <w:t xml:space="preserve">-activated protein kinase adapts</w:t>
      </w:r>
      <w:r>
        <w:t xml:space="preserve"> </w:t>
      </w:r>
      <w:r>
        <w:t xml:space="preserve">rRNA</w:t>
      </w:r>
      <w:r>
        <w:t xml:space="preserve"> </w:t>
      </w:r>
      <w:r>
        <w:t xml:space="preserve">synthesis to cellular energy supply.</w:t>
      </w:r>
      <w:r>
        <w:t xml:space="preserve"> </w:t>
      </w:r>
      <w:r>
        <w:rPr>
          <w:iCs/>
          <w:i/>
        </w:rPr>
        <w:t xml:space="preserve">Proceedings of the National Academy of Sciences</w:t>
      </w:r>
      <w:r>
        <w:t xml:space="preserve"> </w:t>
      </w:r>
      <w:r>
        <w:t xml:space="preserve">106: 17781–17786, 2009. doi:</w:t>
      </w:r>
      <w:r>
        <w:t xml:space="preserve"> </w:t>
      </w:r>
      <w:hyperlink r:id="rId79">
        <w:r>
          <w:rPr>
            <w:rStyle w:val="Hyperlink"/>
          </w:rPr>
          <w:t xml:space="preserve">10.1073/pnas.0909873106</w:t>
        </w:r>
      </w:hyperlink>
      <w:r>
        <w:t xml:space="preserve">.</w:t>
      </w:r>
    </w:p>
    <w:bookmarkEnd w:id="80"/>
    <w:bookmarkStart w:id="82" w:name="ref-hillier_physiological_2000"/>
    <w:p>
      <w:pPr>
        <w:pStyle w:val="Bibliography"/>
      </w:pPr>
      <w:r>
        <w:t xml:space="preserve">23.</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w:t>
      </w:r>
      <w:r>
        <w:t xml:space="preserve"> </w:t>
      </w:r>
      <w:r>
        <w:rPr>
          <w:iCs/>
          <w:i/>
        </w:rPr>
        <w:t xml:space="preserve">The Journal of Clinical Endocrinology &amp; Metabolism</w:t>
      </w:r>
      <w:r>
        <w:t xml:space="preserve"> </w:t>
      </w:r>
      <w:r>
        <w:t xml:space="preserve">85: 4900–4904, 2000. doi:</w:t>
      </w:r>
      <w:r>
        <w:t xml:space="preserve"> </w:t>
      </w:r>
      <w:hyperlink r:id="rId81">
        <w:r>
          <w:rPr>
            <w:rStyle w:val="Hyperlink"/>
          </w:rPr>
          <w:t xml:space="preserve">10.1210/jcem.85.12.7036</w:t>
        </w:r>
      </w:hyperlink>
      <w:r>
        <w:t xml:space="preserve">.</w:t>
      </w:r>
    </w:p>
    <w:bookmarkEnd w:id="82"/>
    <w:bookmarkStart w:id="84" w:name="ref-sanij_ubf_2008"/>
    <w:p>
      <w:pPr>
        <w:pStyle w:val="Bibliography"/>
      </w:pPr>
      <w:r>
        <w:t xml:space="preserve">24.</w:t>
      </w:r>
      <w:r>
        <w:t xml:space="preserve"> </w:t>
      </w:r>
      <w:r>
        <w:t xml:space="preserve">	</w:t>
      </w:r>
      <w:r>
        <w:rPr>
          <w:bCs/>
          <w:b/>
        </w:rPr>
        <w:t xml:space="preserve">Sanij E</w:t>
      </w:r>
      <w:r>
        <w:t xml:space="preserve">,</w:t>
      </w:r>
      <w:r>
        <w:t xml:space="preserve"> </w:t>
      </w:r>
      <w:r>
        <w:rPr>
          <w:bCs/>
          <w:b/>
        </w:rPr>
        <w:t xml:space="preserve">Poortinga G</w:t>
      </w:r>
      <w:r>
        <w:t xml:space="preserve">,</w:t>
      </w:r>
      <w:r>
        <w:t xml:space="preserve"> </w:t>
      </w:r>
      <w:r>
        <w:rPr>
          <w:bCs/>
          <w:b/>
        </w:rPr>
        <w:t xml:space="preserve">Sharkey K</w:t>
      </w:r>
      <w:r>
        <w:t xml:space="preserve">,</w:t>
      </w:r>
      <w:r>
        <w:t xml:space="preserve"> </w:t>
      </w:r>
      <w:r>
        <w:rPr>
          <w:bCs/>
          <w:b/>
        </w:rPr>
        <w:t xml:space="preserve">Hung S</w:t>
      </w:r>
      <w:r>
        <w:t xml:space="preserve">,</w:t>
      </w:r>
      <w:r>
        <w:t xml:space="preserve"> </w:t>
      </w:r>
      <w:r>
        <w:rPr>
          <w:bCs/>
          <w:b/>
        </w:rPr>
        <w:t xml:space="preserve">Holloway TP</w:t>
      </w:r>
      <w:r>
        <w:t xml:space="preserve">,</w:t>
      </w:r>
      <w:r>
        <w:t xml:space="preserve"> </w:t>
      </w:r>
      <w:r>
        <w:rPr>
          <w:bCs/>
          <w:b/>
        </w:rPr>
        <w:t xml:space="preserve">Quin J</w:t>
      </w:r>
      <w:r>
        <w:t xml:space="preserve">,</w:t>
      </w:r>
      <w:r>
        <w:t xml:space="preserve"> </w:t>
      </w:r>
      <w:r>
        <w:rPr>
          <w:bCs/>
          <w:b/>
        </w:rPr>
        <w:t xml:space="preserve">Robb E</w:t>
      </w:r>
      <w:r>
        <w:t xml:space="preserve">,</w:t>
      </w:r>
      <w:r>
        <w:t xml:space="preserve"> </w:t>
      </w:r>
      <w:r>
        <w:rPr>
          <w:bCs/>
          <w:b/>
        </w:rPr>
        <w:t xml:space="preserve">Wong LH</w:t>
      </w:r>
      <w:r>
        <w:t xml:space="preserve">,</w:t>
      </w:r>
      <w:r>
        <w:t xml:space="preserve"> </w:t>
      </w:r>
      <w:r>
        <w:rPr>
          <w:bCs/>
          <w:b/>
        </w:rPr>
        <w:t xml:space="preserve">Thomas WG</w:t>
      </w:r>
      <w:r>
        <w:t xml:space="preserve">,</w:t>
      </w:r>
      <w:r>
        <w:t xml:space="preserve"> </w:t>
      </w:r>
      <w:r>
        <w:rPr>
          <w:bCs/>
          <w:b/>
        </w:rPr>
        <w:t xml:space="preserve">Stefanovsky V</w:t>
      </w:r>
      <w:r>
        <w:t xml:space="preserve">,</w:t>
      </w:r>
      <w:r>
        <w:t xml:space="preserve"> </w:t>
      </w:r>
      <w:r>
        <w:rPr>
          <w:bCs/>
          <w:b/>
        </w:rPr>
        <w:t xml:space="preserve">Moss T</w:t>
      </w:r>
      <w:r>
        <w:t xml:space="preserve">,</w:t>
      </w:r>
      <w:r>
        <w:t xml:space="preserve"> </w:t>
      </w:r>
      <w:r>
        <w:rPr>
          <w:bCs/>
          <w:b/>
        </w:rPr>
        <w:t xml:space="preserve">Rothblum L</w:t>
      </w:r>
      <w:r>
        <w:t xml:space="preserve">,</w:t>
      </w:r>
      <w:r>
        <w:t xml:space="preserve"> </w:t>
      </w:r>
      <w:r>
        <w:rPr>
          <w:bCs/>
          <w:b/>
        </w:rPr>
        <w:t xml:space="preserve">Hannan KM</w:t>
      </w:r>
      <w:r>
        <w:t xml:space="preserve">,</w:t>
      </w:r>
      <w:r>
        <w:t xml:space="preserve"> </w:t>
      </w:r>
      <w:r>
        <w:rPr>
          <w:bCs/>
          <w:b/>
        </w:rPr>
        <w:t xml:space="preserve">McArthur GA</w:t>
      </w:r>
      <w:r>
        <w:t xml:space="preserve">,</w:t>
      </w:r>
      <w:r>
        <w:t xml:space="preserve"> </w:t>
      </w:r>
      <w:r>
        <w:rPr>
          <w:bCs/>
          <w:b/>
        </w:rPr>
        <w:t xml:space="preserve">Pearson RB</w:t>
      </w:r>
      <w:r>
        <w:t xml:space="preserve">,</w:t>
      </w:r>
      <w:r>
        <w:t xml:space="preserve"> </w:t>
      </w:r>
      <w:r>
        <w:rPr>
          <w:bCs/>
          <w:b/>
        </w:rPr>
        <w:t xml:space="preserve">Hannan RD</w:t>
      </w:r>
      <w:r>
        <w:t xml:space="preserve">.</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w:t>
      </w:r>
      <w:r>
        <w:t xml:space="preserve"> </w:t>
      </w:r>
      <w:r>
        <w:rPr>
          <w:iCs/>
          <w:i/>
        </w:rPr>
        <w:t xml:space="preserve">Journal of Cell Biology</w:t>
      </w:r>
      <w:r>
        <w:t xml:space="preserve"> </w:t>
      </w:r>
      <w:r>
        <w:t xml:space="preserve">183: 1259–1274, 2008. doi:</w:t>
      </w:r>
      <w:r>
        <w:t xml:space="preserve"> </w:t>
      </w:r>
      <w:hyperlink r:id="rId83">
        <w:r>
          <w:rPr>
            <w:rStyle w:val="Hyperlink"/>
          </w:rPr>
          <w:t xml:space="preserve">10.1083/jcb.200805146</w:t>
        </w:r>
      </w:hyperlink>
      <w:r>
        <w:t xml:space="preserve">.</w:t>
      </w:r>
    </w:p>
    <w:bookmarkEnd w:id="84"/>
    <w:bookmarkStart w:id="86" w:name="ref-poortinga_c-myc_2011"/>
    <w:p>
      <w:pPr>
        <w:pStyle w:val="Bibliography"/>
      </w:pPr>
      <w:r>
        <w:t xml:space="preserve">25.</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w:t>
      </w:r>
      <w:r>
        <w:t xml:space="preserve"> </w:t>
      </w:r>
      <w:r>
        <w:rPr>
          <w:iCs/>
          <w:i/>
        </w:rPr>
        <w:t xml:space="preserve">Nucleic Acids Research</w:t>
      </w:r>
      <w:r>
        <w:t xml:space="preserve"> </w:t>
      </w:r>
      <w:r>
        <w:t xml:space="preserve">39: 3267–3281, 2011. doi:</w:t>
      </w:r>
      <w:r>
        <w:t xml:space="preserve"> </w:t>
      </w:r>
      <w:hyperlink r:id="rId85">
        <w:r>
          <w:rPr>
            <w:rStyle w:val="Hyperlink"/>
          </w:rPr>
          <w:t xml:space="preserve">10.1093/nar/gkq1205</w:t>
        </w:r>
      </w:hyperlink>
      <w:r>
        <w:t xml:space="preserve">.</w:t>
      </w:r>
    </w:p>
    <w:bookmarkEnd w:id="86"/>
    <w:bookmarkStart w:id="88" w:name="ref-mariappan_ribosomal_2011"/>
    <w:p>
      <w:pPr>
        <w:pStyle w:val="Bibliography"/>
      </w:pPr>
      <w:r>
        <w:t xml:space="preserve">26.</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87">
        <w:r>
          <w:rPr>
            <w:rStyle w:val="Hyperlink"/>
          </w:rPr>
          <w:t xml:space="preserve">10.1152/ajprenal.00207.2010</w:t>
        </w:r>
      </w:hyperlink>
      <w:r>
        <w:t xml:space="preserve">.</w:t>
      </w:r>
    </w:p>
    <w:bookmarkEnd w:id="88"/>
    <w:bookmarkStart w:id="90" w:name="ref-zhai_human_2012"/>
    <w:p>
      <w:pPr>
        <w:pStyle w:val="Bibliography"/>
      </w:pPr>
      <w:r>
        <w:t xml:space="preserve">27.</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89">
        <w:r>
          <w:rPr>
            <w:rStyle w:val="Hyperlink"/>
          </w:rPr>
          <w:t xml:space="preserve">10.1093/jmcb/mjs003</w:t>
        </w:r>
      </w:hyperlink>
      <w:r>
        <w:t xml:space="preserve">.</w:t>
      </w:r>
    </w:p>
    <w:bookmarkEnd w:id="90"/>
    <w:bookmarkStart w:id="92" w:name="ref-hammarstrom_ribosome_2022"/>
    <w:p>
      <w:pPr>
        <w:pStyle w:val="Bibliography"/>
      </w:pPr>
      <w:r>
        <w:t xml:space="preserve">28.</w:t>
      </w:r>
      <w:r>
        <w:t xml:space="preserve"> </w:t>
      </w:r>
      <w:r>
        <w:t xml:space="preserve">	</w:t>
      </w:r>
      <w:r>
        <w:rPr>
          <w:bCs/>
          <w:b/>
        </w:rPr>
        <w:t xml:space="preserve">Hammarström D</w:t>
      </w:r>
      <w:r>
        <w:t xml:space="preserve">,</w:t>
      </w:r>
      <w:r>
        <w:t xml:space="preserve"> </w:t>
      </w:r>
      <w:r>
        <w:rPr>
          <w:bCs/>
          <w:b/>
        </w:rPr>
        <w:t xml:space="preserve">Øfsteng SJ</w:t>
      </w:r>
      <w:r>
        <w:t xml:space="preserve">,</w:t>
      </w:r>
      <w:r>
        <w:t xml:space="preserve"> </w:t>
      </w:r>
      <w:r>
        <w:rPr>
          <w:bCs/>
          <w:b/>
        </w:rPr>
        <w:t xml:space="preserve">Jacobsen NB</w:t>
      </w:r>
      <w:r>
        <w:t xml:space="preserve">,</w:t>
      </w:r>
      <w:r>
        <w:t xml:space="preserve"> </w:t>
      </w:r>
      <w:r>
        <w:rPr>
          <w:bCs/>
          <w:b/>
        </w:rPr>
        <w:t xml:space="preserve">Flobergseter KB</w:t>
      </w:r>
      <w:r>
        <w:t xml:space="preserve">,</w:t>
      </w:r>
      <w:r>
        <w:t xml:space="preserve"> </w:t>
      </w:r>
      <w:r>
        <w:rPr>
          <w:bCs/>
          <w:b/>
        </w:rPr>
        <w:t xml:space="preserve">Rønnestad BR</w:t>
      </w:r>
      <w:r>
        <w:t xml:space="preserve">,</w:t>
      </w:r>
      <w:r>
        <w:t xml:space="preserve"> </w:t>
      </w:r>
      <w:r>
        <w:rPr>
          <w:bCs/>
          <w:b/>
        </w:rPr>
        <w:t xml:space="preserve">Ellefsen S</w:t>
      </w:r>
      <w:r>
        <w:t xml:space="preserve">. Ribosome accumulation during early phase resistance training in humans.</w:t>
      </w:r>
      <w:r>
        <w:t xml:space="preserve"> </w:t>
      </w:r>
      <w:r>
        <w:rPr>
          <w:iCs/>
          <w:i/>
        </w:rPr>
        <w:t xml:space="preserve">Acta Physiologica</w:t>
      </w:r>
      <w:r>
        <w:t xml:space="preserve"> </w:t>
      </w:r>
      <w:r>
        <w:t xml:space="preserve">235, 2022. doi:</w:t>
      </w:r>
      <w:r>
        <w:t xml:space="preserve"> </w:t>
      </w:r>
      <w:hyperlink r:id="rId91">
        <w:r>
          <w:rPr>
            <w:rStyle w:val="Hyperlink"/>
          </w:rPr>
          <w:t xml:space="preserve">10.1111/apha.13806</w:t>
        </w:r>
      </w:hyperlink>
      <w:r>
        <w:t xml:space="preserve">.</w:t>
      </w:r>
    </w:p>
    <w:bookmarkEnd w:id="92"/>
    <w:bookmarkStart w:id="94" w:name="ref-figueiredo_revisiting_2019"/>
    <w:p>
      <w:pPr>
        <w:pStyle w:val="Bibliography"/>
      </w:pPr>
      <w:r>
        <w:t xml:space="preserve">29.</w:t>
      </w:r>
      <w:r>
        <w:t xml:space="preserve"> </w:t>
      </w:r>
      <w:r>
        <w:t xml:space="preserve">	</w:t>
      </w:r>
      <w:r>
        <w:rPr>
          <w:bCs/>
          <w:b/>
        </w:rPr>
        <w:t xml:space="preserve">Figueiredo VC</w:t>
      </w:r>
      <w:r>
        <w:t xml:space="preserve">. Revisiting the roles of protein synthesis during skeletal muscle hypertrophy induced by exercise.</w:t>
      </w:r>
      <w:r>
        <w:t xml:space="preserve"> </w:t>
      </w:r>
      <w:r>
        <w:rPr>
          <w:iCs/>
          <w:i/>
        </w:rPr>
        <w:t xml:space="preserve">American Journal of Physiology-Regulatory, Integrative and Comparative Physiology</w:t>
      </w:r>
      <w:r>
        <w:t xml:space="preserve"> </w:t>
      </w:r>
      <w:r>
        <w:t xml:space="preserve">317: R709–R718, 2019. doi:</w:t>
      </w:r>
      <w:r>
        <w:t xml:space="preserve"> </w:t>
      </w:r>
      <w:hyperlink r:id="rId93">
        <w:r>
          <w:rPr>
            <w:rStyle w:val="Hyperlink"/>
          </w:rPr>
          <w:t xml:space="preserve">10.1152/ajpregu.00162.2019</w:t>
        </w:r>
      </w:hyperlink>
      <w:r>
        <w:t xml:space="preserve">.</w:t>
      </w:r>
    </w:p>
    <w:bookmarkEnd w:id="94"/>
    <w:bookmarkStart w:id="96" w:name="ref-ellefsen_improved_2008"/>
    <w:p>
      <w:pPr>
        <w:pStyle w:val="Bibliography"/>
      </w:pPr>
      <w:r>
        <w:t xml:space="preserve">30.</w:t>
      </w:r>
      <w:r>
        <w:t xml:space="preserve"> </w:t>
      </w:r>
      <w:r>
        <w:t xml:space="preserve">	</w:t>
      </w:r>
      <w:r>
        <w:rPr>
          <w:bCs/>
          <w:b/>
        </w:rPr>
        <w:t xml:space="preserve">Ellefsen S</w:t>
      </w:r>
      <w:r>
        <w:t xml:space="preserve">,</w:t>
      </w:r>
      <w:r>
        <w:t xml:space="preserve"> </w:t>
      </w:r>
      <w:r>
        <w:rPr>
          <w:bCs/>
          <w:b/>
        </w:rPr>
        <w:t xml:space="preserve">Stensløkken K-O</w:t>
      </w:r>
      <w:r>
        <w:t xml:space="preserve">,</w:t>
      </w:r>
      <w:r>
        <w:t xml:space="preserve"> </w:t>
      </w:r>
      <w:r>
        <w:rPr>
          <w:bCs/>
          <w:b/>
        </w:rPr>
        <w:t xml:space="preserve">Sandvik GK</w:t>
      </w:r>
      <w:r>
        <w:t xml:space="preserve">,</w:t>
      </w:r>
      <w:r>
        <w:t xml:space="preserve"> </w:t>
      </w:r>
      <w:r>
        <w:rPr>
          <w:bCs/>
          <w:b/>
        </w:rPr>
        <w:t xml:space="preserve">Kristensen TA</w:t>
      </w:r>
      <w:r>
        <w:t xml:space="preserve">,</w:t>
      </w:r>
      <w:r>
        <w:t xml:space="preserve"> </w:t>
      </w:r>
      <w:r>
        <w:rPr>
          <w:bCs/>
          <w:b/>
        </w:rPr>
        <w:t xml:space="preserve">Nilsson GE</w:t>
      </w:r>
      <w:r>
        <w:t xml:space="preserve">. Improved normalization of real-time reverse transcriptase polymerase chain reaction data using an external</w:t>
      </w:r>
      <w:r>
        <w:t xml:space="preserve"> </w:t>
      </w:r>
      <w:r>
        <w:t xml:space="preserve">RNA</w:t>
      </w:r>
      <w:r>
        <w:t xml:space="preserve"> </w:t>
      </w:r>
      <w:r>
        <w:t xml:space="preserve">control.</w:t>
      </w:r>
      <w:r>
        <w:t xml:space="preserve"> </w:t>
      </w:r>
      <w:r>
        <w:rPr>
          <w:iCs/>
          <w:i/>
        </w:rPr>
        <w:t xml:space="preserve">Analytical Biochemistry</w:t>
      </w:r>
      <w:r>
        <w:t xml:space="preserve"> </w:t>
      </w:r>
      <w:r>
        <w:t xml:space="preserve">376: 83–93, 2008. doi:</w:t>
      </w:r>
      <w:r>
        <w:t xml:space="preserve"> </w:t>
      </w:r>
      <w:hyperlink r:id="rId95">
        <w:r>
          <w:rPr>
            <w:rStyle w:val="Hyperlink"/>
          </w:rPr>
          <w:t xml:space="preserve">10.1016/j.ab.2008.01.028</w:t>
        </w:r>
      </w:hyperlink>
      <w:r>
        <w:t xml:space="preserve">.</w:t>
      </w:r>
    </w:p>
    <w:bookmarkEnd w:id="96"/>
    <w:bookmarkStart w:id="98" w:name="ref-ellefsen_reliable_2014"/>
    <w:p>
      <w:pPr>
        <w:pStyle w:val="Bibliography"/>
      </w:pPr>
      <w:r>
        <w:t xml:space="preserve">31.</w:t>
      </w:r>
      <w:r>
        <w:t xml:space="preserve"> </w:t>
      </w:r>
      <w:r>
        <w:t xml:space="preserve">	</w:t>
      </w:r>
      <w:r>
        <w:rPr>
          <w:bCs/>
          <w:b/>
        </w:rPr>
        <w:t xml:space="preserve">Ellefsen S</w:t>
      </w:r>
      <w:r>
        <w:t xml:space="preserve">,</w:t>
      </w:r>
      <w:r>
        <w:t xml:space="preserve"> </w:t>
      </w:r>
      <w:r>
        <w:rPr>
          <w:bCs/>
          <w:b/>
        </w:rPr>
        <w:t xml:space="preserve">Vikmoen O</w:t>
      </w:r>
      <w:r>
        <w:t xml:space="preserve">,</w:t>
      </w:r>
      <w:r>
        <w:t xml:space="preserve"> </w:t>
      </w:r>
      <w:r>
        <w:rPr>
          <w:bCs/>
          <w:b/>
        </w:rPr>
        <w:t xml:space="preserve">Zacharoff E</w:t>
      </w:r>
      <w:r>
        <w:t xml:space="preserve">,</w:t>
      </w:r>
      <w:r>
        <w:t xml:space="preserve"> </w:t>
      </w:r>
      <w:r>
        <w:rPr>
          <w:bCs/>
          <w:b/>
        </w:rPr>
        <w:t xml:space="preserve">Rauk I</w:t>
      </w:r>
      <w:r>
        <w:t xml:space="preserve">,</w:t>
      </w:r>
      <w:r>
        <w:t xml:space="preserve"> </w:t>
      </w:r>
      <w:r>
        <w:rPr>
          <w:bCs/>
          <w:b/>
        </w:rPr>
        <w:t xml:space="preserve">Slettaløkken G</w:t>
      </w:r>
      <w:r>
        <w:t xml:space="preserve">,</w:t>
      </w:r>
      <w:r>
        <w:t xml:space="preserve"> </w:t>
      </w:r>
      <w:r>
        <w:rPr>
          <w:bCs/>
          <w:b/>
        </w:rPr>
        <w:t xml:space="preserve">Hammarström D</w:t>
      </w:r>
      <w:r>
        <w:t xml:space="preserve">,</w:t>
      </w:r>
      <w:r>
        <w:t xml:space="preserve"> </w:t>
      </w:r>
      <w:r>
        <w:rPr>
          <w:bCs/>
          <w:b/>
        </w:rPr>
        <w:t xml:space="preserve">Strand TA</w:t>
      </w:r>
      <w:r>
        <w:t xml:space="preserve">,</w:t>
      </w:r>
      <w:r>
        <w:t xml:space="preserve"> </w:t>
      </w:r>
      <w:r>
        <w:rPr>
          <w:bCs/>
          <w:b/>
        </w:rPr>
        <w:t xml:space="preserve">Whist JE</w:t>
      </w:r>
      <w:r>
        <w:t xml:space="preserve">,</w:t>
      </w:r>
      <w:r>
        <w:t xml:space="preserve"> </w:t>
      </w:r>
      <w:r>
        <w:rPr>
          <w:bCs/>
          <w:b/>
        </w:rPr>
        <w:t xml:space="preserve">Hanestadhaugen M</w:t>
      </w:r>
      <w:r>
        <w:t xml:space="preserve">,</w:t>
      </w:r>
      <w:r>
        <w:t xml:space="preserve"> </w:t>
      </w:r>
      <w:r>
        <w:rPr>
          <w:bCs/>
          <w:b/>
        </w:rPr>
        <w:t xml:space="preserve">Vegge G</w:t>
      </w:r>
      <w:r>
        <w:t xml:space="preserve">,</w:t>
      </w:r>
      <w:r>
        <w:t xml:space="preserve"> </w:t>
      </w:r>
      <w:r>
        <w:rPr>
          <w:bCs/>
          <w:b/>
        </w:rPr>
        <w:t xml:space="preserve">Fagernes CE</w:t>
      </w:r>
      <w:r>
        <w:t xml:space="preserve">,</w:t>
      </w:r>
      <w:r>
        <w:t xml:space="preserve"> </w:t>
      </w:r>
      <w:r>
        <w:rPr>
          <w:bCs/>
          <w:b/>
        </w:rPr>
        <w:t xml:space="preserve">Nygaard H</w:t>
      </w:r>
      <w:r>
        <w:t xml:space="preserve">,</w:t>
      </w:r>
      <w:r>
        <w:t xml:space="preserve"> </w:t>
      </w:r>
      <w:r>
        <w:rPr>
          <w:bCs/>
          <w:b/>
        </w:rPr>
        <w:t xml:space="preserve">Hollan I</w:t>
      </w:r>
      <w:r>
        <w:t xml:space="preserve">,</w:t>
      </w:r>
      <w:r>
        <w:t xml:space="preserve"> </w:t>
      </w:r>
      <w:r>
        <w:rPr>
          <w:bCs/>
          <w:b/>
        </w:rPr>
        <w:t xml:space="preserve">Rønnestad BR</w:t>
      </w:r>
      <w:r>
        <w:t xml:space="preserve">.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w:t>
      </w:r>
      <w:r>
        <w:t xml:space="preserve"> </w:t>
      </w:r>
      <w:r>
        <w:rPr>
          <w:iCs/>
          <w:i/>
        </w:rPr>
        <w:t xml:space="preserve">Scandinavian Journal of Medicine &amp; Science in Sports</w:t>
      </w:r>
      <w:r>
        <w:t xml:space="preserve"> </w:t>
      </w:r>
      <w:r>
        <w:t xml:space="preserve">24: e332–e342, 2014. doi:</w:t>
      </w:r>
      <w:r>
        <w:t xml:space="preserve"> </w:t>
      </w:r>
      <w:hyperlink r:id="rId97">
        <w:r>
          <w:rPr>
            <w:rStyle w:val="Hyperlink"/>
          </w:rPr>
          <w:t xml:space="preserve">10.1111/sms.12185</w:t>
        </w:r>
      </w:hyperlink>
      <w:r>
        <w:t xml:space="preserve">.</w:t>
      </w:r>
    </w:p>
    <w:bookmarkEnd w:id="98"/>
    <w:bookmarkStart w:id="100" w:name="ref-ritz_qpcr_2008"/>
    <w:p>
      <w:pPr>
        <w:pStyle w:val="Bibliography"/>
      </w:pPr>
      <w:r>
        <w:t xml:space="preserve">32.</w:t>
      </w:r>
      <w:r>
        <w:t xml:space="preserve"> </w:t>
      </w:r>
      <w:r>
        <w:t xml:space="preserve">	</w:t>
      </w:r>
      <w:r>
        <w:rPr>
          <w:bCs/>
          <w:b/>
        </w:rPr>
        <w:t xml:space="preserve">Ritz C</w:t>
      </w:r>
      <w:r>
        <w:t xml:space="preserve">,</w:t>
      </w:r>
      <w:r>
        <w:t xml:space="preserve"> </w:t>
      </w:r>
      <w:r>
        <w:rPr>
          <w:bCs/>
          <w:b/>
        </w:rPr>
        <w:t xml:space="preserve">Spiess A-N</w:t>
      </w:r>
      <w:r>
        <w:t xml:space="preserve">.</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w:t>
      </w:r>
      <w:r>
        <w:t xml:space="preserve"> </w:t>
      </w:r>
      <w:r>
        <w:rPr>
          <w:iCs/>
          <w:i/>
        </w:rPr>
        <w:t xml:space="preserve">Bioinformatics</w:t>
      </w:r>
      <w:r>
        <w:t xml:space="preserve"> </w:t>
      </w:r>
      <w:r>
        <w:t xml:space="preserve">24: 1549–1551, 2008. doi:</w:t>
      </w:r>
      <w:r>
        <w:t xml:space="preserve"> </w:t>
      </w:r>
      <w:hyperlink r:id="rId99">
        <w:r>
          <w:rPr>
            <w:rStyle w:val="Hyperlink"/>
          </w:rPr>
          <w:t xml:space="preserve">10.1093/bioinformatics/btn227</w:t>
        </w:r>
      </w:hyperlink>
      <w:r>
        <w:t xml:space="preserve">.</w:t>
      </w:r>
    </w:p>
    <w:bookmarkEnd w:id="100"/>
    <w:bookmarkStart w:id="102" w:name="ref-Rcore"/>
    <w:p>
      <w:pPr>
        <w:pStyle w:val="Bibliography"/>
      </w:pPr>
      <w:r>
        <w:t xml:space="preserve">33.</w:t>
      </w:r>
      <w:r>
        <w:t xml:space="preserve"> </w:t>
      </w:r>
      <w:r>
        <w:t xml:space="preserve">	</w:t>
      </w:r>
      <w:r>
        <w:rPr>
          <w:bCs/>
          <w:b/>
        </w:rPr>
        <w:t xml:space="preserve">R Core Team</w:t>
      </w:r>
      <w:r>
        <w:t xml:space="preserve">. R: A language and environment for statistical computing [Online]. R Foundation for Statistical Computing.</w:t>
      </w:r>
      <w:r>
        <w:t xml:space="preserve"> </w:t>
      </w:r>
      <w:hyperlink r:id="rId101">
        <w:r>
          <w:rPr>
            <w:rStyle w:val="Hyperlink"/>
          </w:rPr>
          <w:t xml:space="preserve">https://www.R-project.org/</w:t>
        </w:r>
      </w:hyperlink>
      <w:r>
        <w:t xml:space="preserve">.</w:t>
      </w:r>
    </w:p>
    <w:bookmarkEnd w:id="102"/>
    <w:bookmarkStart w:id="104" w:name="ref-rueden_imagej2_2017"/>
    <w:p>
      <w:pPr>
        <w:pStyle w:val="Bibliography"/>
      </w:pPr>
      <w:r>
        <w:t xml:space="preserve">34.</w:t>
      </w:r>
      <w:r>
        <w:t xml:space="preserve"> </w:t>
      </w:r>
      <w:r>
        <w:t xml:space="preserve">	</w:t>
      </w:r>
      <w:r>
        <w:rPr>
          <w:bCs/>
          <w:b/>
        </w:rPr>
        <w:t xml:space="preserve">Rueden CT</w:t>
      </w:r>
      <w:r>
        <w:t xml:space="preserve">,</w:t>
      </w:r>
      <w:r>
        <w:t xml:space="preserve"> </w:t>
      </w:r>
      <w:r>
        <w:rPr>
          <w:bCs/>
          <w:b/>
        </w:rPr>
        <w:t xml:space="preserve">Schindelin J</w:t>
      </w:r>
      <w:r>
        <w:t xml:space="preserve">,</w:t>
      </w:r>
      <w:r>
        <w:t xml:space="preserve"> </w:t>
      </w:r>
      <w:r>
        <w:rPr>
          <w:bCs/>
          <w:b/>
        </w:rPr>
        <w:t xml:space="preserve">Hiner MC</w:t>
      </w:r>
      <w:r>
        <w:t xml:space="preserve">,</w:t>
      </w:r>
      <w:r>
        <w:t xml:space="preserve"> </w:t>
      </w:r>
      <w:r>
        <w:rPr>
          <w:bCs/>
          <w:b/>
        </w:rPr>
        <w:t xml:space="preserve">DeZonia BE</w:t>
      </w:r>
      <w:r>
        <w:t xml:space="preserve">,</w:t>
      </w:r>
      <w:r>
        <w:t xml:space="preserve"> </w:t>
      </w:r>
      <w:r>
        <w:rPr>
          <w:bCs/>
          <w:b/>
        </w:rPr>
        <w:t xml:space="preserve">Walter AE</w:t>
      </w:r>
      <w:r>
        <w:t xml:space="preserve">,</w:t>
      </w:r>
      <w:r>
        <w:t xml:space="preserve"> </w:t>
      </w:r>
      <w:r>
        <w:rPr>
          <w:bCs/>
          <w:b/>
        </w:rPr>
        <w:t xml:space="preserve">Arena ET</w:t>
      </w:r>
      <w:r>
        <w:t xml:space="preserve">,</w:t>
      </w:r>
      <w:r>
        <w:t xml:space="preserve"> </w:t>
      </w:r>
      <w:r>
        <w:rPr>
          <w:bCs/>
          <w:b/>
        </w:rPr>
        <w:t xml:space="preserve">Eliceiri KW</w:t>
      </w:r>
      <w:r>
        <w:t xml:space="preserve">.</w:t>
      </w:r>
      <w:r>
        <w:t xml:space="preserve"> </w:t>
      </w:r>
      <w:r>
        <w:t xml:space="preserve">ImageJ2</w:t>
      </w:r>
      <w:r>
        <w:t xml:space="preserve">:</w:t>
      </w:r>
      <w:r>
        <w:t xml:space="preserve"> </w:t>
      </w:r>
      <w:r>
        <w:t xml:space="preserve">ImageJ</w:t>
      </w:r>
      <w:r>
        <w:t xml:space="preserve"> </w:t>
      </w:r>
      <w:r>
        <w:t xml:space="preserve">for the next generation of scientific image data.</w:t>
      </w:r>
      <w:r>
        <w:t xml:space="preserve"> </w:t>
      </w:r>
      <w:r>
        <w:rPr>
          <w:iCs/>
          <w:i/>
        </w:rPr>
        <w:t xml:space="preserve">BMC Bioinformatics</w:t>
      </w:r>
      <w:r>
        <w:t xml:space="preserve"> </w:t>
      </w:r>
      <w:r>
        <w:t xml:space="preserve">18: 529, 2017. doi:</w:t>
      </w:r>
      <w:r>
        <w:t xml:space="preserve"> </w:t>
      </w:r>
      <w:hyperlink r:id="rId103">
        <w:r>
          <w:rPr>
            <w:rStyle w:val="Hyperlink"/>
          </w:rPr>
          <w:t xml:space="preserve">10.1186/s12859-017-1934-z</w:t>
        </w:r>
      </w:hyperlink>
      <w:r>
        <w:t xml:space="preserve">.</w:t>
      </w:r>
    </w:p>
    <w:bookmarkEnd w:id="104"/>
    <w:bookmarkStart w:id="106" w:name="ref-lindstrom_nonlinear_1990"/>
    <w:p>
      <w:pPr>
        <w:pStyle w:val="Bibliography"/>
      </w:pPr>
      <w:r>
        <w:t xml:space="preserve">35.</w:t>
      </w:r>
      <w:r>
        <w:t xml:space="preserve"> </w:t>
      </w:r>
      <w:r>
        <w:t xml:space="preserve">	</w:t>
      </w:r>
      <w:r>
        <w:rPr>
          <w:bCs/>
          <w:b/>
        </w:rPr>
        <w:t xml:space="preserve">Lindstrom ML</w:t>
      </w:r>
      <w:r>
        <w:t xml:space="preserve">,</w:t>
      </w:r>
      <w:r>
        <w:t xml:space="preserve"> </w:t>
      </w:r>
      <w:r>
        <w:rPr>
          <w:bCs/>
          <w:b/>
        </w:rPr>
        <w:t xml:space="preserve">Bates DM</w:t>
      </w:r>
      <w:r>
        <w:t xml:space="preserve">.</w:t>
      </w:r>
      <w:r>
        <w:t xml:space="preserve"> </w:t>
      </w:r>
      <w:hyperlink r:id="rId105">
        <w:r>
          <w:rPr>
            <w:rStyle w:val="Hyperlink"/>
          </w:rPr>
          <w:t xml:space="preserve">Nonlinear mixed effects models for repeated measures data</w:t>
        </w:r>
      </w:hyperlink>
      <w:r>
        <w:t xml:space="preserve">.</w:t>
      </w:r>
      <w:r>
        <w:t xml:space="preserve"> </w:t>
      </w:r>
      <w:r>
        <w:rPr>
          <w:iCs/>
          <w:i/>
        </w:rPr>
        <w:t xml:space="preserve">Biometrics</w:t>
      </w:r>
      <w:r>
        <w:t xml:space="preserve"> </w:t>
      </w:r>
      <w:r>
        <w:t xml:space="preserve">46: 673–687, 1990.</w:t>
      </w:r>
    </w:p>
    <w:bookmarkEnd w:id="106"/>
    <w:bookmarkStart w:id="108" w:name="ref-bates_fitting_2014"/>
    <w:p>
      <w:pPr>
        <w:pStyle w:val="Bibliography"/>
      </w:pPr>
      <w:r>
        <w:t xml:space="preserve">36.</w:t>
      </w:r>
      <w:r>
        <w:t xml:space="preserve"> </w:t>
      </w:r>
      <w:r>
        <w:t xml:space="preserve">	</w:t>
      </w:r>
      <w:r>
        <w:rPr>
          <w:bCs/>
          <w:b/>
        </w:rPr>
        <w:t xml:space="preserve">Bates D</w:t>
      </w:r>
      <w:r>
        <w:t xml:space="preserve">,</w:t>
      </w:r>
      <w:r>
        <w:t xml:space="preserve"> </w:t>
      </w:r>
      <w:r>
        <w:rPr>
          <w:bCs/>
          <w:b/>
        </w:rPr>
        <w:t xml:space="preserve">Mächler M</w:t>
      </w:r>
      <w:r>
        <w:t xml:space="preserve">,</w:t>
      </w:r>
      <w:r>
        <w:t xml:space="preserve"> </w:t>
      </w:r>
      <w:r>
        <w:rPr>
          <w:bCs/>
          <w:b/>
        </w:rPr>
        <w:t xml:space="preserve">Bolker B</w:t>
      </w:r>
      <w:r>
        <w:t xml:space="preserve">,</w:t>
      </w:r>
      <w:r>
        <w:t xml:space="preserve"> </w:t>
      </w:r>
      <w:r>
        <w:rPr>
          <w:bCs/>
          <w:b/>
        </w:rPr>
        <w:t xml:space="preserve">Walker S</w:t>
      </w:r>
      <w:r>
        <w:t xml:space="preserve">.</w:t>
      </w:r>
      <w:r>
        <w:t xml:space="preserve"> </w:t>
      </w:r>
      <w:hyperlink r:id="rId107">
        <w:r>
          <w:rPr>
            <w:rStyle w:val="Hyperlink"/>
          </w:rPr>
          <w:t xml:space="preserve">Fitting</w:t>
        </w:r>
        <w:r>
          <w:rPr>
            <w:rStyle w:val="Hyperlink"/>
          </w:rPr>
          <w:t xml:space="preserve"> </w:t>
        </w:r>
        <w:r>
          <w:rPr>
            <w:rStyle w:val="Hyperlink"/>
          </w:rPr>
          <w:t xml:space="preserve">Linear</w:t>
        </w:r>
        <w:r>
          <w:rPr>
            <w:rStyle w:val="Hyperlink"/>
          </w:rPr>
          <w:t xml:space="preserve"> </w:t>
        </w:r>
        <w:r>
          <w:rPr>
            <w:rStyle w:val="Hyperlink"/>
          </w:rPr>
          <w:t xml:space="preserve">Mixed</w:t>
        </w:r>
        <w:r>
          <w:rPr>
            <w:rStyle w:val="Hyperlink"/>
          </w:rPr>
          <w:t xml:space="preserve">-</w:t>
        </w:r>
        <w:r>
          <w:rPr>
            <w:rStyle w:val="Hyperlink"/>
          </w:rPr>
          <w:t xml:space="preserve">Effects</w:t>
        </w:r>
        <w:r>
          <w:rPr>
            <w:rStyle w:val="Hyperlink"/>
          </w:rPr>
          <w:t xml:space="preserve"> </w:t>
        </w:r>
        <w:r>
          <w:rPr>
            <w:rStyle w:val="Hyperlink"/>
          </w:rPr>
          <w:t xml:space="preserve">Models</w:t>
        </w:r>
        <w:r>
          <w:rPr>
            <w:rStyle w:val="Hyperlink"/>
          </w:rPr>
          <w:t xml:space="preserve"> </w:t>
        </w:r>
        <w:r>
          <w:rPr>
            <w:rStyle w:val="Hyperlink"/>
          </w:rPr>
          <w:t xml:space="preserve">using lme4</w:t>
        </w:r>
      </w:hyperlink>
      <w:r>
        <w:t xml:space="preserve">.</w:t>
      </w:r>
    </w:p>
    <w:bookmarkEnd w:id="108"/>
    <w:bookmarkStart w:id="110" w:name="ref-tanaka_mild_2015"/>
    <w:p>
      <w:pPr>
        <w:pStyle w:val="Bibliography"/>
      </w:pPr>
      <w:r>
        <w:t xml:space="preserve">37.</w:t>
      </w:r>
      <w:r>
        <w:t xml:space="preserve"> </w:t>
      </w:r>
      <w:r>
        <w:t xml:space="preserve">	</w:t>
      </w:r>
      <w:r>
        <w:rPr>
          <w:bCs/>
          <w:b/>
        </w:rPr>
        <w:t xml:space="preserve">Tanaka Y</w:t>
      </w:r>
      <w:r>
        <w:t xml:space="preserve">,</w:t>
      </w:r>
      <w:r>
        <w:t xml:space="preserve"> </w:t>
      </w:r>
      <w:r>
        <w:rPr>
          <w:bCs/>
          <w:b/>
        </w:rPr>
        <w:t xml:space="preserve">Yano H</w:t>
      </w:r>
      <w:r>
        <w:t xml:space="preserve">,</w:t>
      </w:r>
      <w:r>
        <w:t xml:space="preserve"> </w:t>
      </w:r>
      <w:r>
        <w:rPr>
          <w:bCs/>
          <w:b/>
        </w:rPr>
        <w:t xml:space="preserve">Ogasawara S</w:t>
      </w:r>
      <w:r>
        <w:t xml:space="preserve">,</w:t>
      </w:r>
      <w:r>
        <w:t xml:space="preserve"> </w:t>
      </w:r>
      <w:r>
        <w:rPr>
          <w:bCs/>
          <w:b/>
        </w:rPr>
        <w:t xml:space="preserve">Yoshioka S</w:t>
      </w:r>
      <w:r>
        <w:t xml:space="preserve">,</w:t>
      </w:r>
      <w:r>
        <w:t xml:space="preserve"> </w:t>
      </w:r>
      <w:r>
        <w:rPr>
          <w:bCs/>
          <w:b/>
        </w:rPr>
        <w:t xml:space="preserve">Imamura H</w:t>
      </w:r>
      <w:r>
        <w:t xml:space="preserve">,</w:t>
      </w:r>
      <w:r>
        <w:t xml:space="preserve"> </w:t>
      </w:r>
      <w:r>
        <w:rPr>
          <w:bCs/>
          <w:b/>
        </w:rPr>
        <w:t xml:space="preserve">Okamoto K</w:t>
      </w:r>
      <w:r>
        <w:t xml:space="preserve">,</w:t>
      </w:r>
      <w:r>
        <w:t xml:space="preserve"> </w:t>
      </w:r>
      <w:r>
        <w:rPr>
          <w:bCs/>
          <w:b/>
        </w:rPr>
        <w:t xml:space="preserve">Tsuneoka M</w:t>
      </w:r>
      <w:r>
        <w:t xml:space="preserve">.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w:t>
      </w:r>
      <w:r>
        <w:t xml:space="preserve"> </w:t>
      </w:r>
      <w:r>
        <w:rPr>
          <w:iCs/>
          <w:i/>
        </w:rPr>
        <w:t xml:space="preserve">Molecular and Cellular Biology</w:t>
      </w:r>
      <w:r>
        <w:t xml:space="preserve"> </w:t>
      </w:r>
      <w:r>
        <w:t xml:space="preserve">35: 4170–4184, 2015. doi:</w:t>
      </w:r>
      <w:r>
        <w:t xml:space="preserve"> </w:t>
      </w:r>
      <w:hyperlink r:id="rId109">
        <w:r>
          <w:rPr>
            <w:rStyle w:val="Hyperlink"/>
          </w:rPr>
          <w:t xml:space="preserve">10.1128/MCB.00579-15</w:t>
        </w:r>
      </w:hyperlink>
      <w:r>
        <w:t xml:space="preserve">.</w:t>
      </w:r>
    </w:p>
    <w:bookmarkEnd w:id="110"/>
    <w:bookmarkStart w:id="112" w:name="ref-figueiredo_impact_2016"/>
    <w:p>
      <w:pPr>
        <w:pStyle w:val="Bibliography"/>
      </w:pPr>
      <w:r>
        <w:t xml:space="preserve">38.</w:t>
      </w:r>
      <w:r>
        <w:t xml:space="preserve"> </w:t>
      </w:r>
      <w:r>
        <w:t xml:space="preserve">	</w:t>
      </w:r>
      <w:r>
        <w:rPr>
          <w:bCs/>
          <w:b/>
        </w:rPr>
        <w:t xml:space="preserve">Figueiredo VC</w:t>
      </w:r>
      <w:r>
        <w:t xml:space="preserve">,</w:t>
      </w:r>
      <w:r>
        <w:t xml:space="preserve"> </w:t>
      </w:r>
      <w:r>
        <w:rPr>
          <w:bCs/>
          <w:b/>
        </w:rPr>
        <w:t xml:space="preserve">Roberts LA</w:t>
      </w:r>
      <w:r>
        <w:t xml:space="preserve">,</w:t>
      </w:r>
      <w:r>
        <w:t xml:space="preserve"> </w:t>
      </w:r>
      <w:r>
        <w:rPr>
          <w:bCs/>
          <w:b/>
        </w:rPr>
        <w:t xml:space="preserve">Markworth JF</w:t>
      </w:r>
      <w:r>
        <w:t xml:space="preserve">,</w:t>
      </w:r>
      <w:r>
        <w:t xml:space="preserve"> </w:t>
      </w:r>
      <w:r>
        <w:rPr>
          <w:bCs/>
          <w:b/>
        </w:rPr>
        <w:t xml:space="preserve">Barnett MPG</w:t>
      </w:r>
      <w:r>
        <w:t xml:space="preserve">,</w:t>
      </w:r>
      <w:r>
        <w:t xml:space="preserve"> </w:t>
      </w:r>
      <w:r>
        <w:rPr>
          <w:bCs/>
          <w:b/>
        </w:rPr>
        <w:t xml:space="preserve">Coombes JS</w:t>
      </w:r>
      <w:r>
        <w:t xml:space="preserve">,</w:t>
      </w:r>
      <w:r>
        <w:t xml:space="preserve"> </w:t>
      </w:r>
      <w:r>
        <w:rPr>
          <w:bCs/>
          <w:b/>
        </w:rPr>
        <w:t xml:space="preserve">Raastad T</w:t>
      </w:r>
      <w:r>
        <w:t xml:space="preserve">,</w:t>
      </w:r>
      <w:r>
        <w:t xml:space="preserve"> </w:t>
      </w:r>
      <w:r>
        <w:rPr>
          <w:bCs/>
          <w:b/>
        </w:rPr>
        <w:t xml:space="preserve">Peake JM</w:t>
      </w:r>
      <w:r>
        <w:t xml:space="preserve">,</w:t>
      </w:r>
      <w:r>
        <w:t xml:space="preserve"> </w:t>
      </w:r>
      <w:r>
        <w:rPr>
          <w:bCs/>
          <w:b/>
        </w:rPr>
        <w:t xml:space="preserve">Cameron-Smith D</w:t>
      </w:r>
      <w:r>
        <w:t xml:space="preserve">. Impact of resistance exercise on ribosome biogenesis is acutely regulated by post-exercise recovery strategies.</w:t>
      </w:r>
      <w:r>
        <w:t xml:space="preserve"> </w:t>
      </w:r>
      <w:r>
        <w:rPr>
          <w:iCs/>
          <w:i/>
        </w:rPr>
        <w:t xml:space="preserve">Physiological Reports</w:t>
      </w:r>
      <w:r>
        <w:t xml:space="preserve"> </w:t>
      </w:r>
      <w:r>
        <w:t xml:space="preserve">4: e12670, 2016. doi:</w:t>
      </w:r>
      <w:r>
        <w:t xml:space="preserve"> </w:t>
      </w:r>
      <w:hyperlink r:id="rId111">
        <w:r>
          <w:rPr>
            <w:rStyle w:val="Hyperlink"/>
          </w:rPr>
          <w:t xml:space="preserve">10.14814/phy2.12670</w:t>
        </w:r>
      </w:hyperlink>
      <w:r>
        <w:t xml:space="preserve">.</w:t>
      </w:r>
    </w:p>
    <w:bookmarkEnd w:id="112"/>
    <w:bookmarkStart w:id="114" w:name="ref-kim_nutrient_2013"/>
    <w:p>
      <w:pPr>
        <w:pStyle w:val="Bibliography"/>
      </w:pPr>
      <w:r>
        <w:t xml:space="preserve">39.</w:t>
      </w:r>
      <w:r>
        <w:t xml:space="preserve"> </w:t>
      </w:r>
      <w:r>
        <w:t xml:space="preserve">	</w:t>
      </w:r>
      <w:r>
        <w:rPr>
          <w:bCs/>
          <w:b/>
        </w:rPr>
        <w:t xml:space="preserve">Kim SG</w:t>
      </w:r>
      <w:r>
        <w:t xml:space="preserve">,</w:t>
      </w:r>
      <w:r>
        <w:t xml:space="preserve"> </w:t>
      </w:r>
      <w:r>
        <w:rPr>
          <w:bCs/>
          <w:b/>
        </w:rPr>
        <w:t xml:space="preserve">Buel GR</w:t>
      </w:r>
      <w:r>
        <w:t xml:space="preserve">,</w:t>
      </w:r>
      <w:r>
        <w:t xml:space="preserve"> </w:t>
      </w:r>
      <w:r>
        <w:rPr>
          <w:bCs/>
          <w:b/>
        </w:rPr>
        <w:t xml:space="preserve">Blenis J</w:t>
      </w:r>
      <w:r>
        <w:t xml:space="preserve">. Nutrient regulation of the</w:t>
      </w:r>
      <w:r>
        <w:t xml:space="preserve"> </w:t>
      </w:r>
      <w:r>
        <w:t xml:space="preserve">mTOR</w:t>
      </w:r>
      <w:r>
        <w:t xml:space="preserve"> </w:t>
      </w:r>
      <w:r>
        <w:t xml:space="preserve">Complex</w:t>
      </w:r>
      <w:r>
        <w:t xml:space="preserve"> </w:t>
      </w:r>
      <w:r>
        <w:t xml:space="preserve">1 signaling pathway.</w:t>
      </w:r>
      <w:r>
        <w:t xml:space="preserve"> </w:t>
      </w:r>
      <w:r>
        <w:rPr>
          <w:iCs/>
          <w:i/>
        </w:rPr>
        <w:t xml:space="preserve">Molecules and Cells</w:t>
      </w:r>
      <w:r>
        <w:t xml:space="preserve"> </w:t>
      </w:r>
      <w:r>
        <w:t xml:space="preserve">35: 463–473, 2013. doi:</w:t>
      </w:r>
      <w:r>
        <w:t xml:space="preserve"> </w:t>
      </w:r>
      <w:hyperlink r:id="rId113">
        <w:r>
          <w:rPr>
            <w:rStyle w:val="Hyperlink"/>
          </w:rPr>
          <w:t xml:space="preserve">10.1007/s10059-013-0138-2</w:t>
        </w:r>
      </w:hyperlink>
      <w:r>
        <w:t xml:space="preserve">.</w:t>
      </w:r>
    </w:p>
    <w:bookmarkEnd w:id="114"/>
    <w:bookmarkStart w:id="116" w:name="Xed01d12bc1658ef91a78078e882e81108dc2147"/>
    <w:p>
      <w:pPr>
        <w:pStyle w:val="Bibliography"/>
      </w:pPr>
      <w:r>
        <w:t xml:space="preserve">40.</w:t>
      </w:r>
      <w:r>
        <w:t xml:space="preserve"> </w:t>
      </w:r>
      <w:r>
        <w:t xml:space="preserve">	</w:t>
      </w:r>
      <w:r>
        <w:rPr>
          <w:bCs/>
          <w:b/>
        </w:rPr>
        <w:t xml:space="preserve">Russell J</w:t>
      </w:r>
      <w:r>
        <w:t xml:space="preserve">,</w:t>
      </w:r>
      <w:r>
        <w:t xml:space="preserve"> </w:t>
      </w:r>
      <w:r>
        <w:rPr>
          <w:bCs/>
          <w:b/>
        </w:rPr>
        <w:t xml:space="preserve">Zomerdijk JCBM</w:t>
      </w:r>
      <w:r>
        <w:t xml:space="preserve">.</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w:t>
      </w:r>
      <w:r>
        <w:t xml:space="preserve"> </w:t>
      </w:r>
      <w:r>
        <w:rPr>
          <w:iCs/>
          <w:i/>
        </w:rPr>
        <w:t xml:space="preserve">Trends in Biochemical Sciences</w:t>
      </w:r>
      <w:r>
        <w:t xml:space="preserve"> </w:t>
      </w:r>
      <w:r>
        <w:t xml:space="preserve">30: 87–96, 2005. doi:</w:t>
      </w:r>
      <w:r>
        <w:t xml:space="preserve"> </w:t>
      </w:r>
      <w:hyperlink r:id="rId115">
        <w:r>
          <w:rPr>
            <w:rStyle w:val="Hyperlink"/>
          </w:rPr>
          <w:t xml:space="preserve">10.1016/j.tibs.2004.12.008</w:t>
        </w:r>
      </w:hyperlink>
      <w:r>
        <w:t xml:space="preserve">.</w:t>
      </w:r>
    </w:p>
    <w:bookmarkEnd w:id="116"/>
    <w:bookmarkStart w:id="118" w:name="ref-chaillou_hypoxia_2012"/>
    <w:p>
      <w:pPr>
        <w:pStyle w:val="Bibliography"/>
      </w:pPr>
      <w:r>
        <w:t xml:space="preserve">41.</w:t>
      </w:r>
      <w:r>
        <w:t xml:space="preserve"> </w:t>
      </w:r>
      <w:r>
        <w:t xml:space="preserve">	</w:t>
      </w:r>
      <w:r>
        <w:rPr>
          <w:bCs/>
          <w:b/>
        </w:rPr>
        <w:t xml:space="preserve">Chaillou T</w:t>
      </w:r>
      <w:r>
        <w:t xml:space="preserve">,</w:t>
      </w:r>
      <w:r>
        <w:t xml:space="preserve"> </w:t>
      </w:r>
      <w:r>
        <w:rPr>
          <w:bCs/>
          <w:b/>
        </w:rPr>
        <w:t xml:space="preserve">Koulmann N</w:t>
      </w:r>
      <w:r>
        <w:t xml:space="preserve">,</w:t>
      </w:r>
      <w:r>
        <w:t xml:space="preserve"> </w:t>
      </w:r>
      <w:r>
        <w:rPr>
          <w:bCs/>
          <w:b/>
        </w:rPr>
        <w:t xml:space="preserve">Simler N</w:t>
      </w:r>
      <w:r>
        <w:t xml:space="preserve">,</w:t>
      </w:r>
      <w:r>
        <w:t xml:space="preserve"> </w:t>
      </w:r>
      <w:r>
        <w:rPr>
          <w:bCs/>
          <w:b/>
        </w:rPr>
        <w:t xml:space="preserve">Meunier A</w:t>
      </w:r>
      <w:r>
        <w:t xml:space="preserve">,</w:t>
      </w:r>
      <w:r>
        <w:t xml:space="preserve"> </w:t>
      </w:r>
      <w:r>
        <w:rPr>
          <w:bCs/>
          <w:b/>
        </w:rPr>
        <w:t xml:space="preserve">Serrurier B</w:t>
      </w:r>
      <w:r>
        <w:t xml:space="preserve">,</w:t>
      </w:r>
      <w:r>
        <w:t xml:space="preserve"> </w:t>
      </w:r>
      <w:r>
        <w:rPr>
          <w:bCs/>
          <w:b/>
        </w:rPr>
        <w:t xml:space="preserve">Chapot R</w:t>
      </w:r>
      <w:r>
        <w:t xml:space="preserve">,</w:t>
      </w:r>
      <w:r>
        <w:t xml:space="preserve"> </w:t>
      </w:r>
      <w:r>
        <w:rPr>
          <w:bCs/>
          <w:b/>
        </w:rPr>
        <w:t xml:space="preserve">Peinnequin A</w:t>
      </w:r>
      <w:r>
        <w:t xml:space="preserve">,</w:t>
      </w:r>
      <w:r>
        <w:t xml:space="preserve"> </w:t>
      </w:r>
      <w:r>
        <w:rPr>
          <w:bCs/>
          <w:b/>
        </w:rPr>
        <w:t xml:space="preserve">Beaudry M</w:t>
      </w:r>
      <w:r>
        <w:t xml:space="preserve">,</w:t>
      </w:r>
      <w:r>
        <w:t xml:space="preserve"> </w:t>
      </w:r>
      <w:r>
        <w:rPr>
          <w:bCs/>
          <w:b/>
        </w:rPr>
        <w:t xml:space="preserve">Bigard X</w:t>
      </w:r>
      <w:r>
        <w:t xml:space="preserve">. Hypoxia transiently affects skeletal muscle hypertrophy in a functional overload model.</w:t>
      </w:r>
      <w:r>
        <w:t xml:space="preserve"> </w:t>
      </w:r>
      <w:r>
        <w:rPr>
          <w:iCs/>
          <w:i/>
        </w:rPr>
        <w:t xml:space="preserve">American Journal of Physiology-Regulatory, Integrative and Comparative Physiology</w:t>
      </w:r>
      <w:r>
        <w:t xml:space="preserve"> </w:t>
      </w:r>
      <w:r>
        <w:t xml:space="preserve">302: R643–R654, 2012. doi:</w:t>
      </w:r>
      <w:r>
        <w:t xml:space="preserve"> </w:t>
      </w:r>
      <w:hyperlink r:id="rId117">
        <w:r>
          <w:rPr>
            <w:rStyle w:val="Hyperlink"/>
          </w:rPr>
          <w:t xml:space="preserve">10.1152/ajpregu.00262.2011</w:t>
        </w:r>
      </w:hyperlink>
      <w:r>
        <w:t xml:space="preserve">.</w:t>
      </w:r>
    </w:p>
    <w:bookmarkEnd w:id="118"/>
    <w:bookmarkStart w:id="120" w:name="ref-nakada_correlation_2016"/>
    <w:p>
      <w:pPr>
        <w:pStyle w:val="Bibliography"/>
      </w:pPr>
      <w:r>
        <w:t xml:space="preserve">42.</w:t>
      </w:r>
      <w:r>
        <w:t xml:space="preserve"> </w:t>
      </w:r>
      <w:r>
        <w:t xml:space="preserve">	</w:t>
      </w:r>
      <w:r>
        <w:rPr>
          <w:bCs/>
          <w:b/>
        </w:rPr>
        <w:t xml:space="preserve">Nakada S</w:t>
      </w:r>
      <w:r>
        <w:t xml:space="preserve">,</w:t>
      </w:r>
      <w:r>
        <w:t xml:space="preserve"> </w:t>
      </w:r>
      <w:r>
        <w:rPr>
          <w:bCs/>
          <w:b/>
        </w:rPr>
        <w:t xml:space="preserve">Ogasawara R</w:t>
      </w:r>
      <w:r>
        <w:t xml:space="preserve">,</w:t>
      </w:r>
      <w:r>
        <w:t xml:space="preserve"> </w:t>
      </w:r>
      <w:r>
        <w:rPr>
          <w:bCs/>
          <w:b/>
        </w:rPr>
        <w:t xml:space="preserve">Kawada S</w:t>
      </w:r>
      <w:r>
        <w:t xml:space="preserve">,</w:t>
      </w:r>
      <w:r>
        <w:t xml:space="preserve"> </w:t>
      </w:r>
      <w:r>
        <w:rPr>
          <w:bCs/>
          <w:b/>
        </w:rPr>
        <w:t xml:space="preserve">Maekawa T</w:t>
      </w:r>
      <w:r>
        <w:t xml:space="preserve">,</w:t>
      </w:r>
      <w:r>
        <w:t xml:space="preserve"> </w:t>
      </w:r>
      <w:r>
        <w:rPr>
          <w:bCs/>
          <w:b/>
        </w:rPr>
        <w:t xml:space="preserve">Ishii N</w:t>
      </w:r>
      <w:r>
        <w:t xml:space="preserve">.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w:t>
      </w:r>
      <w:r>
        <w:t xml:space="preserve"> </w:t>
      </w:r>
      <w:r>
        <w:rPr>
          <w:iCs/>
          <w:i/>
        </w:rPr>
        <w:t xml:space="preserve">PLOS ONE</w:t>
      </w:r>
      <w:r>
        <w:t xml:space="preserve"> </w:t>
      </w:r>
      <w:r>
        <w:t xml:space="preserve">11: e0147284, 2016. doi:</w:t>
      </w:r>
      <w:r>
        <w:t xml:space="preserve"> </w:t>
      </w:r>
      <w:hyperlink r:id="rId119">
        <w:r>
          <w:rPr>
            <w:rStyle w:val="Hyperlink"/>
          </w:rPr>
          <w:t xml:space="preserve">10.1371/journal.pone.0147284</w:t>
        </w:r>
      </w:hyperlink>
      <w:r>
        <w:t xml:space="preserve">.</w:t>
      </w:r>
    </w:p>
    <w:bookmarkEnd w:id="120"/>
    <w:bookmarkStart w:id="122" w:name="ref-von_walden_mechanical_2012"/>
    <w:p>
      <w:pPr>
        <w:pStyle w:val="Bibliography"/>
      </w:pPr>
      <w:r>
        <w:t xml:space="preserve">43.</w:t>
      </w:r>
      <w:r>
        <w:t xml:space="preserve"> </w:t>
      </w:r>
      <w:r>
        <w:t xml:space="preserve">	</w:t>
      </w:r>
      <w:r>
        <w:rPr>
          <w:bCs/>
          <w:b/>
        </w:rPr>
        <w:t xml:space="preserve">Walden F von</w:t>
      </w:r>
      <w:r>
        <w:t xml:space="preserve">,</w:t>
      </w:r>
      <w:r>
        <w:t xml:space="preserve"> </w:t>
      </w:r>
      <w:r>
        <w:rPr>
          <w:bCs/>
          <w:b/>
        </w:rPr>
        <w:t xml:space="preserve">Casagrande V</w:t>
      </w:r>
      <w:r>
        <w:t xml:space="preserve">,</w:t>
      </w:r>
      <w:r>
        <w:t xml:space="preserve"> </w:t>
      </w:r>
      <w:r>
        <w:rPr>
          <w:bCs/>
          <w:b/>
        </w:rPr>
        <w:t xml:space="preserve">Östlund Farrants A-K</w:t>
      </w:r>
      <w:r>
        <w:t xml:space="preserve">,</w:t>
      </w:r>
      <w:r>
        <w:t xml:space="preserve"> </w:t>
      </w:r>
      <w:r>
        <w:rPr>
          <w:bCs/>
          <w:b/>
        </w:rPr>
        <w:t xml:space="preserve">Nader GA</w:t>
      </w:r>
      <w:r>
        <w:t xml:space="preserve">. Mechanical loading induces the expression of a</w:t>
      </w:r>
      <w:r>
        <w:t xml:space="preserve"> </w:t>
      </w:r>
      <w:r>
        <w:t xml:space="preserve">Pol</w:t>
      </w:r>
      <w:r>
        <w:t xml:space="preserve"> </w:t>
      </w:r>
      <w:r>
        <w:t xml:space="preserve">I</w:t>
      </w:r>
      <w:r>
        <w:t xml:space="preserve"> </w:t>
      </w:r>
      <w:r>
        <w:t xml:space="preserve">regulon at the onset of skeletal muscle hypertrophy.</w:t>
      </w:r>
      <w:r>
        <w:t xml:space="preserve"> </w:t>
      </w:r>
      <w:r>
        <w:rPr>
          <w:iCs/>
          <w:i/>
        </w:rPr>
        <w:t xml:space="preserve">American Journal of Physiology-Cell Physiology</w:t>
      </w:r>
      <w:r>
        <w:t xml:space="preserve"> </w:t>
      </w:r>
      <w:r>
        <w:t xml:space="preserve">302: C1523–C1530, 2012. doi:</w:t>
      </w:r>
      <w:r>
        <w:t xml:space="preserve"> </w:t>
      </w:r>
      <w:hyperlink r:id="rId121">
        <w:r>
          <w:rPr>
            <w:rStyle w:val="Hyperlink"/>
          </w:rPr>
          <w:t xml:space="preserve">10.1152/ajpcell.00460.2011</w:t>
        </w:r>
      </w:hyperlink>
      <w:r>
        <w:t xml:space="preserve">.</w:t>
      </w:r>
    </w:p>
    <w:bookmarkEnd w:id="122"/>
    <w:bookmarkStart w:id="124" w:name="ref-raastad_recovery_2000"/>
    <w:p>
      <w:pPr>
        <w:pStyle w:val="Bibliography"/>
      </w:pPr>
      <w:r>
        <w:t xml:space="preserve">44.</w:t>
      </w:r>
      <w:r>
        <w:t xml:space="preserve"> </w:t>
      </w:r>
      <w:r>
        <w:t xml:space="preserve">	</w:t>
      </w:r>
      <w:r>
        <w:rPr>
          <w:bCs/>
          <w:b/>
        </w:rPr>
        <w:t xml:space="preserve">Raastad T</w:t>
      </w:r>
      <w:r>
        <w:t xml:space="preserve">,</w:t>
      </w:r>
      <w:r>
        <w:t xml:space="preserve"> </w:t>
      </w:r>
      <w:r>
        <w:rPr>
          <w:bCs/>
          <w:b/>
        </w:rPr>
        <w:t xml:space="preserve">Hallén J</w:t>
      </w:r>
      <w:r>
        <w:t xml:space="preserve">. Recovery of skeletal muscle contractility after high- and moderate-intensity strength exercise.</w:t>
      </w:r>
      <w:r>
        <w:t xml:space="preserve"> </w:t>
      </w:r>
      <w:r>
        <w:rPr>
          <w:iCs/>
          <w:i/>
        </w:rPr>
        <w:t xml:space="preserve">European Journal of Applied Physiology</w:t>
      </w:r>
      <w:r>
        <w:t xml:space="preserve"> </w:t>
      </w:r>
      <w:r>
        <w:t xml:space="preserve">82: 206–214, 2000. doi:</w:t>
      </w:r>
      <w:r>
        <w:t xml:space="preserve"> </w:t>
      </w:r>
      <w:hyperlink r:id="rId123">
        <w:r>
          <w:rPr>
            <w:rStyle w:val="Hyperlink"/>
          </w:rPr>
          <w:t xml:space="preserve">10.1007/s004210050673</w:t>
        </w:r>
      </w:hyperlink>
      <w:r>
        <w:t xml:space="preserve">.</w:t>
      </w:r>
    </w:p>
    <w:bookmarkEnd w:id="124"/>
    <w:bookmarkStart w:id="126" w:name="ref-westerblad_mechanisms_1998"/>
    <w:p>
      <w:pPr>
        <w:pStyle w:val="Bibliography"/>
      </w:pPr>
      <w:r>
        <w:t xml:space="preserve">45.</w:t>
      </w:r>
      <w:r>
        <w:t xml:space="preserve"> </w:t>
      </w:r>
      <w:r>
        <w:t xml:space="preserve">	</w:t>
      </w:r>
      <w:r>
        <w:rPr>
          <w:bCs/>
          <w:b/>
        </w:rPr>
        <w:t xml:space="preserve">Westerblad H</w:t>
      </w:r>
      <w:r>
        <w:t xml:space="preserve">,</w:t>
      </w:r>
      <w:r>
        <w:t xml:space="preserve"> </w:t>
      </w:r>
      <w:r>
        <w:rPr>
          <w:bCs/>
          <w:b/>
        </w:rPr>
        <w:t xml:space="preserve">Allen DG</w:t>
      </w:r>
      <w:r>
        <w:t xml:space="preserve">,</w:t>
      </w:r>
      <w:r>
        <w:t xml:space="preserve"> </w:t>
      </w:r>
      <w:r>
        <w:rPr>
          <w:bCs/>
          <w:b/>
        </w:rPr>
        <w:t xml:space="preserve">Bruton JD</w:t>
      </w:r>
      <w:r>
        <w:t xml:space="preserve">,</w:t>
      </w:r>
      <w:r>
        <w:t xml:space="preserve"> </w:t>
      </w:r>
      <w:r>
        <w:rPr>
          <w:bCs/>
          <w:b/>
        </w:rPr>
        <w:t xml:space="preserve">Andrade FH</w:t>
      </w:r>
      <w:r>
        <w:t xml:space="preserve">,</w:t>
      </w:r>
      <w:r>
        <w:t xml:space="preserve"> </w:t>
      </w:r>
      <w:r>
        <w:rPr>
          <w:bCs/>
          <w:b/>
        </w:rPr>
        <w:t xml:space="preserve">Lännergren J</w:t>
      </w:r>
      <w:r>
        <w:t xml:space="preserve">. Mechanisms underlying the reduction of isometric force in skeletal muscle fatigue:</w:t>
      </w:r>
      <w:r>
        <w:t xml:space="preserve"> </w:t>
      </w:r>
      <w:r>
        <w:t xml:space="preserve">Causes</w:t>
      </w:r>
      <w:r>
        <w:t xml:space="preserve"> </w:t>
      </w:r>
      <w:r>
        <w:t xml:space="preserve">of force reduction in muscle fatigue.</w:t>
      </w:r>
      <w:r>
        <w:t xml:space="preserve"> </w:t>
      </w:r>
      <w:r>
        <w:rPr>
          <w:iCs/>
          <w:i/>
        </w:rPr>
        <w:t xml:space="preserve">Acta Physiologica Scandinavica</w:t>
      </w:r>
      <w:r>
        <w:t xml:space="preserve"> </w:t>
      </w:r>
      <w:r>
        <w:t xml:space="preserve">162: 253–260, 1998. doi:</w:t>
      </w:r>
      <w:r>
        <w:t xml:space="preserve"> </w:t>
      </w:r>
      <w:hyperlink r:id="rId125">
        <w:r>
          <w:rPr>
            <w:rStyle w:val="Hyperlink"/>
          </w:rPr>
          <w:t xml:space="preserve">10.1046/j.1365-201X.1998.0301f.x</w:t>
        </w:r>
      </w:hyperlink>
      <w:r>
        <w:t xml:space="preserve">.</w:t>
      </w:r>
    </w:p>
    <w:bookmarkEnd w:id="126"/>
    <w:bookmarkStart w:id="128" w:name="ref-kent-braun_central_1999"/>
    <w:p>
      <w:pPr>
        <w:pStyle w:val="Bibliography"/>
      </w:pPr>
      <w:r>
        <w:t xml:space="preserve">46.</w:t>
      </w:r>
      <w:r>
        <w:t xml:space="preserve"> </w:t>
      </w:r>
      <w:r>
        <w:t xml:space="preserve">	</w:t>
      </w:r>
      <w:r>
        <w:rPr>
          <w:bCs/>
          <w:b/>
        </w:rPr>
        <w:t xml:space="preserve">Kent-Braun JA</w:t>
      </w:r>
      <w:r>
        <w:t xml:space="preserve">. Central and peripheral contributions to muscle fatigue in humans during sustained maximal effort.</w:t>
      </w:r>
      <w:r>
        <w:t xml:space="preserve"> </w:t>
      </w:r>
      <w:r>
        <w:rPr>
          <w:iCs/>
          <w:i/>
        </w:rPr>
        <w:t xml:space="preserve">European Journal of Applied Physiology and Occupational Physiology</w:t>
      </w:r>
      <w:r>
        <w:t xml:space="preserve"> </w:t>
      </w:r>
      <w:r>
        <w:t xml:space="preserve">80: 57–63, 1999. doi:</w:t>
      </w:r>
      <w:r>
        <w:t xml:space="preserve"> </w:t>
      </w:r>
      <w:hyperlink r:id="rId127">
        <w:r>
          <w:rPr>
            <w:rStyle w:val="Hyperlink"/>
          </w:rPr>
          <w:t xml:space="preserve">10.1007/s004210050558</w:t>
        </w:r>
      </w:hyperlink>
      <w:r>
        <w:t xml:space="preserve">.</w:t>
      </w:r>
    </w:p>
    <w:bookmarkEnd w:id="128"/>
    <w:bookmarkEnd w:id="129"/>
    <w:bookmarkEnd w:id="130"/>
    <w:bookmarkStart w:id="131" w:name="figuretable-text"/>
    <w:p>
      <w:pPr>
        <w:pStyle w:val="Heading2"/>
      </w:pPr>
      <w:r>
        <w:t xml:space="preserve">Figure/table text</w:t>
      </w:r>
    </w:p>
    <w:p>
      <w:pPr>
        <w:pStyle w:val="FirstParagraph"/>
      </w:pPr>
      <w:r>
        <w:rPr>
          <w:bCs/>
          <w:b/>
        </w:rPr>
        <w:t xml:space="preserve">Table 1:</w:t>
      </w:r>
      <w:r>
        <w:t xml:space="preserve"> </w:t>
      </w:r>
      <w:r>
        <w:t xml:space="preserve">Baseline characteristics. Age = mean age in years, Height = mean height in cm, Weight and Lean mass = mean in kg, Iso 60/240 = mean unilateral isokinetic knee extension peak torque in Nm at 60 d/s and 240 d/s, Isom = mean unilateral isometric knee extension peak torque in Nm.</w:t>
      </w:r>
    </w:p>
    <w:p>
      <w:pPr>
        <w:pStyle w:val="BodyText"/>
      </w:pPr>
      <w:r>
        <w:rPr>
          <w:bCs/>
          <w:b/>
        </w:rPr>
        <w:t xml:space="preserve">Table 2:</w:t>
      </w:r>
      <w:r>
        <w:t xml:space="preserve"> </w:t>
      </w:r>
      <w:r>
        <w:t xml:space="preserve">Mean total session volume and mean change in total session volume from session 1 to session 6.</w:t>
      </w:r>
    </w:p>
    <w:p>
      <w:pPr>
        <w:pStyle w:val="BodyText"/>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odyTex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odyText"/>
      </w:pPr>
      <w:r>
        <w:rPr>
          <w:bCs/>
          <w:b/>
        </w:rPr>
        <w:t xml:space="preserve">Figure 3:</w:t>
      </w:r>
      <w:r>
        <w:t xml:space="preserve"> </w:t>
      </w:r>
      <w:r>
        <w:t xml:space="preserve">Changes in levels of protein. A) Mean UBF, c-Myc and rpS6 (AU, arbitrary units) at baseline and post + representative western blots of the respective proteins. Baseline = Day 1 leg 1, Day 2 leg 2, post = Day 11 leg 1, Day 12 leg 2. GLU = glucose, PLA = placebo.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log-change scores of the duplicates were calculated before modelling and reverse-transformed for figure illustration. Values are estimated marginal means fold change per leg per supplement ± 95% CI. * =</w:t>
      </w:r>
      <w:r>
        <w:t xml:space="preserve"> </w:t>
      </w:r>
      <w:r>
        <w:rPr>
          <w:iCs/>
          <w:i/>
        </w:rPr>
        <w:t xml:space="preserve">p</w:t>
      </w:r>
      <w:r>
        <w:t xml:space="preserve"> </w:t>
      </w:r>
      <w:r>
        <w:t xml:space="preserve">&lt; 0.05 between groups.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31"/>
    <w:sectPr w:rsidR="000F3310">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65437902" w:numId="1">
    <w:abstractNumId w:val="10"/>
  </w:num>
  <w:num w16cid:durableId="607666411" w:numId="2">
    <w:abstractNumId w:val="9"/>
  </w:num>
  <w:num w16cid:durableId="102379954" w:numId="3">
    <w:abstractNumId w:val="7"/>
  </w:num>
  <w:num w16cid:durableId="53741325" w:numId="4">
    <w:abstractNumId w:val="6"/>
  </w:num>
  <w:num w16cid:durableId="681321137" w:numId="5">
    <w:abstractNumId w:val="5"/>
  </w:num>
  <w:num w16cid:durableId="1457869183" w:numId="6">
    <w:abstractNumId w:val="4"/>
  </w:num>
  <w:num w16cid:durableId="1475103565" w:numId="7">
    <w:abstractNumId w:val="8"/>
  </w:num>
  <w:num w16cid:durableId="330257052" w:numId="8">
    <w:abstractNumId w:val="3"/>
  </w:num>
  <w:num w16cid:durableId="1324433373" w:numId="9">
    <w:abstractNumId w:val="2"/>
  </w:num>
  <w:num w16cid:durableId="2056617089" w:numId="10">
    <w:abstractNumId w:val="1"/>
  </w:num>
  <w:num w16cid:durableId="1364280872"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447F4"/>
    <w:pPr>
      <w:keepNext/>
      <w:keepLines/>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F447F4"/>
    <w:pPr>
      <w:keepNext/>
      <w:keepLines/>
      <w:spacing w:after="0" w:before="200"/>
      <w:outlineLvl w:val="1"/>
    </w:pPr>
    <w:rPr>
      <w:rFonts w:ascii="Times New Roman" w:cstheme="majorBidi" w:eastAsiaTheme="majorEastAsia" w:hAnsi="Times New Roman"/>
      <w:b/>
      <w:bCs/>
      <w:sz w:val="28"/>
      <w:szCs w:val="28"/>
    </w:rPr>
  </w:style>
  <w:style w:styleId="Heading3" w:type="paragraph">
    <w:name w:val="heading 3"/>
    <w:basedOn w:val="Normal"/>
    <w:next w:val="BodyText"/>
    <w:uiPriority w:val="9"/>
    <w:unhideWhenUsed/>
    <w:qFormat/>
    <w:rsid w:val="00F447F4"/>
    <w:pPr>
      <w:keepNext/>
      <w:keepLines/>
      <w:spacing w:after="0" w:before="200"/>
      <w:outlineLvl w:val="2"/>
    </w:pPr>
    <w:rPr>
      <w:rFonts w:ascii="Times New Roman" w:cstheme="majorBidi" w:eastAsiaTheme="majorEastAsia" w:hAnsi="Times New Roman"/>
      <w:b/>
      <w:bCs/>
    </w:rPr>
  </w:style>
  <w:style w:styleId="Heading4" w:type="paragraph">
    <w:name w:val="heading 4"/>
    <w:basedOn w:val="Normal"/>
    <w:next w:val="BodyText"/>
    <w:uiPriority w:val="9"/>
    <w:unhideWhenUsed/>
    <w:qFormat/>
    <w:rsid w:val="00F447F4"/>
    <w:pPr>
      <w:keepNext/>
      <w:keepLines/>
      <w:spacing w:after="0" w:before="200"/>
      <w:outlineLvl w:val="3"/>
    </w:pPr>
    <w:rPr>
      <w:rFonts w:ascii="Times New Roman" w:cstheme="majorBidi" w:eastAsiaTheme="majorEastAsia" w:hAnsi="Times New Roman"/>
      <w:b/>
      <w:bCs/>
    </w:rPr>
  </w:style>
  <w:style w:styleId="Heading5" w:type="paragraph">
    <w:name w:val="heading 5"/>
    <w:basedOn w:val="Normal"/>
    <w:next w:val="BodyText"/>
    <w:uiPriority w:val="9"/>
    <w:unhideWhenUsed/>
    <w:qFormat/>
    <w:rsid w:val="00F447F4"/>
    <w:pPr>
      <w:keepNext/>
      <w:keepLines/>
      <w:spacing w:after="0" w:before="200"/>
      <w:outlineLvl w:val="4"/>
    </w:pPr>
    <w:rPr>
      <w:rFonts w:ascii="Times New Roman" w:cstheme="majorBidi" w:eastAsiaTheme="majorEastAsia" w:hAnsi="Times New Roman"/>
      <w:i/>
      <w:iCs/>
    </w:rPr>
  </w:style>
  <w:style w:styleId="Heading6" w:type="paragraph">
    <w:name w:val="heading 6"/>
    <w:basedOn w:val="Normal"/>
    <w:next w:val="BodyTex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65241"/>
    <w:pPr>
      <w:spacing w:after="180" w:before="180"/>
    </w:pPr>
    <w:rPr>
      <w:rFonts w:ascii="Times New Roman" w:hAnsi="Times New Roman"/>
    </w:rPr>
  </w:style>
  <w:style w:customStyle="1" w:styleId="FirstParagraph" w:type="paragraph">
    <w:name w:val="First Paragraph"/>
    <w:basedOn w:val="BodyText"/>
    <w:next w:val="BodyText"/>
    <w:qFormat/>
    <w:rsid w:val="00F447F4"/>
  </w:style>
  <w:style w:customStyle="1" w:styleId="Compact" w:type="paragraph">
    <w:name w:val="Compact"/>
    <w:basedOn w:val="BodyText"/>
    <w:qFormat/>
    <w:rsid w:val="00F447F4"/>
    <w:pPr>
      <w:spacing w:after="36" w:before="36"/>
    </w:pPr>
    <w:rPr>
      <w:sz w:val="20"/>
    </w:rPr>
  </w:style>
  <w:style w:styleId="Title" w:type="paragraph">
    <w:name w:val="Title"/>
    <w:basedOn w:val="Normal"/>
    <w:next w:val="BodyText"/>
    <w:qFormat/>
    <w:rsid w:val="00F447F4"/>
    <w:pPr>
      <w:keepNext/>
      <w:keepLines/>
      <w:spacing w:after="240" w:before="480"/>
      <w:jc w:val="center"/>
    </w:pPr>
    <w:rPr>
      <w:rFonts w:ascii="Times New Roman" w:cstheme="majorBidi" w:eastAsiaTheme="majorEastAsia" w:hAnsi="Times New Roman"/>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447F4"/>
    <w:pPr>
      <w:keepNext/>
      <w:keepLines/>
      <w:jc w:val="center"/>
    </w:pPr>
    <w:rPr>
      <w:rFonts w:ascii="Times New Roman" w:hAnsi="Times New Roman"/>
      <w:i/>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6524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doi.org/10.1007/s00018-006-6278-1" TargetMode="External" /><Relationship Type="http://schemas.openxmlformats.org/officeDocument/2006/relationships/hyperlink" Id="rId127" Target="https://doi.org/10.1007/s004210050558" TargetMode="External" /><Relationship Type="http://schemas.openxmlformats.org/officeDocument/2006/relationships/hyperlink" Id="rId123" Target="https://doi.org/10.1007/s004210050673" TargetMode="External" /><Relationship Type="http://schemas.openxmlformats.org/officeDocument/2006/relationships/hyperlink" Id="rId113" Target="https://doi.org/10.1007/s10059-013-0138-2" TargetMode="External" /><Relationship Type="http://schemas.openxmlformats.org/officeDocument/2006/relationships/hyperlink" Id="rId39" Target="https://doi.org/10.1007/s40279-014-0197-3" TargetMode="External" /><Relationship Type="http://schemas.openxmlformats.org/officeDocument/2006/relationships/hyperlink" Id="rId53" Target="https://doi.org/10.1007/s40279-015-0337-4" TargetMode="External" /><Relationship Type="http://schemas.openxmlformats.org/officeDocument/2006/relationships/hyperlink" Id="rId55" Target="https://doi.org/10.1007/s40279-016-0571-4" TargetMode="External" /><Relationship Type="http://schemas.openxmlformats.org/officeDocument/2006/relationships/hyperlink" Id="rId73" Target="https://doi.org/10.1016/S0079-6603(08)60810-7" TargetMode="External" /><Relationship Type="http://schemas.openxmlformats.org/officeDocument/2006/relationships/hyperlink" Id="rId59" Target="https://doi.org/10.1016/bs.pmbts.2015.07.020" TargetMode="External" /><Relationship Type="http://schemas.openxmlformats.org/officeDocument/2006/relationships/hyperlink" Id="rId95" Target="https://doi.org/10.1016/j.ab.2008.01.028" TargetMode="External" /><Relationship Type="http://schemas.openxmlformats.org/officeDocument/2006/relationships/hyperlink" Id="rId63" Target="https://doi.org/10.1016/j.gene.2014.11.010" TargetMode="External" /><Relationship Type="http://schemas.openxmlformats.org/officeDocument/2006/relationships/hyperlink" Id="rId115" Target="https://doi.org/10.1016/j.tibs.2004.12.008" TargetMode="External" /><Relationship Type="http://schemas.openxmlformats.org/officeDocument/2006/relationships/hyperlink" Id="rId125" Target="https://doi.org/10.1046/j.1365-201X.1998.0301f.x" TargetMode="External" /><Relationship Type="http://schemas.openxmlformats.org/officeDocument/2006/relationships/hyperlink" Id="rId79" Target="https://doi.org/10.1073/pnas.0909873106" TargetMode="External" /><Relationship Type="http://schemas.openxmlformats.org/officeDocument/2006/relationships/hyperlink" Id="rId83" Target="https://doi.org/10.1083/jcb.200805146" TargetMode="External" /><Relationship Type="http://schemas.openxmlformats.org/officeDocument/2006/relationships/hyperlink" Id="rId99" Target="https://doi.org/10.1093/bioinformatics/btn227" TargetMode="External" /><Relationship Type="http://schemas.openxmlformats.org/officeDocument/2006/relationships/hyperlink" Id="rId89" Target="https://doi.org/10.1093/jmcb/mjs003" TargetMode="External" /><Relationship Type="http://schemas.openxmlformats.org/officeDocument/2006/relationships/hyperlink" Id="rId85" Target="https://doi.org/10.1093/nar/gkq1205" TargetMode="External" /><Relationship Type="http://schemas.openxmlformats.org/officeDocument/2006/relationships/hyperlink" Id="rId91" Target="https://doi.org/10.1111/apha.13806" TargetMode="External" /><Relationship Type="http://schemas.openxmlformats.org/officeDocument/2006/relationships/hyperlink" Id="rId97" Target="https://doi.org/10.1111/sms.12185" TargetMode="External" /><Relationship Type="http://schemas.openxmlformats.org/officeDocument/2006/relationships/hyperlink" Id="rId37" Target="https://doi.org/10.1111/sms.13213" TargetMode="External" /><Relationship Type="http://schemas.openxmlformats.org/officeDocument/2006/relationships/hyperlink" Id="rId75" Target="https://doi.org/10.1113/JP271365" TargetMode="External" /><Relationship Type="http://schemas.openxmlformats.org/officeDocument/2006/relationships/hyperlink" Id="rId45" Target="https://doi.org/10.1113/JP278455" TargetMode="External" /><Relationship Type="http://schemas.openxmlformats.org/officeDocument/2006/relationships/hyperlink" Id="rId43" Target="https://doi.org/10.1113/JP281244" TargetMode="External" /><Relationship Type="http://schemas.openxmlformats.org/officeDocument/2006/relationships/hyperlink" Id="rId109" Target="https://doi.org/10.1128/MCB.00579-15" TargetMode="External" /><Relationship Type="http://schemas.openxmlformats.org/officeDocument/2006/relationships/hyperlink" Id="rId57" Target="https://doi.org/10.1136/bjsports-2017-097608" TargetMode="External" /><Relationship Type="http://schemas.openxmlformats.org/officeDocument/2006/relationships/hyperlink" Id="rId121" Target="https://doi.org/10.1152/ajpcell.00460.2011" TargetMode="External" /><Relationship Type="http://schemas.openxmlformats.org/officeDocument/2006/relationships/hyperlink" Id="rId77" Target="https://doi.org/10.1152/ajpendo.00164.2021" TargetMode="External" /><Relationship Type="http://schemas.openxmlformats.org/officeDocument/2006/relationships/hyperlink" Id="rId69" Target="https://doi.org/10.1152/ajpendo.00486.2015" TargetMode="External" /><Relationship Type="http://schemas.openxmlformats.org/officeDocument/2006/relationships/hyperlink" Id="rId93" Target="https://doi.org/10.1152/ajpregu.00162.2019" TargetMode="External" /><Relationship Type="http://schemas.openxmlformats.org/officeDocument/2006/relationships/hyperlink" Id="rId117" Target="https://doi.org/10.1152/ajpregu.00262.2011" TargetMode="External" /><Relationship Type="http://schemas.openxmlformats.org/officeDocument/2006/relationships/hyperlink" Id="rId87" Target="https://doi.org/10.1152/ajprenal.00207.2010" TargetMode="External" /><Relationship Type="http://schemas.openxmlformats.org/officeDocument/2006/relationships/hyperlink" Id="rId71" Target="https://doi.org/10.1152/japplphysiol.00963.2018" TargetMode="External" /><Relationship Type="http://schemas.openxmlformats.org/officeDocument/2006/relationships/hyperlink" Id="rId67" Target="https://doi.org/10.1152/physiol.00034.2018" TargetMode="External" /><Relationship Type="http://schemas.openxmlformats.org/officeDocument/2006/relationships/hyperlink" Id="rId41" Target="https://doi.org/10.1152/physiolgenomics.00167.2012" TargetMode="External" /><Relationship Type="http://schemas.openxmlformats.org/officeDocument/2006/relationships/hyperlink" Id="rId103" Target="https://doi.org/10.1186/s12859-017-1934-z" TargetMode="External" /><Relationship Type="http://schemas.openxmlformats.org/officeDocument/2006/relationships/hyperlink" Id="rId81" Target="https://doi.org/10.1210/jcem.85.12.7036" TargetMode="External" /><Relationship Type="http://schemas.openxmlformats.org/officeDocument/2006/relationships/hyperlink" Id="rId119" Target="https://doi.org/10.1371/journal.pone.0147284" TargetMode="External" /><Relationship Type="http://schemas.openxmlformats.org/officeDocument/2006/relationships/hyperlink" Id="rId111" Target="https://doi.org/10.14814/phy2.12670" TargetMode="External" /><Relationship Type="http://schemas.openxmlformats.org/officeDocument/2006/relationships/hyperlink" Id="rId49" Target="https://doi.org/10.1519/JSC.0000000000002200" TargetMode="External" /><Relationship Type="http://schemas.openxmlformats.org/officeDocument/2006/relationships/hyperlink" Id="rId47" Target="https://doi.org/10.1519/JSC.0b013e3181b370be" TargetMode="External" /><Relationship Type="http://schemas.openxmlformats.org/officeDocument/2006/relationships/hyperlink" Id="rId51" Target="https://doi.org/10.3945/ajcn.112.037556" TargetMode="External" /><Relationship Type="http://schemas.openxmlformats.org/officeDocument/2006/relationships/hyperlink" Id="rId107" Target="https://doi.org/10.48550/ARXIV.1406.5823" TargetMode="External" /><Relationship Type="http://schemas.openxmlformats.org/officeDocument/2006/relationships/hyperlink" Id="rId61" Target="https://doi.org/10.5772/intechopen.71866" TargetMode="External" /><Relationship Type="http://schemas.openxmlformats.org/officeDocument/2006/relationships/hyperlink" Id="rId101" Target="https://www.R-project.org/" TargetMode="External" /><Relationship Type="http://schemas.openxmlformats.org/officeDocument/2006/relationships/hyperlink" Id="rId105" Target="https://www.ncbi.nlm.nih.gov/pubmed/2242409" TargetMode="External" /></Relationships>
</file>

<file path=word/_rels/footnotes.xml.rels><?xml version="1.0" encoding="UTF-8"?><Relationships xmlns="http://schemas.openxmlformats.org/package/2006/relationships"><Relationship Type="http://schemas.openxmlformats.org/officeDocument/2006/relationships/hyperlink" Id="rId65" Target="https://doi.org/10.1007/s00018-006-6278-1" TargetMode="External" /><Relationship Type="http://schemas.openxmlformats.org/officeDocument/2006/relationships/hyperlink" Id="rId127" Target="https://doi.org/10.1007/s004210050558" TargetMode="External" /><Relationship Type="http://schemas.openxmlformats.org/officeDocument/2006/relationships/hyperlink" Id="rId123" Target="https://doi.org/10.1007/s004210050673" TargetMode="External" /><Relationship Type="http://schemas.openxmlformats.org/officeDocument/2006/relationships/hyperlink" Id="rId113" Target="https://doi.org/10.1007/s10059-013-0138-2" TargetMode="External" /><Relationship Type="http://schemas.openxmlformats.org/officeDocument/2006/relationships/hyperlink" Id="rId39" Target="https://doi.org/10.1007/s40279-014-0197-3" TargetMode="External" /><Relationship Type="http://schemas.openxmlformats.org/officeDocument/2006/relationships/hyperlink" Id="rId53" Target="https://doi.org/10.1007/s40279-015-0337-4" TargetMode="External" /><Relationship Type="http://schemas.openxmlformats.org/officeDocument/2006/relationships/hyperlink" Id="rId55" Target="https://doi.org/10.1007/s40279-016-0571-4" TargetMode="External" /><Relationship Type="http://schemas.openxmlformats.org/officeDocument/2006/relationships/hyperlink" Id="rId73" Target="https://doi.org/10.1016/S0079-6603(08)60810-7" TargetMode="External" /><Relationship Type="http://schemas.openxmlformats.org/officeDocument/2006/relationships/hyperlink" Id="rId59" Target="https://doi.org/10.1016/bs.pmbts.2015.07.020" TargetMode="External" /><Relationship Type="http://schemas.openxmlformats.org/officeDocument/2006/relationships/hyperlink" Id="rId95" Target="https://doi.org/10.1016/j.ab.2008.01.028" TargetMode="External" /><Relationship Type="http://schemas.openxmlformats.org/officeDocument/2006/relationships/hyperlink" Id="rId63" Target="https://doi.org/10.1016/j.gene.2014.11.010" TargetMode="External" /><Relationship Type="http://schemas.openxmlformats.org/officeDocument/2006/relationships/hyperlink" Id="rId115" Target="https://doi.org/10.1016/j.tibs.2004.12.008" TargetMode="External" /><Relationship Type="http://schemas.openxmlformats.org/officeDocument/2006/relationships/hyperlink" Id="rId125" Target="https://doi.org/10.1046/j.1365-201X.1998.0301f.x" TargetMode="External" /><Relationship Type="http://schemas.openxmlformats.org/officeDocument/2006/relationships/hyperlink" Id="rId79" Target="https://doi.org/10.1073/pnas.0909873106" TargetMode="External" /><Relationship Type="http://schemas.openxmlformats.org/officeDocument/2006/relationships/hyperlink" Id="rId83" Target="https://doi.org/10.1083/jcb.200805146" TargetMode="External" /><Relationship Type="http://schemas.openxmlformats.org/officeDocument/2006/relationships/hyperlink" Id="rId99" Target="https://doi.org/10.1093/bioinformatics/btn227" TargetMode="External" /><Relationship Type="http://schemas.openxmlformats.org/officeDocument/2006/relationships/hyperlink" Id="rId89" Target="https://doi.org/10.1093/jmcb/mjs003" TargetMode="External" /><Relationship Type="http://schemas.openxmlformats.org/officeDocument/2006/relationships/hyperlink" Id="rId85" Target="https://doi.org/10.1093/nar/gkq1205" TargetMode="External" /><Relationship Type="http://schemas.openxmlformats.org/officeDocument/2006/relationships/hyperlink" Id="rId91" Target="https://doi.org/10.1111/apha.13806" TargetMode="External" /><Relationship Type="http://schemas.openxmlformats.org/officeDocument/2006/relationships/hyperlink" Id="rId97" Target="https://doi.org/10.1111/sms.12185" TargetMode="External" /><Relationship Type="http://schemas.openxmlformats.org/officeDocument/2006/relationships/hyperlink" Id="rId37" Target="https://doi.org/10.1111/sms.13213" TargetMode="External" /><Relationship Type="http://schemas.openxmlformats.org/officeDocument/2006/relationships/hyperlink" Id="rId75" Target="https://doi.org/10.1113/JP271365" TargetMode="External" /><Relationship Type="http://schemas.openxmlformats.org/officeDocument/2006/relationships/hyperlink" Id="rId45" Target="https://doi.org/10.1113/JP278455" TargetMode="External" /><Relationship Type="http://schemas.openxmlformats.org/officeDocument/2006/relationships/hyperlink" Id="rId43" Target="https://doi.org/10.1113/JP281244" TargetMode="External" /><Relationship Type="http://schemas.openxmlformats.org/officeDocument/2006/relationships/hyperlink" Id="rId109" Target="https://doi.org/10.1128/MCB.00579-15" TargetMode="External" /><Relationship Type="http://schemas.openxmlformats.org/officeDocument/2006/relationships/hyperlink" Id="rId57" Target="https://doi.org/10.1136/bjsports-2017-097608" TargetMode="External" /><Relationship Type="http://schemas.openxmlformats.org/officeDocument/2006/relationships/hyperlink" Id="rId121" Target="https://doi.org/10.1152/ajpcell.00460.2011" TargetMode="External" /><Relationship Type="http://schemas.openxmlformats.org/officeDocument/2006/relationships/hyperlink" Id="rId77" Target="https://doi.org/10.1152/ajpendo.00164.2021" TargetMode="External" /><Relationship Type="http://schemas.openxmlformats.org/officeDocument/2006/relationships/hyperlink" Id="rId69" Target="https://doi.org/10.1152/ajpendo.00486.2015" TargetMode="External" /><Relationship Type="http://schemas.openxmlformats.org/officeDocument/2006/relationships/hyperlink" Id="rId93" Target="https://doi.org/10.1152/ajpregu.00162.2019" TargetMode="External" /><Relationship Type="http://schemas.openxmlformats.org/officeDocument/2006/relationships/hyperlink" Id="rId117" Target="https://doi.org/10.1152/ajpregu.00262.2011" TargetMode="External" /><Relationship Type="http://schemas.openxmlformats.org/officeDocument/2006/relationships/hyperlink" Id="rId87" Target="https://doi.org/10.1152/ajprenal.00207.2010" TargetMode="External" /><Relationship Type="http://schemas.openxmlformats.org/officeDocument/2006/relationships/hyperlink" Id="rId71" Target="https://doi.org/10.1152/japplphysiol.00963.2018" TargetMode="External" /><Relationship Type="http://schemas.openxmlformats.org/officeDocument/2006/relationships/hyperlink" Id="rId67" Target="https://doi.org/10.1152/physiol.00034.2018" TargetMode="External" /><Relationship Type="http://schemas.openxmlformats.org/officeDocument/2006/relationships/hyperlink" Id="rId41" Target="https://doi.org/10.1152/physiolgenomics.00167.2012" TargetMode="External" /><Relationship Type="http://schemas.openxmlformats.org/officeDocument/2006/relationships/hyperlink" Id="rId103" Target="https://doi.org/10.1186/s12859-017-1934-z" TargetMode="External" /><Relationship Type="http://schemas.openxmlformats.org/officeDocument/2006/relationships/hyperlink" Id="rId81" Target="https://doi.org/10.1210/jcem.85.12.7036" TargetMode="External" /><Relationship Type="http://schemas.openxmlformats.org/officeDocument/2006/relationships/hyperlink" Id="rId119" Target="https://doi.org/10.1371/journal.pone.0147284" TargetMode="External" /><Relationship Type="http://schemas.openxmlformats.org/officeDocument/2006/relationships/hyperlink" Id="rId111" Target="https://doi.org/10.14814/phy2.12670" TargetMode="External" /><Relationship Type="http://schemas.openxmlformats.org/officeDocument/2006/relationships/hyperlink" Id="rId49" Target="https://doi.org/10.1519/JSC.0000000000002200" TargetMode="External" /><Relationship Type="http://schemas.openxmlformats.org/officeDocument/2006/relationships/hyperlink" Id="rId47" Target="https://doi.org/10.1519/JSC.0b013e3181b370be" TargetMode="External" /><Relationship Type="http://schemas.openxmlformats.org/officeDocument/2006/relationships/hyperlink" Id="rId51" Target="https://doi.org/10.3945/ajcn.112.037556" TargetMode="External" /><Relationship Type="http://schemas.openxmlformats.org/officeDocument/2006/relationships/hyperlink" Id="rId107" Target="https://doi.org/10.48550/ARXIV.1406.5823" TargetMode="External" /><Relationship Type="http://schemas.openxmlformats.org/officeDocument/2006/relationships/hyperlink" Id="rId61" Target="https://doi.org/10.5772/intechopen.71866" TargetMode="External" /><Relationship Type="http://schemas.openxmlformats.org/officeDocument/2006/relationships/hyperlink" Id="rId101" Target="https://www.R-project.org/" TargetMode="External" /><Relationship Type="http://schemas.openxmlformats.org/officeDocument/2006/relationships/hyperlink" Id="rId105" Target="https://www.ncbi.nlm.nih.gov/pubmed/22424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380</Words>
  <Characters>2170</Characters>
  <Application>Microsoft Office Word</Application>
  <DocSecurity>0</DocSecurity>
  <Lines>18</Lines>
  <Paragraphs>5</Paragraphs>
  <ScaleCrop>false</ScaleCrop>
  <Company>HiNN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 Daniel Hammarström, Stian Ellefsen, Håvard Hamarsland</dc:creator>
  <cp:keywords/>
  <dcterms:created xsi:type="dcterms:W3CDTF">2023-04-12T06:32:32Z</dcterms:created>
  <dcterms:modified xsi:type="dcterms:W3CDTF">2023-04-12T06:32:32Z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