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Mid-Senior Quantitative Analyst in FCP Model Validation Team | SEB Vilnius - case study</w:t>
      </w:r>
    </w:p>
    <w:p>
      <w:pPr>
        <w:pStyle w:val="Author"/>
        <w:rPr/>
      </w:pPr>
      <w:r>
        <w:rPr/>
        <w:t>Kristina Kazlauskaitė</w:t>
      </w:r>
    </w:p>
    <w:p>
      <w:pPr>
        <w:pStyle w:val="Date"/>
        <w:rPr/>
      </w:pPr>
      <w:r>
        <w:rPr/>
        <w:t>July 2026</w:t>
      </w:r>
    </w:p>
    <w:p>
      <w:pPr>
        <w:pStyle w:val="Heading1"/>
        <w:rPr/>
      </w:pPr>
      <w:bookmarkStart w:id="0" w:name="data-understanding-and-manipulation"/>
      <w:r>
        <w:rPr/>
        <w:t>1. Data understanding and manipulation</w:t>
      </w:r>
    </w:p>
    <w:p>
      <w:pPr>
        <w:pStyle w:val="Heading2"/>
        <w:rPr/>
      </w:pPr>
      <w:bookmarkStart w:id="1" w:name="data-sources-and-structure"/>
      <w:r>
        <w:rPr/>
        <w:t>1.1 Data sources and structure</w:t>
      </w:r>
    </w:p>
    <w:p>
      <w:pPr>
        <w:pStyle w:val="FirstParagraph"/>
        <w:rPr/>
      </w:pPr>
      <w:r>
        <w:rPr/>
        <w:t>Two files were provided: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alerts.xlsx</w:t>
      </w:r>
      <w:r>
        <w:rPr/>
        <w:t>: 10,177 rows x 14 columns, containing 1st-line alert data, 2nd-line case investigation data, and customer attributes.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additional_info.xlsx</w:t>
      </w:r>
      <w:r>
        <w:rPr/>
        <w:t>: Metadata and Industry Segment mappings.</w:t>
      </w:r>
      <w:bookmarkEnd w:id="1"/>
    </w:p>
    <w:p>
      <w:pPr>
        <w:pStyle w:val="Heading2"/>
        <w:rPr/>
      </w:pPr>
      <w:bookmarkStart w:id="2" w:name="data-quality-observations"/>
      <w:r>
        <w:rPr/>
        <w:t>1.2 Data quality observations</w:t>
      </w:r>
    </w:p>
    <w:p>
      <w:pPr>
        <w:pStyle w:val="Normal"/>
        <w:numPr>
          <w:ilvl w:val="0"/>
          <w:numId w:val="1"/>
        </w:numPr>
        <w:rPr/>
      </w:pPr>
      <w:r>
        <w:rPr/>
        <w:t>Inconsistent missing-value encoding: “NULL” strings were mapped to true NA.</w:t>
      </w:r>
    </w:p>
    <w:p>
      <w:pPr>
        <w:pStyle w:val="Normal"/>
        <w:numPr>
          <w:ilvl w:val="0"/>
          <w:numId w:val="1"/>
        </w:numPr>
        <w:rPr/>
      </w:pPr>
      <w:r>
        <w:rPr/>
        <w:t>Duplicate records: 79 distinct records were duplicates and were removed.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intID</w:t>
      </w:r>
      <w:r>
        <w:rPr/>
        <w:t xml:space="preserve"> reliability: </w:t>
      </w:r>
      <w:r>
        <w:rPr>
          <w:rStyle w:val="VerbatimChar"/>
        </w:rPr>
        <w:t>intID</w:t>
      </w:r>
      <w:r>
        <w:rPr/>
        <w:t xml:space="preserve"> collides across segments; it is not a globally unique key.</w:t>
      </w:r>
    </w:p>
    <w:p>
      <w:pPr>
        <w:pStyle w:val="Normal"/>
        <w:numPr>
          <w:ilvl w:val="0"/>
          <w:numId w:val="1"/>
        </w:numPr>
        <w:rPr/>
      </w:pPr>
      <w:r>
        <w:rPr>
          <w:rStyle w:val="VerbatimChar"/>
        </w:rPr>
        <w:t>CaseClosed</w:t>
      </w:r>
      <w:r>
        <w:rPr/>
        <w:t xml:space="preserve"> gap: This field is never populated for SAR-filed cases, a systematic workflow gap.</w:t>
      </w:r>
      <w:bookmarkEnd w:id="2"/>
    </w:p>
    <w:p>
      <w:pPr>
        <w:pStyle w:val="Heading2"/>
        <w:rPr/>
      </w:pPr>
      <w:bookmarkStart w:id="3" w:name="assumptions"/>
      <w:r>
        <w:rPr/>
        <w:t>1.4 Assumptions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An alert with no </w:t>
      </w:r>
      <w:r>
        <w:rPr>
          <w:rStyle w:val="VerbatimChar"/>
        </w:rPr>
        <w:t>CaseOpen</w:t>
      </w:r>
      <w:r>
        <w:rPr/>
        <w:t xml:space="preserve"> date is treated as never escalated beyond 1st line - reasonable given the data spans 2008-2021 and a genuinely open investigation from that period would itself be an anomaly (checked for: none found).</w:t>
      </w:r>
    </w:p>
    <w:p>
      <w:pPr>
        <w:pStyle w:val="Normal"/>
        <w:numPr>
          <w:ilvl w:val="0"/>
          <w:numId w:val="1"/>
        </w:numPr>
        <w:rPr/>
      </w:pPr>
      <w:r>
        <w:rPr/>
        <w:t>“</w:t>
      </w:r>
      <w:r>
        <w:rPr/>
        <w:t xml:space="preserve">Escalated” = </w:t>
      </w:r>
      <w:r>
        <w:rPr>
          <w:rStyle w:val="VerbatimChar"/>
        </w:rPr>
        <w:t>CaseOpen</w:t>
      </w:r>
      <w:r>
        <w:rPr/>
        <w:t xml:space="preserve"> populated; “SAR filed” = </w:t>
      </w:r>
      <w:r>
        <w:rPr>
          <w:rStyle w:val="VerbatimChar"/>
        </w:rPr>
        <w:t>CaseReported</w:t>
      </w:r>
      <w:r>
        <w:rPr/>
        <w:t xml:space="preserve"> populated.</w:t>
      </w:r>
    </w:p>
    <w:p>
      <w:pPr>
        <w:pStyle w:val="Normal"/>
        <w:numPr>
          <w:ilvl w:val="0"/>
          <w:numId w:val="1"/>
        </w:numPr>
        <w:rPr/>
      </w:pPr>
      <w:r>
        <w:rPr/>
        <w:t>Exact-duplicate records are treated as data-export artefacts and removed.</w:t>
      </w:r>
    </w:p>
    <w:p>
      <w:pPr>
        <w:pStyle w:val="Normal"/>
        <w:numPr>
          <w:ilvl w:val="0"/>
          <w:numId w:val="1"/>
        </w:numPr>
        <w:rPr/>
      </w:pPr>
      <w:r>
        <w:rPr/>
        <w:t>The Industry Segment table is assumed static over the sample period (no effective-dating supplied).</w:t>
      </w:r>
    </w:p>
    <w:p>
      <w:pPr>
        <w:pStyle w:val="Normal"/>
        <w:numPr>
          <w:ilvl w:val="0"/>
          <w:numId w:val="1"/>
        </w:numPr>
        <w:rPr/>
      </w:pPr>
      <w:r>
        <w:rPr/>
        <w:t>Rows closed for a stated data-quality reason (“Closed - Not Investigated Data Quality”, 6 LC&amp;FI alerts) are kept in the base population, since excluding them would understate true alert volume.</w:t>
      </w:r>
    </w:p>
    <w:p>
      <w:pPr>
        <w:pStyle w:val="TableCaption"/>
        <w:rPr/>
      </w:pPr>
      <w:r>
        <w:rPr/>
        <w:t>Table 1. Field completeness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N_missing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Pct_missing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AlertType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AlertState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DateCreated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DateClosed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1.9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CaseOpen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9921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98.2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CaseClosed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9968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98.7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CaseReported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10051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99.5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CaseState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9921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98.2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7205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71.4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CusRiskCategory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IndustryCode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7907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78.3</w:t>
            </w:r>
          </w:p>
        </w:tc>
      </w:tr>
    </w:tbl>
    <w:p>
      <w:pPr>
        <w:pStyle w:val="BodyText"/>
        <w:rPr/>
      </w:pPr>
      <w:r>
        <w:rPr>
          <w:i/>
          <w:iCs/>
        </w:rPr>
        <w:t>Completeness by field. “Structural” = field is not applicable to that customer segment by design, not a data quality defect.</w:t>
      </w:r>
    </w:p>
    <w:p>
      <w:pPr>
        <w:pStyle w:val="TableCaption"/>
        <w:rPr/>
      </w:pPr>
      <w:r>
        <w:rPr/>
        <w:t>Table 2. Alert volume by customer segment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AlertType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n_alerts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Credit Cards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1959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Check Countries List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1367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Unusual behaviour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843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Cash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637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Listed High Risk Banks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549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Awakening Account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 Monitoring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repayement of funds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PEP Monitoring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Unusual Cash Behaviour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Existing Accounts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Unusual behaviour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1711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New Destinations with high turnover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1538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Existing Accounts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Awakening Account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159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Recurring In-Out scenario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97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Check Countries List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International Transfers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PEP Monitoring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 Monitoring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ableCaption"/>
        <w:rPr/>
      </w:pPr>
      <w:r>
        <w:rPr/>
        <w:t>Table 3. Alert -&gt; Case -&gt; SAR funnel, by segment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1497"/>
        <w:gridCol w:w="842"/>
        <w:gridCol w:w="1124"/>
        <w:gridCol w:w="1497"/>
        <w:gridCol w:w="562"/>
        <w:gridCol w:w="1778"/>
        <w:gridCol w:w="2060"/>
      </w:tblGrid>
      <w:tr>
        <w:trPr>
          <w:tblHeader w:val="true"/>
        </w:trPr>
        <w:tc>
          <w:tcPr>
            <w:tcW w:w="149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8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n_alerts</w:t>
            </w:r>
          </w:p>
        </w:tc>
        <w:tc>
          <w:tcPr>
            <w:tcW w:w="112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n_escalated</w:t>
            </w:r>
          </w:p>
        </w:tc>
        <w:tc>
          <w:tcPr>
            <w:tcW w:w="149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escalation_rate</w:t>
            </w:r>
          </w:p>
        </w:tc>
        <w:tc>
          <w:tcPr>
            <w:tcW w:w="56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n_sar</w:t>
            </w:r>
          </w:p>
        </w:tc>
        <w:tc>
          <w:tcPr>
            <w:tcW w:w="17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sar_rate_of_alerts</w:t>
            </w:r>
          </w:p>
        </w:tc>
        <w:tc>
          <w:tcPr>
            <w:tcW w:w="20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sar_rate_of_escalated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84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6267</w:t>
            </w:r>
          </w:p>
        </w:tc>
        <w:tc>
          <w:tcPr>
            <w:tcW w:w="112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143</w:t>
            </w:r>
          </w:p>
        </w:tc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0.023</w:t>
            </w:r>
          </w:p>
        </w:tc>
        <w:tc>
          <w:tcPr>
            <w:tcW w:w="56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45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0.007</w:t>
            </w:r>
          </w:p>
        </w:tc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0.315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84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3831</w:t>
            </w:r>
          </w:p>
        </w:tc>
        <w:tc>
          <w:tcPr>
            <w:tcW w:w="112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</w:t>
            </w:r>
          </w:p>
        </w:tc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0.009</w:t>
            </w:r>
          </w:p>
        </w:tc>
        <w:tc>
          <w:tcPr>
            <w:tcW w:w="56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0.001</w:t>
            </w:r>
          </w:p>
        </w:tc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0.059</w:t>
            </w:r>
          </w:p>
        </w:tc>
      </w:tr>
      <w:tr>
        <w:trPr/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Overall</w:t>
            </w:r>
          </w:p>
        </w:tc>
        <w:tc>
          <w:tcPr>
            <w:tcW w:w="84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10098</w:t>
            </w:r>
          </w:p>
        </w:tc>
        <w:tc>
          <w:tcPr>
            <w:tcW w:w="112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177</w:t>
            </w:r>
          </w:p>
        </w:tc>
        <w:tc>
          <w:tcPr>
            <w:tcW w:w="14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0.018</w:t>
            </w:r>
          </w:p>
        </w:tc>
        <w:tc>
          <w:tcPr>
            <w:tcW w:w="56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47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0.005</w:t>
            </w:r>
          </w:p>
        </w:tc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0.266</w:t>
            </w:r>
          </w:p>
        </w:tc>
      </w:tr>
    </w:tbl>
    <w:p>
      <w:pPr>
        <w:pStyle w:val="BodyText"/>
        <w:rPr/>
      </w:pPr>
      <w:r>
        <w:rPr>
          <w:i/>
          <w:iCs/>
        </w:rPr>
        <w:t>“</w:t>
      </w:r>
      <w:r>
        <w:rPr>
          <w:i/>
          <w:iCs/>
        </w:rPr>
        <w:t>SAR / Escalated” is the conditional yield of an escalation - i.e. once a case is opened, how often does it end in a SAR.</w:t>
      </w:r>
    </w:p>
    <w:p>
      <w:pPr>
        <w:pStyle w:val="TableCaption"/>
        <w:rPr/>
      </w:pPr>
      <w:r>
        <w:rPr/>
        <w:t>Table 4. Scenario-level productivity (Alert -&gt; Case -&gt; SAR), by segment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1100"/>
        <w:gridCol w:w="2479"/>
        <w:gridCol w:w="619"/>
        <w:gridCol w:w="826"/>
        <w:gridCol w:w="1101"/>
        <w:gridCol w:w="412"/>
        <w:gridCol w:w="1308"/>
        <w:gridCol w:w="1515"/>
      </w:tblGrid>
      <w:tr>
        <w:trPr>
          <w:tblHeader w:val="true"/>
        </w:trPr>
        <w:tc>
          <w:tcPr>
            <w:tcW w:w="11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24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AlertType</w:t>
            </w:r>
          </w:p>
        </w:tc>
        <w:tc>
          <w:tcPr>
            <w:tcW w:w="6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n_alerts</w:t>
            </w:r>
          </w:p>
        </w:tc>
        <w:tc>
          <w:tcPr>
            <w:tcW w:w="82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n_escalated</w:t>
            </w:r>
          </w:p>
        </w:tc>
        <w:tc>
          <w:tcPr>
            <w:tcW w:w="11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escalation_rate</w:t>
            </w:r>
          </w:p>
        </w:tc>
        <w:tc>
          <w:tcPr>
            <w:tcW w:w="4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n_sar</w:t>
            </w:r>
          </w:p>
        </w:tc>
        <w:tc>
          <w:tcPr>
            <w:tcW w:w="130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sar_rate_of_alerts</w:t>
            </w:r>
          </w:p>
        </w:tc>
        <w:tc>
          <w:tcPr>
            <w:tcW w:w="15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sar_rate_of_escalated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Credit Cards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1959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78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0.040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0.014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0.346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Check Countries List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1367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35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0.026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0.003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0.114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Unusual behaviour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843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0.009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Cash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637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0.022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0.017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0.786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Listed High Risk Banks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549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0.005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0.005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1.000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Awakening Account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270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0.004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 Monitoring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184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repayement of funds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176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0.011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PEP Monitoring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168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Unusual Cash Behaviour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64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Existing Accounts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0.040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Unusual behaviour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1711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0.006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0.001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0.100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New Destinations with high turnover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1538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0.011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Existing Accounts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220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0.009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Awakening Account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159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Recurring In-Out scenario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97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Check Countries List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0.132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0.026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0.200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International Transfers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PEP Monitoring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</w:tr>
      <w:tr>
        <w:trPr/>
        <w:tc>
          <w:tcPr>
            <w:tcW w:w="11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24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 Monitoring</w:t>
            </w:r>
          </w:p>
        </w:tc>
        <w:tc>
          <w:tcPr>
            <w:tcW w:w="61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41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51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</w:tr>
    </w:tbl>
    <w:p>
      <w:pPr>
        <w:pStyle w:val="BodyText"/>
        <w:rPr/>
      </w:pPr>
      <w:r>
        <w:rPr>
          <w:i/>
          <w:iCs/>
        </w:rPr>
        <w:t>Full scenario breakdown. “n/a” = zero escalations, so a conditional yield cannot be computed. See Section 3.2 for interpretation.</w:t>
      </w:r>
    </w:p>
    <w:p>
      <w:pPr>
        <w:pStyle w:val="TableCaption"/>
        <w:rPr/>
      </w:pPr>
      <w:r>
        <w:rPr/>
        <w:t>Table 5. 1st-line alert disposition (AlertState), by segment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AlertState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Closed - Not Suspicious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5326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85.0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Closed - Not Investigated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471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7.5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Closed - Processed externally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4.8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Data Created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Unassigned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Closed - Not Investigated Data Quality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Assigned to Investigate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Under Investigation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LC&amp;FI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Level 2 escalation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Closed - Not Suspicious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3752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97.9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Closed - Not Investigated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Data Created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0.9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Under Investigation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Private Banking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Unassigned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0.1</w:t>
            </w:r>
          </w:p>
        </w:tc>
      </w:tr>
    </w:tbl>
    <w:p>
      <w:pPr>
        <w:pStyle w:val="BodyText"/>
        <w:rPr/>
      </w:pPr>
      <w:r>
        <w:rPr>
          <w:i/>
          <w:iCs/>
        </w:rPr>
        <w:t>“</w:t>
      </w:r>
      <w:r>
        <w:rPr>
          <w:i/>
          <w:iCs/>
        </w:rPr>
        <w:t>Closed - Not Investigated” and “Closed - Processed externally” together account for 12.4% of LC&amp;FI alerts (777 alerts) that were closed without a substantive 1st-line review - see Section 3.3.</w:t>
      </w:r>
    </w:p>
    <w:p>
      <w:pPr>
        <w:pStyle w:val="TableCaption"/>
        <w:rPr/>
      </w:pPr>
      <w:r>
        <w:rPr/>
        <w:t>Table 6. Escalation / SAR rate by customer risk category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CusRiskCategory_clean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n_alerts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escalation_rate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sar_rate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 Risk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6942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Lower Risk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Higher Risk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1161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0.044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0.021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 Specified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627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Unknown / not recorded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ableCaption"/>
        <w:rPr/>
      </w:pPr>
      <w:r>
        <w:rPr/>
        <w:t>Table 7. Escalation / SAR rate by PEP status (Private Banking only)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PEP_clean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n_alerts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escalation_rate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sar_rate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 PEP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2776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0.017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Unknown / not recorded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938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</w:tbl>
    <w:p>
      <w:pPr>
        <w:pStyle w:val="BodyText"/>
        <w:rPr/>
      </w:pPr>
      <w:r>
        <w:rPr>
          <w:i/>
          <w:iCs/>
        </w:rPr>
        <w:t>PEP sample size (117) is too small to draw firm conclusions - see Section 3.3.</w:t>
      </w:r>
    </w:p>
    <w:p>
      <w:pPr>
        <w:pStyle w:val="TableCaption"/>
        <w:rPr/>
      </w:pPr>
      <w:r>
        <w:rPr/>
        <w:t>Table 8. Escalation / SAR rate by industry risk segment (LC&amp;FI only)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5001"/>
        <w:gridCol w:w="1154"/>
        <w:gridCol w:w="2050"/>
        <w:gridCol w:w="1155"/>
      </w:tblGrid>
      <w:tr>
        <w:trPr>
          <w:tblHeader w:val="true"/>
        </w:trPr>
        <w:tc>
          <w:tcPr>
            <w:tcW w:w="50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IndustrySegment_clean</w:t>
            </w:r>
          </w:p>
        </w:tc>
        <w:tc>
          <w:tcPr>
            <w:tcW w:w="11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n_alerts</w:t>
            </w:r>
          </w:p>
        </w:tc>
        <w:tc>
          <w:tcPr>
            <w:tcW w:w="20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escalation_rate</w:t>
            </w:r>
          </w:p>
        </w:tc>
        <w:tc>
          <w:tcPr>
            <w:tcW w:w="11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sar_rate</w:t>
            </w:r>
          </w:p>
        </w:tc>
      </w:tr>
      <w:tr>
        <w:trPr/>
        <w:tc>
          <w:tcPr>
            <w:tcW w:w="50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Other / not in high-risk industry list</w:t>
            </w:r>
          </w:p>
        </w:tc>
        <w:tc>
          <w:tcPr>
            <w:tcW w:w="115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6188</w:t>
            </w:r>
          </w:p>
        </w:tc>
        <w:tc>
          <w:tcPr>
            <w:tcW w:w="20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0.022</w:t>
            </w:r>
          </w:p>
        </w:tc>
        <w:tc>
          <w:tcPr>
            <w:tcW w:w="11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0.007</w:t>
            </w:r>
          </w:p>
        </w:tc>
      </w:tr>
      <w:tr>
        <w:trPr/>
        <w:tc>
          <w:tcPr>
            <w:tcW w:w="50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 risk</w:t>
            </w:r>
          </w:p>
        </w:tc>
        <w:tc>
          <w:tcPr>
            <w:tcW w:w="115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57</w:t>
            </w:r>
          </w:p>
        </w:tc>
        <w:tc>
          <w:tcPr>
            <w:tcW w:w="20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0.070</w:t>
            </w:r>
          </w:p>
        </w:tc>
        <w:tc>
          <w:tcPr>
            <w:tcW w:w="11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  <w:tr>
        <w:trPr/>
        <w:tc>
          <w:tcPr>
            <w:tcW w:w="50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staff intensive small company</w:t>
            </w:r>
          </w:p>
        </w:tc>
        <w:tc>
          <w:tcPr>
            <w:tcW w:w="115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205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  <w:tc>
          <w:tcPr>
            <w:tcW w:w="115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0.000</w:t>
            </w:r>
          </w:p>
        </w:tc>
      </w:tr>
    </w:tbl>
    <w:p>
      <w:pPr>
        <w:pStyle w:val="BodyText"/>
        <w:rPr/>
      </w:pPr>
      <w:r>
        <w:rPr>
          <w:i/>
          <w:iCs/>
        </w:rPr>
        <w:t>Flagged high-risk industries escalate 3x more often but produced zero SARs in this sample (n=57) - see Section 3.3 on sample-size caveats.</w:t>
      </w:r>
    </w:p>
    <w:p>
      <w:pPr>
        <w:pStyle w:val="TableCaption"/>
        <w:rPr/>
      </w:pPr>
      <w:r>
        <w:rPr/>
        <w:t>Table 9. Cycle times (days)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1244"/>
        <w:gridCol w:w="1154"/>
        <w:gridCol w:w="1106"/>
        <w:gridCol w:w="1199"/>
        <w:gridCol w:w="1106"/>
        <w:gridCol w:w="1291"/>
        <w:gridCol w:w="1199"/>
        <w:gridCol w:w="1061"/>
      </w:tblGrid>
      <w:tr>
        <w:trPr>
          <w:tblHeader w:val="true"/>
        </w:trPr>
        <w:tc>
          <w:tcPr>
            <w:tcW w:w="12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median_days_to_alert_close</w:t>
            </w:r>
          </w:p>
        </w:tc>
        <w:tc>
          <w:tcPr>
            <w:tcW w:w="11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mean_days_to_alert_close</w:t>
            </w:r>
          </w:p>
        </w:tc>
        <w:tc>
          <w:tcPr>
            <w:tcW w:w="11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p90_days_to_alert_close</w:t>
            </w:r>
          </w:p>
        </w:tc>
        <w:tc>
          <w:tcPr>
            <w:tcW w:w="11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median_days_case_investig</w:t>
            </w:r>
          </w:p>
        </w:tc>
        <w:tc>
          <w:tcPr>
            <w:tcW w:w="11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mean_days_case_investig</w:t>
            </w:r>
          </w:p>
        </w:tc>
        <w:tc>
          <w:tcPr>
            <w:tcW w:w="12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median_days_close_to_report</w:t>
            </w:r>
          </w:p>
        </w:tc>
        <w:tc>
          <w:tcPr>
            <w:tcW w:w="11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mean_days_close_to_report</w:t>
            </w:r>
          </w:p>
        </w:tc>
        <w:tc>
          <w:tcPr>
            <w:tcW w:w="10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n_negative_cycle_times</w:t>
            </w:r>
          </w:p>
        </w:tc>
      </w:tr>
      <w:tr>
        <w:trPr/>
        <w:tc>
          <w:tcPr>
            <w:tcW w:w="124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15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31.7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103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0.114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237.2</w:t>
            </w:r>
          </w:p>
        </w:tc>
        <w:tc>
          <w:tcPr>
            <w:tcW w:w="1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  <w:tc>
          <w:tcPr>
            <w:tcW w:w="11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</w:t>
            </w:r>
          </w:p>
        </w:tc>
        <w:tc>
          <w:tcPr>
            <w:tcW w:w="106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</w:tr>
    </w:tbl>
    <w:p>
      <w:pPr>
        <w:pStyle w:val="BodyText"/>
        <w:rPr/>
      </w:pPr>
      <w:r>
        <w:rPr>
          <w:i/>
          <w:iCs/>
        </w:rPr>
        <w:t>“</w:t>
      </w:r>
      <w:r>
        <w:rPr>
          <w:i/>
          <w:iCs/>
        </w:rPr>
        <w:t>Case opened -&gt; Case closed” mean is inflated by a cluster of ~10+ cases sitting at 1,153-1,155 days (~3.2 years) with near-identical durations - consistent with a backlog of aged cases being cleared in one batch rather than measurement error. Median-based figures are more representative of typical processing time.</w:t>
      </w:r>
      <w:bookmarkEnd w:id="0"/>
      <w:bookmarkEnd w:id="3"/>
    </w:p>
    <w:p>
      <w:pPr>
        <w:pStyle w:val="Heading1"/>
        <w:rPr/>
      </w:pPr>
      <w:bookmarkStart w:id="4" w:name="data-visualisation"/>
      <w:r>
        <w:rPr/>
        <w:t>2. Data Visualisation</w:t>
      </w:r>
    </w:p>
    <w:p>
      <w:pPr>
        <w:pStyle w:val="Heading2"/>
        <w:rPr/>
      </w:pPr>
      <w:bookmarkStart w:id="5" w:name="alert-volume-by-scenario-and-over-time"/>
      <w:r>
        <w:rPr/>
        <w:t>2.1 Alert volume by scenario and over time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/>
      </w:tblPr>
      <w:tblGrid>
        <w:gridCol w:w="7920"/>
      </w:tblGrid>
      <w:tr>
        <w:trPr/>
        <w:tc>
          <w:tcPr>
            <w:tcW w:w="792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92040" cy="366903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3669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mpact"/>
              <w:spacing w:before="36" w:after="36"/>
              <w:jc w:val="center"/>
              <w:rPr/>
            </w:pPr>
            <w:r>
              <w:rPr/>
              <w:t>Figure 1: Alert volume by TM scenario.</w:t>
            </w:r>
          </w:p>
        </w:tc>
      </w:tr>
    </w:tbl>
    <w:p>
      <w:pPr>
        <w:pStyle w:val="ImageCaption"/>
        <w:rPr/>
      </w:pPr>
      <w:r>
        <w:rPr/>
        <w:t>Figure 1: Alert volume by TM scenario.</w:t>
      </w:r>
    </w:p>
    <w:p>
      <w:pPr>
        <w:pStyle w:val="BodyText"/>
        <w:rPr/>
      </w:pPr>
      <w:r>
        <w:rPr/>
        <w:t>Volume is highly concentrated: the top 4 scenarios account for roughly 68% of all alerts. This confirms the two segments should be evaluated as separate TM models.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/>
      </w:tblPr>
      <w:tblGrid>
        <w:gridCol w:w="7920"/>
      </w:tblGrid>
      <w:tr>
        <w:trPr/>
        <w:tc>
          <w:tcPr>
            <w:tcW w:w="792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92040" cy="305752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305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mpact"/>
              <w:spacing w:before="36" w:after="36"/>
              <w:jc w:val="center"/>
              <w:rPr/>
            </w:pPr>
            <w:r>
              <w:rPr/>
              <w:t>Figure 2: Monthly trend.</w:t>
            </w:r>
          </w:p>
        </w:tc>
      </w:tr>
    </w:tbl>
    <w:p>
      <w:pPr>
        <w:pStyle w:val="ImageCaption"/>
        <w:rPr/>
      </w:pPr>
      <w:r>
        <w:rPr/>
        <w:t>Figure 2: Monthly trend.</w:t>
      </w:r>
    </w:p>
    <w:p>
      <w:pPr>
        <w:pStyle w:val="BodyText"/>
        <w:rPr/>
      </w:pPr>
      <w:r>
        <w:rPr/>
        <w:t>Volumes are volatile with several sharp, short-lived spikes (e.g. LC&amp;FI in mid-2009 and mid-2015) that look more like one-off batch events (a rule re-run, a scenario back-test, or a system migration) than organic growth. LC&amp;FI volume was consistently higher and more volatile than Private Banking until around 2019-2020, when Private Banking volume increased and LC&amp;FI’s dropped - worth confirming with the business whether this reflects a genuine change in scenario tuning, thresholds, or client-base composition around that time.</w:t>
      </w:r>
      <w:bookmarkEnd w:id="5"/>
    </w:p>
    <w:p>
      <w:pPr>
        <w:pStyle w:val="Heading2"/>
        <w:rPr/>
      </w:pPr>
      <w:bookmarkStart w:id="6" w:name="the-alert-funnel"/>
      <w:r>
        <w:rPr/>
        <w:t>2.2 The alert funnel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/>
      </w:tblPr>
      <w:tblGrid>
        <w:gridCol w:w="7920"/>
      </w:tblGrid>
      <w:tr>
        <w:trPr/>
        <w:tc>
          <w:tcPr>
            <w:tcW w:w="792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92040" cy="305752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305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mpact"/>
              <w:spacing w:before="36" w:after="36"/>
              <w:jc w:val="center"/>
              <w:rPr/>
            </w:pPr>
            <w:r>
              <w:rPr/>
              <w:t>Figure 3: Alert funnel.</w:t>
            </w:r>
          </w:p>
        </w:tc>
      </w:tr>
    </w:tbl>
    <w:p>
      <w:pPr>
        <w:pStyle w:val="ImageCaption"/>
        <w:rPr/>
      </w:pPr>
      <w:r>
        <w:rPr/>
        <w:t>Figure 3: Alert funnel.</w:t>
      </w:r>
    </w:p>
    <w:p>
      <w:pPr>
        <w:pStyle w:val="BodyText"/>
        <w:rPr/>
      </w:pPr>
      <w:r>
        <w:rPr/>
        <w:t>On a log scale, each stage of the funnel drops by roughly one order of magnitude.</w:t>
      </w:r>
      <w:bookmarkEnd w:id="6"/>
    </w:p>
    <w:p>
      <w:pPr>
        <w:pStyle w:val="Heading2"/>
        <w:rPr/>
      </w:pPr>
      <w:bookmarkStart w:id="7" w:name="scenario-productivity"/>
      <w:r>
        <w:rPr/>
        <w:t>2.3 Scenario productivity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/>
      </w:tblPr>
      <w:tblGrid>
        <w:gridCol w:w="7920"/>
      </w:tblGrid>
      <w:tr>
        <w:trPr/>
        <w:tc>
          <w:tcPr>
            <w:tcW w:w="792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92040" cy="355727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3557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mpact"/>
              <w:spacing w:before="36" w:after="36"/>
              <w:jc w:val="center"/>
              <w:rPr/>
            </w:pPr>
            <w:r>
              <w:rPr/>
              <w:t>Figure 4: Scenario productivity.</w:t>
            </w:r>
          </w:p>
        </w:tc>
      </w:tr>
    </w:tbl>
    <w:p>
      <w:pPr>
        <w:pStyle w:val="ImageCaption"/>
        <w:rPr/>
      </w:pPr>
      <w:r>
        <w:rPr/>
        <w:t>Figure 4: Scenario productivity.</w:t>
      </w:r>
    </w:p>
    <w:p>
      <w:pPr>
        <w:pStyle w:val="BodyText"/>
        <w:rPr/>
      </w:pPr>
      <w:r>
        <w:rPr/>
        <w:t>This is the most decision-relevant chart. Scenarios cluster in the bottom-left, with a handful of standouts: Cash and Credit Cards combine meaningful volume with a comparatively high SAR rate. Check Countries List (Private Banking) has by far the highest escalation rate (13.2%) but is low-volume (38 alerts) and its single SAR result should be read cautiously. Scenarios sitting on the x-axis with zero height (e.g. Unusual behaviour LC&amp;FI, New Destinations with high turnover) escalate regularly but have never converted to a SAR.</w:t>
      </w:r>
      <w:bookmarkEnd w:id="7"/>
    </w:p>
    <w:p>
      <w:pPr>
        <w:pStyle w:val="Heading2"/>
        <w:rPr/>
      </w:pPr>
      <w:bookmarkStart w:id="8" w:name="risk-based-discrimination"/>
      <w:r>
        <w:rPr/>
        <w:t>2.4 Risk-based discrimination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/>
      </w:tblPr>
      <w:tblGrid>
        <w:gridCol w:w="7920"/>
      </w:tblGrid>
      <w:tr>
        <w:trPr/>
        <w:tc>
          <w:tcPr>
            <w:tcW w:w="792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92040" cy="305752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305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mpact"/>
              <w:spacing w:before="36" w:after="36"/>
              <w:jc w:val="center"/>
              <w:rPr/>
            </w:pPr>
            <w:r>
              <w:rPr/>
              <w:t>Figure 5: SAR rate by risk.</w:t>
            </w:r>
          </w:p>
        </w:tc>
      </w:tr>
    </w:tbl>
    <w:p>
      <w:pPr>
        <w:pStyle w:val="ImageCaption"/>
        <w:rPr/>
      </w:pPr>
      <w:r>
        <w:rPr/>
        <w:t>Figure 5: SAR rate by risk.</w:t>
      </w:r>
    </w:p>
    <w:p>
      <w:pPr>
        <w:pStyle w:val="BodyText"/>
        <w:rPr/>
      </w:pPr>
      <w:r>
        <w:rPr/>
        <w:t>SAR rate increases with customer risk category, roughly 8x higher for Higher Risk than for Medium Risk.</w:t>
      </w:r>
      <w:bookmarkEnd w:id="8"/>
    </w:p>
    <w:p>
      <w:pPr>
        <w:pStyle w:val="Heading2"/>
        <w:rPr/>
      </w:pPr>
      <w:bookmarkStart w:id="9" w:name="first-line-disposition-and-cycle-times"/>
      <w:r>
        <w:rPr/>
        <w:t>2.5 First-line disposition and cycle times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/>
      </w:tblPr>
      <w:tblGrid>
        <w:gridCol w:w="7920"/>
      </w:tblGrid>
      <w:tr>
        <w:trPr/>
        <w:tc>
          <w:tcPr>
            <w:tcW w:w="792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92040" cy="3057525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305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mpact"/>
              <w:spacing w:before="36" w:after="36"/>
              <w:jc w:val="center"/>
              <w:rPr/>
            </w:pPr>
            <w:r>
              <w:rPr/>
              <w:t>Figure 6: Alert disposition.</w:t>
            </w:r>
          </w:p>
        </w:tc>
      </w:tr>
    </w:tbl>
    <w:p>
      <w:pPr>
        <w:pStyle w:val="ImageCaption"/>
        <w:rPr/>
      </w:pPr>
      <w:r>
        <w:rPr/>
        <w:t>Figure 6: Alert disposition.</w:t>
      </w:r>
    </w:p>
    <w:p>
      <w:pPr>
        <w:pStyle w:val="BodyText"/>
        <w:rPr/>
      </w:pPr>
      <w:r>
        <w:rPr/>
        <w:t>Private Banking alerts are closed as “Not Suspicious” almost uniformly (98%). LC&amp;FI shows more variety, including the 12% closed as “Not Investigated” or “Processed externally”.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/>
      </w:tblPr>
      <w:tblGrid>
        <w:gridCol w:w="7920"/>
      </w:tblGrid>
      <w:tr>
        <w:trPr/>
        <w:tc>
          <w:tcPr>
            <w:tcW w:w="792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92040" cy="3057525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305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mpact"/>
              <w:spacing w:before="36" w:after="36"/>
              <w:jc w:val="center"/>
              <w:rPr/>
            </w:pPr>
            <w:r>
              <w:rPr/>
              <w:t>Figure 7: Time to close.</w:t>
            </w:r>
          </w:p>
        </w:tc>
      </w:tr>
    </w:tbl>
    <w:p>
      <w:pPr>
        <w:pStyle w:val="ImageCaption"/>
        <w:rPr/>
      </w:pPr>
      <w:r>
        <w:rPr/>
        <w:t>Figure 7: Time to close.</w:t>
      </w:r>
    </w:p>
    <w:p>
      <w:pPr>
        <w:pStyle w:val="BodyText"/>
        <w:rPr/>
      </w:pPr>
      <w:r>
        <w:rPr/>
        <w:t>Both segments show the expected shape - most alerts closed within days - but with a long tail extending to 100+ days, and a distinct secondary bump around 130-140 days for LC&amp;FI that likely corresponds to the same aged-case clearance pattern noted earlier.</w:t>
      </w:r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/>
      </w:tblPr>
      <w:tblGrid>
        <w:gridCol w:w="7920"/>
      </w:tblGrid>
      <w:tr>
        <w:trPr/>
        <w:tc>
          <w:tcPr>
            <w:tcW w:w="7920" w:type="dxa"/>
            <w:tcBorders/>
          </w:tcPr>
          <w:p>
            <w:pPr>
              <w:pStyle w:val="Compact"/>
              <w:spacing w:before="36" w:after="36"/>
              <w:jc w:val="center"/>
              <w:rPr/>
            </w:pPr>
            <w:r>
              <w:rPr/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92040" cy="3057525"/>
                  <wp:effectExtent l="0" t="0" r="0" b="0"/>
                  <wp:wrapSquare wrapText="largest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0" cy="305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ompact"/>
              <w:spacing w:before="36" w:after="36"/>
              <w:jc w:val="center"/>
              <w:rPr/>
            </w:pPr>
            <w:r>
              <w:rPr/>
              <w:t>Figure 8: Yield trend.</w:t>
            </w:r>
          </w:p>
        </w:tc>
      </w:tr>
    </w:tbl>
    <w:p>
      <w:pPr>
        <w:pStyle w:val="ImageCaption"/>
        <w:rPr/>
      </w:pPr>
      <w:r>
        <w:rPr/>
        <w:t>Figure 8: Yield trend.</w:t>
      </w:r>
    </w:p>
    <w:p>
      <w:pPr>
        <w:pStyle w:val="BodyText"/>
        <w:rPr/>
      </w:pPr>
      <w:r>
        <w:rPr/>
        <w:t>Neither rate shows a stable trend - both fluctuate year to year with a low point around 2020 (possibly volume effects) and a recovery in 2021. Pre-2013 years were excluded as too sparse (annual volumes under 600 alerts) to produce a meaningful rate.</w:t>
      </w:r>
      <w:bookmarkEnd w:id="4"/>
      <w:bookmarkEnd w:id="9"/>
    </w:p>
    <w:p>
      <w:pPr>
        <w:pStyle w:val="Heading1"/>
        <w:rPr/>
      </w:pPr>
      <w:bookmarkStart w:id="10" w:name="Xee135e03dbdee8679ce09ff962159a2ccf9fb68"/>
      <w:r>
        <w:rPr/>
        <w:t>3. Additional analysis – Transaction Monitoring validation perspective</w:t>
      </w:r>
    </w:p>
    <w:p>
      <w:pPr>
        <w:pStyle w:val="Heading2"/>
        <w:rPr/>
      </w:pPr>
      <w:bookmarkStart w:id="11" w:name="Xa9249c54fb1732456a85989a870382971ca76f5"/>
      <w:r>
        <w:rPr/>
        <w:t>3.1 Analyses relevant to validating a rule-based TM model</w:t>
      </w:r>
    </w:p>
    <w:p>
      <w:pPr>
        <w:pStyle w:val="Normal"/>
        <w:numPr>
          <w:ilvl w:val="0"/>
          <w:numId w:val="1"/>
        </w:numPr>
        <w:rPr/>
      </w:pPr>
      <w:r>
        <w:rPr/>
        <w:t>Conceptual soundness: Do scenarios map to relevant typologies and are logic/thresholds reasonable for the segment’s risk profile?</w:t>
      </w:r>
    </w:p>
    <w:p>
      <w:pPr>
        <w:pStyle w:val="Normal"/>
        <w:numPr>
          <w:ilvl w:val="0"/>
          <w:numId w:val="1"/>
        </w:numPr>
        <w:rPr/>
      </w:pPr>
      <w:r>
        <w:rPr/>
        <w:t>Productivity/yield analysis (*): Alert volume, escalation rate, and SAR conversion rate, overall and by scenario. This is the core effectiveness metric.</w:t>
      </w:r>
    </w:p>
    <w:p>
      <w:pPr>
        <w:pStyle w:val="Normal"/>
        <w:numPr>
          <w:ilvl w:val="0"/>
          <w:numId w:val="1"/>
        </w:numPr>
        <w:rPr/>
      </w:pPr>
      <w:r>
        <w:rPr/>
        <w:t>Segmentation and stability analysis (*): Does performance hold consistently across segments, risk categories, and time, or is it concentrated in specific sub-populations?</w:t>
      </w:r>
    </w:p>
    <w:p>
      <w:pPr>
        <w:pStyle w:val="Normal"/>
        <w:numPr>
          <w:ilvl w:val="0"/>
          <w:numId w:val="1"/>
        </w:numPr>
        <w:rPr/>
      </w:pPr>
      <w:r>
        <w:rPr/>
        <w:t>Data quality/integrity review (*): Are input fields complete, consistent, and correctly typed? Poor data quality undermines even the best-designed logic.</w:t>
      </w:r>
    </w:p>
    <w:p>
      <w:pPr>
        <w:pStyle w:val="Normal"/>
        <w:numPr>
          <w:ilvl w:val="0"/>
          <w:numId w:val="1"/>
        </w:numPr>
        <w:rPr/>
      </w:pPr>
      <w:r>
        <w:rPr/>
        <w:t>Timeliness/process efficiency (*): Cycle times for alert closure and case reporting, as TM effectiveness relies on timely reporting to the FIU.</w:t>
      </w:r>
    </w:p>
    <w:p>
      <w:pPr>
        <w:pStyle w:val="Normal"/>
        <w:numPr>
          <w:ilvl w:val="0"/>
          <w:numId w:val="1"/>
        </w:numPr>
        <w:rPr/>
      </w:pPr>
      <w:r>
        <w:rPr/>
        <w:t>Other standard validation scope: Above/Below-the-line (ATL/BTL) testing, threshold sensitivity analysis, coverage gap analysis against typologies, peer benchmarking, and independent QA sampling.</w:t>
      </w:r>
      <w:bookmarkEnd w:id="11"/>
    </w:p>
    <w:p>
      <w:pPr>
        <w:pStyle w:val="Heading2"/>
        <w:rPr/>
      </w:pPr>
      <w:bookmarkStart w:id="12" w:name="X8826c731b8775c754c2d301ffa021fe68b4bbaa"/>
      <w:r>
        <w:rPr/>
        <w:t>3.2 What this data says about TM scenario performance</w:t>
      </w:r>
    </w:p>
    <w:p>
      <w:pPr>
        <w:pStyle w:val="Normal"/>
        <w:numPr>
          <w:ilvl w:val="0"/>
          <w:numId w:val="1"/>
        </w:numPr>
        <w:rPr/>
      </w:pPr>
      <w:r>
        <w:rPr/>
        <w:t>Overall productivity is typical but low. A 1.75% escalation rate and 0.47% SAR-conversion rate implies a ~98% false-positive rate. This is consistent with industry standards for rule-based TM, but it confirms the model’s value depends entirely on the accuracy of the 2% that escalate.</w:t>
      </w:r>
    </w:p>
    <w:p>
      <w:pPr>
        <w:pStyle w:val="Normal"/>
        <w:numPr>
          <w:ilvl w:val="0"/>
          <w:numId w:val="1"/>
        </w:numPr>
        <w:rPr/>
      </w:pPr>
      <w:r>
        <w:rPr/>
        <w:t>Risk-based signal is validated. SAR rates rise monotonically with customer risk (Figure 5), confirming the existing risk-scoring effectively concentrates true positives in Higher Risk categories. Results for PEP and Industry segments are positive but inconclusive due to small sample sizes.</w:t>
      </w:r>
    </w:p>
    <w:p>
      <w:pPr>
        <w:pStyle w:val="Normal"/>
        <w:numPr>
          <w:ilvl w:val="0"/>
          <w:numId w:val="1"/>
        </w:numPr>
        <w:rPr/>
      </w:pPr>
      <w:r>
        <w:rPr/>
        <w:t>Scenario performance is highly uneven. Eight scenario/segment combinations never escalated a single alert; another six escalate regularly but yield zero SARs. Both groups represent “dead weight” scenarios that are natural candidates for tuning or retirement.</w:t>
      </w:r>
      <w:bookmarkEnd w:id="12"/>
    </w:p>
    <w:p>
      <w:pPr>
        <w:pStyle w:val="Heading2"/>
        <w:rPr/>
      </w:pPr>
      <w:bookmarkStart w:id="13" w:name="key-limitations-and-risks"/>
      <w:r>
        <w:rPr/>
        <w:t>3.3 Key limitations and risks</w:t>
      </w:r>
    </w:p>
    <w:p>
      <w:pPr>
        <w:pStyle w:val="Normal"/>
        <w:numPr>
          <w:ilvl w:val="0"/>
          <w:numId w:val="1"/>
        </w:numPr>
        <w:rPr/>
      </w:pPr>
      <w:r>
        <w:rPr/>
        <w:t>No visibility into false negatives. The dataset contains only generated alerts, preventing any measurement of the true false-negative rate or below-the-line (BTL) activity.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Data deficiencies. Missing transactional data, non-unique </w:t>
      </w:r>
      <w:r>
        <w:rPr>
          <w:rStyle w:val="VerbatimChar"/>
        </w:rPr>
        <w:t>intID</w:t>
      </w:r>
      <w:r>
        <w:rPr/>
        <w:t xml:space="preserve"> keys, inconsistent NULL encoding, and workflow gaps (unpopulated </w:t>
      </w:r>
      <w:r>
        <w:rPr>
          <w:rStyle w:val="VerbatimChar"/>
        </w:rPr>
        <w:t>CaseClosed</w:t>
      </w:r>
      <w:r>
        <w:rPr/>
        <w:t xml:space="preserve"> for SARs) complicate validation.</w:t>
      </w:r>
    </w:p>
    <w:p>
      <w:pPr>
        <w:pStyle w:val="Normal"/>
        <w:numPr>
          <w:ilvl w:val="0"/>
          <w:numId w:val="1"/>
        </w:numPr>
        <w:rPr/>
      </w:pPr>
      <w:r>
        <w:rPr/>
        <w:t>Sample and historical constraints. The small SAR sample (n=47) limits statistical robustness. Furthermore, the 2008-2021 window likely mixes multiple, undocumented model states, confounding long-term trend analysis.</w:t>
      </w:r>
    </w:p>
    <w:p>
      <w:pPr>
        <w:pStyle w:val="Normal"/>
        <w:numPr>
          <w:ilvl w:val="0"/>
          <w:numId w:val="1"/>
        </w:numPr>
        <w:rPr/>
      </w:pPr>
      <w:r>
        <w:rPr/>
        <w:t>Operational drag. 12.4% of LC&amp;FI alerts were closed without substantive review, weakening confidence in the “Not Suspicious” label.</w:t>
      </w:r>
      <w:bookmarkEnd w:id="13"/>
    </w:p>
    <w:p>
      <w:pPr>
        <w:pStyle w:val="Heading2"/>
        <w:rPr/>
      </w:pPr>
      <w:bookmarkStart w:id="14" w:name="Xfc899e917651707a18df419eb57feffb7084a7b"/>
      <w:r>
        <w:rPr/>
        <w:t>3.4 Potential improvements to the current rule-based model</w:t>
      </w:r>
    </w:p>
    <w:p>
      <w:pPr>
        <w:pStyle w:val="Normal"/>
        <w:numPr>
          <w:ilvl w:val="0"/>
          <w:numId w:val="1"/>
        </w:numPr>
        <w:rPr/>
      </w:pPr>
      <w:r>
        <w:rPr/>
        <w:t>Retire or redesign zero-yield scenarios. Review the 14 identified zero-conversion or zero-escalation scenarios with the business to determine if they should be retired or retuned.</w:t>
      </w:r>
    </w:p>
    <w:p>
      <w:pPr>
        <w:pStyle w:val="Normal"/>
        <w:numPr>
          <w:ilvl w:val="0"/>
          <w:numId w:val="1"/>
        </w:numPr>
        <w:rPr/>
      </w:pPr>
      <w:r>
        <w:rPr/>
        <w:t>Operationalize QA. Address the unreviewed alert backlog to ensure the “Not Suspicious” class is a clean negative population.</w:t>
      </w:r>
    </w:p>
    <w:p>
      <w:pPr>
        <w:pStyle w:val="Normal"/>
        <w:numPr>
          <w:ilvl w:val="0"/>
          <w:numId w:val="1"/>
        </w:numPr>
        <w:rPr/>
      </w:pPr>
      <w:r>
        <w:rPr/>
        <w:t>Dynamic thresholding. Shift from static thresholds to risk-weighted tiers, utilizing the positive risk-discrimination signal identified in Figure 5 to preserve sensitivity for high-risk clients while reducing false positives for others.</w:t>
      </w:r>
    </w:p>
    <w:p>
      <w:pPr>
        <w:pStyle w:val="Normal"/>
        <w:numPr>
          <w:ilvl w:val="0"/>
          <w:numId w:val="1"/>
        </w:numPr>
        <w:rPr/>
      </w:pPr>
      <w:r>
        <w:rPr/>
        <w:t>Process controls. Implement systematic BTL sampling and standard QA reviews for 1st-line decisions to establish a measurable false-negative rate.</w:t>
      </w:r>
    </w:p>
    <w:p>
      <w:pPr>
        <w:pStyle w:val="Normal"/>
        <w:numPr>
          <w:ilvl w:val="0"/>
          <w:numId w:val="1"/>
        </w:numPr>
        <w:rPr/>
      </w:pPr>
      <w:r>
        <w:rPr/>
        <w:t>Remediate data quality. Address the inconsistent NULL encoding and workflow gaps at the source to improve data reliability for future regulatory reporting.</w:t>
      </w:r>
      <w:bookmarkEnd w:id="14"/>
    </w:p>
    <w:p>
      <w:pPr>
        <w:pStyle w:val="Heading2"/>
        <w:rPr/>
      </w:pPr>
      <w:bookmarkStart w:id="15" w:name="Xe93a2e0a2aec267e84556cb6bb67f54e5a49196"/>
      <w:r>
        <w:rPr/>
        <w:t>3.5 Conceptual challenger model design and validation approach</w:t>
      </w:r>
    </w:p>
    <w:p>
      <w:pPr>
        <w:pStyle w:val="Heading3"/>
        <w:rPr/>
      </w:pPr>
      <w:bookmarkStart w:id="16" w:name="design"/>
      <w:r>
        <w:rPr/>
        <w:t>Design</w:t>
      </w:r>
    </w:p>
    <w:p>
      <w:pPr>
        <w:pStyle w:val="Normal"/>
        <w:numPr>
          <w:ilvl w:val="0"/>
          <w:numId w:val="1"/>
        </w:numPr>
        <w:rPr/>
      </w:pPr>
      <w:r>
        <w:rPr/>
        <w:t>Stage 1 (Shadow Mode): Train a supervised risk-scoring model (e.g., Gradient Boosted Trees) to predict P(SAR | alert), using customer attributes, risk scores, and account velocity data.</w:t>
      </w:r>
    </w:p>
    <w:p>
      <w:pPr>
        <w:pStyle w:val="Normal"/>
        <w:numPr>
          <w:ilvl w:val="0"/>
          <w:numId w:val="1"/>
        </w:numPr>
        <w:rPr/>
      </w:pPr>
      <w:r>
        <w:rPr/>
        <w:t>Stage 2 (Network Analytics): Layer in graph-based anomaly detection to capture multi-party layering and structuring that rules cannot detect.</w:t>
      </w:r>
    </w:p>
    <w:p>
      <w:pPr>
        <w:pStyle w:val="Normal"/>
        <w:numPr>
          <w:ilvl w:val="0"/>
          <w:numId w:val="1"/>
        </w:numPr>
        <w:rPr/>
      </w:pPr>
      <w:r>
        <w:rPr/>
        <w:t>Stage 3 (Blended Triage): Use the challenger score to rank rule-based alerts, prioritizing investigator focus on high-likelihood alerts while potentially auto-closing the lowest-scored tail.</w:t>
      </w:r>
      <w:bookmarkEnd w:id="16"/>
    </w:p>
    <w:p>
      <w:pPr>
        <w:pStyle w:val="Heading3"/>
        <w:rPr/>
      </w:pPr>
      <w:bookmarkStart w:id="17" w:name="X8aa6952763a88f57a55b7f4a2f2dfbf53c0c13a"/>
      <w:r>
        <w:rPr/>
        <w:t>Validation of the challenger against the existing model</w:t>
      </w:r>
    </w:p>
    <w:p>
      <w:pPr>
        <w:pStyle w:val="Normal"/>
        <w:numPr>
          <w:ilvl w:val="0"/>
          <w:numId w:val="1"/>
        </w:numPr>
        <w:rPr/>
      </w:pPr>
      <w:r>
        <w:rPr/>
        <w:t>Back-testing: Use AUROC/AUPRC to compare challenger ranking against historical outcomes.</w:t>
      </w:r>
    </w:p>
    <w:p>
      <w:pPr>
        <w:pStyle w:val="Normal"/>
        <w:numPr>
          <w:ilvl w:val="0"/>
          <w:numId w:val="1"/>
        </w:numPr>
        <w:rPr/>
      </w:pPr>
      <w:r>
        <w:rPr/>
        <w:t>Champion-Challenger Overlap: Quantify SAR capture rates and whether the challenger identifies true positives that existing rules miss.</w:t>
      </w:r>
    </w:p>
    <w:p>
      <w:pPr>
        <w:pStyle w:val="Normal"/>
        <w:numPr>
          <w:ilvl w:val="0"/>
          <w:numId w:val="1"/>
        </w:numPr>
        <w:rPr/>
      </w:pPr>
      <w:r>
        <w:rPr/>
        <w:t>BTL Sampling: Use the challenger to score the transaction population to sample and review below-the-line transactions, establishing a baseline false-negative rate.</w:t>
      </w:r>
    </w:p>
    <w:p>
      <w:pPr>
        <w:pStyle w:val="Normal"/>
        <w:numPr>
          <w:ilvl w:val="0"/>
          <w:numId w:val="1"/>
        </w:numPr>
        <w:spacing w:before="0" w:after="200"/>
        <w:rPr/>
      </w:pPr>
      <w:r>
        <w:rPr/>
        <w:t>Governance: Implement stability/drift monitoring, bias testing across segments, and maintain the existing rules as the control of record until a successful shadow pilot is completed.</w:t>
      </w:r>
      <w:bookmarkEnd w:id="10"/>
      <w:bookmarkEnd w:id="15"/>
      <w:bookmarkEnd w:id="1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LibreOffice/26.2.4.2$Windows_X86_64 LibreOffice_project/0229ac93fcf0d7cbc6376066c6f35021cef002dc</Application>
  <AppVersion>15.0000</AppVersion>
  <Pages>13</Pages>
  <Words>2141</Words>
  <Characters>12171</Characters>
  <CharactersWithSpaces>13746</CharactersWithSpaces>
  <Paragraphs>531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2026-07-19T22:24:00Z</dcterms:created>
  <dc:creator>Kristina Kazlauskaitė</dc:creator>
  <dc:description/>
  <dc:language>en-GB</dc:language>
  <cp:lastModifiedBy/>
  <dcterms:modified xsi:type="dcterms:W3CDTF">2026-07-20T01:26:03Z</dcterms:modified>
  <cp:revision>1</cp:revision>
  <dc:subject/>
  <dc:title>Mid-Senior Quantitative Analyst in FCP Model Validation Team | SEB Vilnius - case study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output">
    <vt:lpwstr/>
  </property>
</Properties>
</file>