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226CF" w14:textId="1CD3BC96" w:rsidR="00164986" w:rsidRDefault="00164986" w:rsidP="00164986">
      <w:pPr>
        <w:spacing w:after="0" w:line="240" w:lineRule="auto"/>
        <w:ind w:firstLine="709"/>
        <w:contextualSpacing/>
        <w:jc w:val="center"/>
        <w:rPr>
          <w:rFonts w:ascii="Times New Roman" w:hAnsi="Times New Roman" w:cs="Times New Roman"/>
          <w:b/>
          <w:sz w:val="28"/>
          <w:szCs w:val="28"/>
          <w:lang w:val="en-US"/>
        </w:rPr>
      </w:pPr>
      <w:r w:rsidRPr="00164986">
        <w:rPr>
          <w:rFonts w:ascii="Times New Roman" w:hAnsi="Times New Roman" w:cs="Times New Roman"/>
          <w:b/>
          <w:sz w:val="28"/>
          <w:szCs w:val="28"/>
          <w:lang w:val="en-US"/>
        </w:rPr>
        <w:t>REGIONAL AND SPECIES FEATURES OF TREES' RESPONSE TO CLIMATE CHANGE IN THE FOREST</w:t>
      </w:r>
      <w:r w:rsidR="002F1302">
        <w:rPr>
          <w:rFonts w:ascii="Times New Roman" w:hAnsi="Times New Roman" w:cs="Times New Roman"/>
          <w:b/>
          <w:sz w:val="28"/>
          <w:szCs w:val="28"/>
          <w:lang w:val="en-US"/>
        </w:rPr>
        <w:t>-</w:t>
      </w:r>
      <w:r w:rsidRPr="00164986">
        <w:rPr>
          <w:rFonts w:ascii="Times New Roman" w:hAnsi="Times New Roman" w:cs="Times New Roman"/>
          <w:b/>
          <w:sz w:val="28"/>
          <w:szCs w:val="28"/>
          <w:lang w:val="en-US"/>
        </w:rPr>
        <w:t>TUNDRA OF NORTHERN EURASIA</w:t>
      </w:r>
    </w:p>
    <w:p w14:paraId="392792AA" w14:textId="77777777" w:rsidR="00164986" w:rsidRPr="008334F4" w:rsidRDefault="00164986" w:rsidP="00164986">
      <w:pPr>
        <w:spacing w:after="0" w:line="240" w:lineRule="auto"/>
        <w:ind w:firstLine="709"/>
        <w:contextualSpacing/>
        <w:jc w:val="center"/>
        <w:rPr>
          <w:rFonts w:ascii="Times New Roman" w:hAnsi="Times New Roman" w:cs="Times New Roman"/>
          <w:b/>
          <w:sz w:val="28"/>
          <w:szCs w:val="28"/>
          <w:lang w:val="en-US"/>
        </w:rPr>
      </w:pPr>
    </w:p>
    <w:p w14:paraId="3E3257D4" w14:textId="6A10757A" w:rsidR="00164986" w:rsidRPr="008334F4" w:rsidRDefault="00164986" w:rsidP="00CD30B9">
      <w:pPr>
        <w:spacing w:after="0" w:line="240" w:lineRule="auto"/>
        <w:ind w:firstLine="709"/>
        <w:contextualSpacing/>
        <w:jc w:val="center"/>
        <w:rPr>
          <w:rFonts w:ascii="Times New Roman" w:hAnsi="Times New Roman" w:cs="Times New Roman"/>
          <w:b/>
          <w:sz w:val="28"/>
          <w:szCs w:val="28"/>
          <w:lang w:val="en-US"/>
        </w:rPr>
      </w:pPr>
      <w:r w:rsidRPr="008334F4">
        <w:rPr>
          <w:rFonts w:ascii="Times New Roman" w:hAnsi="Times New Roman" w:cs="Times New Roman"/>
          <w:b/>
          <w:sz w:val="28"/>
          <w:szCs w:val="28"/>
          <w:lang w:val="en-US"/>
        </w:rPr>
        <w:t>Akuli</w:t>
      </w:r>
      <w:r w:rsidR="002F1302">
        <w:rPr>
          <w:rFonts w:ascii="Times New Roman" w:hAnsi="Times New Roman" w:cs="Times New Roman"/>
          <w:b/>
          <w:sz w:val="28"/>
          <w:szCs w:val="28"/>
          <w:lang w:val="en-US"/>
        </w:rPr>
        <w:t xml:space="preserve">nina Kristina Vasilievna, </w:t>
      </w:r>
      <w:r w:rsidR="00342697">
        <w:rPr>
          <w:rFonts w:ascii="Times New Roman" w:hAnsi="Times New Roman" w:cs="Times New Roman"/>
          <w:b/>
          <w:sz w:val="28"/>
          <w:szCs w:val="28"/>
          <w:lang w:val="en-US"/>
        </w:rPr>
        <w:t>Arz</w:t>
      </w:r>
      <w:r w:rsidR="00342697" w:rsidRPr="008334F4">
        <w:rPr>
          <w:rFonts w:ascii="Times New Roman" w:hAnsi="Times New Roman" w:cs="Times New Roman"/>
          <w:b/>
          <w:sz w:val="28"/>
          <w:szCs w:val="28"/>
          <w:lang w:val="en-US"/>
        </w:rPr>
        <w:t>a</w:t>
      </w:r>
      <w:r w:rsidR="00342697">
        <w:rPr>
          <w:rFonts w:ascii="Times New Roman" w:hAnsi="Times New Roman" w:cs="Times New Roman"/>
          <w:b/>
          <w:sz w:val="28"/>
          <w:szCs w:val="28"/>
          <w:lang w:val="en-US"/>
        </w:rPr>
        <w:t>c</w:t>
      </w:r>
      <w:r w:rsidR="00342697" w:rsidRPr="008334F4">
        <w:rPr>
          <w:rFonts w:ascii="Times New Roman" w:hAnsi="Times New Roman" w:cs="Times New Roman"/>
          <w:b/>
          <w:sz w:val="28"/>
          <w:szCs w:val="28"/>
          <w:lang w:val="en-US"/>
        </w:rPr>
        <w:t xml:space="preserve"> </w:t>
      </w:r>
      <w:r w:rsidRPr="008334F4">
        <w:rPr>
          <w:rFonts w:ascii="Times New Roman" w:hAnsi="Times New Roman" w:cs="Times New Roman"/>
          <w:b/>
          <w:sz w:val="28"/>
          <w:szCs w:val="28"/>
          <w:lang w:val="en-US"/>
        </w:rPr>
        <w:t xml:space="preserve">Alberto </w:t>
      </w:r>
    </w:p>
    <w:p w14:paraId="2C603237" w14:textId="77777777" w:rsidR="00164986" w:rsidRPr="008334F4" w:rsidRDefault="00164986" w:rsidP="00164986">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Ins</w:t>
      </w:r>
      <w:r>
        <w:rPr>
          <w:rFonts w:ascii="Times New Roman" w:hAnsi="Times New Roman" w:cs="Times New Roman"/>
          <w:sz w:val="28"/>
          <w:szCs w:val="28"/>
          <w:lang w:val="en-US"/>
        </w:rPr>
        <w:t>titute of Ecology and Geography</w:t>
      </w:r>
      <w:r w:rsidRPr="00164986">
        <w:rPr>
          <w:rFonts w:ascii="Times New Roman" w:hAnsi="Times New Roman" w:cs="Times New Roman"/>
          <w:sz w:val="28"/>
          <w:szCs w:val="28"/>
          <w:lang w:val="en-US"/>
        </w:rPr>
        <w:t xml:space="preserve">, </w:t>
      </w:r>
      <w:r w:rsidRPr="008334F4">
        <w:rPr>
          <w:rFonts w:ascii="Times New Roman" w:hAnsi="Times New Roman" w:cs="Times New Roman"/>
          <w:sz w:val="28"/>
          <w:szCs w:val="28"/>
          <w:lang w:val="en-US"/>
        </w:rPr>
        <w:t>Siberian Federal University, 660041, Russia, Krasnoyarsk Territory, Krasnoyarsk</w:t>
      </w:r>
    </w:p>
    <w:p w14:paraId="0173256D" w14:textId="77777777" w:rsidR="00CD30B9" w:rsidRDefault="00164986" w:rsidP="00164986">
      <w:pPr>
        <w:jc w:val="center"/>
        <w:rPr>
          <w:rStyle w:val="a3"/>
          <w:rFonts w:ascii="Times New Roman" w:hAnsi="Times New Roman" w:cs="Times New Roman"/>
          <w:sz w:val="28"/>
          <w:szCs w:val="28"/>
          <w:lang w:val="en-US"/>
        </w:rPr>
      </w:pPr>
      <w:r w:rsidRPr="008334F4">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sidRPr="008334F4">
        <w:rPr>
          <w:rFonts w:ascii="Times New Roman" w:hAnsi="Times New Roman" w:cs="Times New Roman"/>
          <w:sz w:val="28"/>
          <w:szCs w:val="28"/>
          <w:lang w:val="en-US"/>
        </w:rPr>
        <w:t xml:space="preserve">mail: </w:t>
      </w:r>
      <w:hyperlink r:id="rId5" w:history="1">
        <w:r w:rsidRPr="00D93E09">
          <w:rPr>
            <w:rStyle w:val="a3"/>
            <w:rFonts w:ascii="Times New Roman" w:hAnsi="Times New Roman" w:cs="Times New Roman"/>
            <w:sz w:val="28"/>
            <w:szCs w:val="28"/>
            <w:lang w:val="en-US"/>
          </w:rPr>
          <w:t>kbogdanova@sfu</w:t>
        </w:r>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hyperlink>
    </w:p>
    <w:p w14:paraId="396F77FA" w14:textId="77777777" w:rsidR="00F974F2" w:rsidRPr="00164986" w:rsidRDefault="00F974F2" w:rsidP="00F974F2">
      <w:pPr>
        <w:spacing w:after="0" w:line="240" w:lineRule="auto"/>
        <w:ind w:firstLine="709"/>
        <w:contextualSpacing/>
        <w:jc w:val="center"/>
        <w:rPr>
          <w:rFonts w:ascii="Times New Roman" w:hAnsi="Times New Roman" w:cs="Times New Roman"/>
          <w:b/>
          <w:caps/>
          <w:sz w:val="28"/>
          <w:szCs w:val="28"/>
        </w:rPr>
      </w:pPr>
      <w:r w:rsidRPr="00164986">
        <w:rPr>
          <w:rFonts w:ascii="Times New Roman" w:hAnsi="Times New Roman" w:cs="Times New Roman"/>
          <w:b/>
          <w:caps/>
          <w:sz w:val="28"/>
          <w:szCs w:val="28"/>
        </w:rPr>
        <w:t>Региональные и видовые особенности реакции деревьев на климатические изменения в лесотундре Северной ЕвразиИ</w:t>
      </w:r>
    </w:p>
    <w:p w14:paraId="045A8033" w14:textId="77777777" w:rsidR="00F974F2" w:rsidRDefault="00F974F2" w:rsidP="00F974F2">
      <w:pPr>
        <w:spacing w:after="0" w:line="240" w:lineRule="auto"/>
        <w:ind w:firstLine="709"/>
        <w:contextualSpacing/>
        <w:jc w:val="center"/>
        <w:rPr>
          <w:rFonts w:ascii="Times New Roman" w:hAnsi="Times New Roman" w:cs="Times New Roman"/>
          <w:b/>
          <w:sz w:val="28"/>
          <w:szCs w:val="28"/>
        </w:rPr>
      </w:pPr>
    </w:p>
    <w:p w14:paraId="1EF4E352" w14:textId="77777777" w:rsidR="00F974F2" w:rsidRDefault="002F1302" w:rsidP="00F974F2">
      <w:pPr>
        <w:spacing w:after="0" w:line="24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 xml:space="preserve">Акулинина Кристина Васильевна, </w:t>
      </w:r>
      <w:r w:rsidR="00F974F2">
        <w:rPr>
          <w:rFonts w:ascii="Times New Roman" w:hAnsi="Times New Roman" w:cs="Times New Roman"/>
          <w:b/>
          <w:sz w:val="28"/>
          <w:szCs w:val="28"/>
        </w:rPr>
        <w:t xml:space="preserve">Арсак Альберто </w:t>
      </w:r>
    </w:p>
    <w:p w14:paraId="33C17C82" w14:textId="77777777" w:rsidR="00F974F2" w:rsidRDefault="00F974F2" w:rsidP="00F974F2">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Институт экологии и географии, Сибирский федеральный университет, </w:t>
      </w:r>
      <w:r w:rsidRPr="003F72B0">
        <w:rPr>
          <w:rFonts w:ascii="Times New Roman" w:hAnsi="Times New Roman" w:cs="Times New Roman"/>
          <w:bCs/>
          <w:sz w:val="28"/>
          <w:szCs w:val="28"/>
        </w:rPr>
        <w:t>660041</w:t>
      </w:r>
      <w:r>
        <w:rPr>
          <w:rFonts w:ascii="Times New Roman" w:hAnsi="Times New Roman" w:cs="Times New Roman"/>
          <w:sz w:val="28"/>
          <w:szCs w:val="28"/>
        </w:rPr>
        <w:t>, Россия, Красноярский край, г. Красноярск</w:t>
      </w:r>
    </w:p>
    <w:p w14:paraId="20D25827" w14:textId="77777777" w:rsidR="00F974F2" w:rsidRDefault="00F974F2" w:rsidP="00F974F2">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Pr>
          <w:rFonts w:ascii="Times New Roman" w:hAnsi="Times New Roman" w:cs="Times New Roman"/>
          <w:sz w:val="28"/>
          <w:szCs w:val="28"/>
          <w:lang w:val="en-US"/>
        </w:rPr>
        <w:t>mail</w:t>
      </w:r>
      <w:r w:rsidRPr="003F72B0">
        <w:rPr>
          <w:rFonts w:ascii="Times New Roman" w:hAnsi="Times New Roman" w:cs="Times New Roman"/>
          <w:sz w:val="28"/>
          <w:szCs w:val="28"/>
          <w:lang w:val="en-US"/>
        </w:rPr>
        <w:t xml:space="preserve">: </w:t>
      </w:r>
      <w:hyperlink r:id="rId6" w:history="1">
        <w:r w:rsidRPr="00D93E09">
          <w:rPr>
            <w:rStyle w:val="a3"/>
            <w:rFonts w:ascii="Times New Roman" w:hAnsi="Times New Roman" w:cs="Times New Roman"/>
            <w:sz w:val="28"/>
            <w:szCs w:val="28"/>
            <w:lang w:val="en-US"/>
          </w:rPr>
          <w:t>kbogdanova@sfu</w:t>
        </w:r>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hyperlink>
    </w:p>
    <w:p w14:paraId="408C8A3D" w14:textId="77777777" w:rsidR="00CD30B9" w:rsidRDefault="00CD30B9" w:rsidP="00F974F2">
      <w:pPr>
        <w:spacing w:after="0" w:line="240" w:lineRule="auto"/>
        <w:ind w:firstLine="709"/>
        <w:contextualSpacing/>
        <w:jc w:val="center"/>
        <w:rPr>
          <w:rStyle w:val="a3"/>
          <w:rFonts w:ascii="Times New Roman" w:hAnsi="Times New Roman" w:cs="Times New Roman"/>
          <w:sz w:val="28"/>
          <w:szCs w:val="28"/>
          <w:lang w:val="en-US"/>
        </w:rPr>
      </w:pPr>
    </w:p>
    <w:p w14:paraId="6AA0173B" w14:textId="0475004F" w:rsidR="00CD30B9" w:rsidRPr="00CD30B9" w:rsidRDefault="00CD30B9" w:rsidP="00F974F2">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forest</w:t>
      </w:r>
      <w:r w:rsidR="002F1302">
        <w:rPr>
          <w:rFonts w:ascii="Times New Roman" w:hAnsi="Times New Roman" w:cs="Times New Roman"/>
          <w:sz w:val="28"/>
          <w:szCs w:val="28"/>
          <w:lang w:val="en-US"/>
        </w:rPr>
        <w:t>-</w:t>
      </w:r>
      <w:r w:rsidRPr="00CD30B9">
        <w:rPr>
          <w:rFonts w:ascii="Times New Roman" w:hAnsi="Times New Roman" w:cs="Times New Roman"/>
          <w:sz w:val="28"/>
          <w:szCs w:val="28"/>
          <w:lang w:val="en-US"/>
        </w:rPr>
        <w:t xml:space="preserve">tundra ecotone of Northern Eurasia, stretching from the western borders of Russia to its far northeast, is undergoing significant transformations due to accelerated Arctic warming. This process, occurring nearly four times faster than the global average, </w:t>
      </w:r>
      <w:r w:rsidR="00342697">
        <w:rPr>
          <w:rFonts w:ascii="Times New Roman" w:hAnsi="Times New Roman" w:cs="Times New Roman"/>
          <w:sz w:val="28"/>
          <w:szCs w:val="28"/>
          <w:lang w:val="en-US"/>
        </w:rPr>
        <w:t xml:space="preserve">is </w:t>
      </w:r>
      <w:r w:rsidRPr="00CD30B9">
        <w:rPr>
          <w:rFonts w:ascii="Times New Roman" w:hAnsi="Times New Roman" w:cs="Times New Roman"/>
          <w:sz w:val="28"/>
          <w:szCs w:val="28"/>
          <w:lang w:val="en-US"/>
        </w:rPr>
        <w:t>driv</w:t>
      </w:r>
      <w:r w:rsidR="00342697">
        <w:rPr>
          <w:rFonts w:ascii="Times New Roman" w:hAnsi="Times New Roman" w:cs="Times New Roman"/>
          <w:sz w:val="28"/>
          <w:szCs w:val="28"/>
          <w:lang w:val="en-US"/>
        </w:rPr>
        <w:t>ing</w:t>
      </w:r>
      <w:r w:rsidRPr="00CD30B9">
        <w:rPr>
          <w:rFonts w:ascii="Times New Roman" w:hAnsi="Times New Roman" w:cs="Times New Roman"/>
          <w:sz w:val="28"/>
          <w:szCs w:val="28"/>
          <w:lang w:val="en-US"/>
        </w:rPr>
        <w:t xml:space="preserve"> shifts in the distribution, structure, and functioning of woody vegetation, impacting regional biodiversity and the carbon cycle. Changes are particularly pronounced in the continuous permafrost zone, where trees face extreme conditions such as a short growing season, low temperatures, and variable </w:t>
      </w:r>
      <w:r w:rsidR="00342697">
        <w:rPr>
          <w:rFonts w:ascii="Times New Roman" w:hAnsi="Times New Roman" w:cs="Times New Roman"/>
          <w:sz w:val="28"/>
          <w:szCs w:val="28"/>
          <w:lang w:val="en-US"/>
        </w:rPr>
        <w:t xml:space="preserve">soil </w:t>
      </w:r>
      <w:r w:rsidRPr="00CD30B9">
        <w:rPr>
          <w:rFonts w:ascii="Times New Roman" w:hAnsi="Times New Roman" w:cs="Times New Roman"/>
          <w:sz w:val="28"/>
          <w:szCs w:val="28"/>
          <w:lang w:val="en-US"/>
        </w:rPr>
        <w:t xml:space="preserve">active layer depths. Understanding how different conifer species </w:t>
      </w:r>
      <w:r w:rsidR="00342697">
        <w:rPr>
          <w:rFonts w:ascii="Times New Roman" w:hAnsi="Times New Roman" w:cs="Times New Roman"/>
          <w:sz w:val="28"/>
          <w:szCs w:val="28"/>
          <w:lang w:val="en-US"/>
        </w:rPr>
        <w:t>respond</w:t>
      </w:r>
      <w:r w:rsidR="0034269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to these</w:t>
      </w:r>
      <w:r w:rsidR="00342697">
        <w:rPr>
          <w:rFonts w:ascii="Times New Roman" w:hAnsi="Times New Roman" w:cs="Times New Roman"/>
          <w:sz w:val="28"/>
          <w:szCs w:val="28"/>
          <w:lang w:val="en-US"/>
        </w:rPr>
        <w:t xml:space="preserve"> challening</w:t>
      </w:r>
      <w:r w:rsidRPr="00CD30B9">
        <w:rPr>
          <w:rFonts w:ascii="Times New Roman" w:hAnsi="Times New Roman" w:cs="Times New Roman"/>
          <w:sz w:val="28"/>
          <w:szCs w:val="28"/>
          <w:lang w:val="en-US"/>
        </w:rPr>
        <w:t xml:space="preserve"> conditions is crucial for assessing their resilience and predicting future ecological transformations.</w:t>
      </w:r>
    </w:p>
    <w:p w14:paraId="1AA820CE" w14:textId="277DCD2F"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w:t>
      </w:r>
      <w:r w:rsidR="00342697">
        <w:rPr>
          <w:rFonts w:ascii="Times New Roman" w:hAnsi="Times New Roman" w:cs="Times New Roman"/>
          <w:sz w:val="28"/>
          <w:szCs w:val="28"/>
          <w:lang w:val="en-US"/>
        </w:rPr>
        <w:t xml:space="preserve">is study </w:t>
      </w:r>
      <w:r w:rsidRPr="00CD30B9">
        <w:rPr>
          <w:rFonts w:ascii="Times New Roman" w:hAnsi="Times New Roman" w:cs="Times New Roman"/>
          <w:sz w:val="28"/>
          <w:szCs w:val="28"/>
          <w:lang w:val="en-US"/>
        </w:rPr>
        <w:t>aim</w:t>
      </w:r>
      <w:r w:rsidR="00342697">
        <w:rPr>
          <w:rFonts w:ascii="Times New Roman" w:hAnsi="Times New Roman" w:cs="Times New Roman"/>
          <w:sz w:val="28"/>
          <w:szCs w:val="28"/>
          <w:lang w:val="en-US"/>
        </w:rPr>
        <w:t>ed</w:t>
      </w:r>
      <w:r w:rsidRPr="00CD30B9">
        <w:rPr>
          <w:rFonts w:ascii="Times New Roman" w:hAnsi="Times New Roman" w:cs="Times New Roman"/>
          <w:sz w:val="28"/>
          <w:szCs w:val="28"/>
          <w:lang w:val="en-US"/>
        </w:rPr>
        <w:t xml:space="preserve"> to investigate the regional and species</w:t>
      </w:r>
      <w:r w:rsidR="002F1302">
        <w:rPr>
          <w:rFonts w:ascii="Times New Roman" w:hAnsi="Times New Roman" w:cs="Times New Roman"/>
          <w:sz w:val="28"/>
          <w:szCs w:val="28"/>
          <w:lang w:val="en-US"/>
        </w:rPr>
        <w:t>-</w:t>
      </w:r>
      <w:r w:rsidRPr="00CD30B9">
        <w:rPr>
          <w:rFonts w:ascii="Times New Roman" w:hAnsi="Times New Roman" w:cs="Times New Roman"/>
          <w:sz w:val="28"/>
          <w:szCs w:val="28"/>
          <w:lang w:val="en-US"/>
        </w:rPr>
        <w:t xml:space="preserve">specific responses of radial tree growth to climatic factors along a </w:t>
      </w:r>
      <w:r w:rsidR="00342697">
        <w:rPr>
          <w:rFonts w:ascii="Times New Roman" w:hAnsi="Times New Roman" w:cs="Times New Roman"/>
          <w:sz w:val="28"/>
          <w:szCs w:val="28"/>
          <w:lang w:val="en-US"/>
        </w:rPr>
        <w:t>longitudinal</w:t>
      </w:r>
      <w:r w:rsidR="0034269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gradient in the forest</w:t>
      </w:r>
      <w:r w:rsidR="00342697">
        <w:rPr>
          <w:rFonts w:ascii="Times New Roman" w:hAnsi="Times New Roman" w:cs="Times New Roman"/>
          <w:sz w:val="28"/>
          <w:szCs w:val="28"/>
          <w:lang w:val="en-US"/>
        </w:rPr>
        <w:t>–</w:t>
      </w:r>
      <w:r w:rsidRPr="00CD30B9">
        <w:rPr>
          <w:rFonts w:ascii="Times New Roman" w:hAnsi="Times New Roman" w:cs="Times New Roman"/>
          <w:sz w:val="28"/>
          <w:szCs w:val="28"/>
          <w:lang w:val="en-US"/>
        </w:rPr>
        <w:t>tundra</w:t>
      </w:r>
      <w:r w:rsidR="00342697">
        <w:rPr>
          <w:rFonts w:ascii="Times New Roman" w:hAnsi="Times New Roman" w:cs="Times New Roman"/>
          <w:sz w:val="28"/>
          <w:szCs w:val="28"/>
          <w:lang w:val="en-US"/>
        </w:rPr>
        <w:t xml:space="preserve"> ecotone of Northern Russia</w:t>
      </w:r>
      <w:r w:rsidRPr="00CD30B9">
        <w:rPr>
          <w:rFonts w:ascii="Times New Roman" w:hAnsi="Times New Roman" w:cs="Times New Roman"/>
          <w:sz w:val="28"/>
          <w:szCs w:val="28"/>
          <w:lang w:val="en-US"/>
        </w:rPr>
        <w:t xml:space="preserve">. </w:t>
      </w:r>
      <w:r w:rsidR="00342697">
        <w:rPr>
          <w:rFonts w:ascii="Times New Roman" w:hAnsi="Times New Roman" w:cs="Times New Roman"/>
          <w:sz w:val="28"/>
          <w:szCs w:val="28"/>
          <w:lang w:val="en-US"/>
        </w:rPr>
        <w:t>The focus was on</w:t>
      </w:r>
      <w:r w:rsidRPr="00CD30B9">
        <w:rPr>
          <w:rFonts w:ascii="Times New Roman" w:hAnsi="Times New Roman" w:cs="Times New Roman"/>
          <w:sz w:val="28"/>
          <w:szCs w:val="28"/>
          <w:lang w:val="en-US"/>
        </w:rPr>
        <w:t xml:space="preserve"> identify differences in tree sensitivity to temperature and precipitation and to evaluate how these variations might influence their distribution under warming conditions. The analysis spanned the period from 1966 to 2021, </w:t>
      </w:r>
      <w:r w:rsidR="00342697">
        <w:rPr>
          <w:rFonts w:ascii="Times New Roman" w:hAnsi="Times New Roman" w:cs="Times New Roman"/>
          <w:sz w:val="28"/>
          <w:szCs w:val="28"/>
          <w:lang w:val="en-US"/>
        </w:rPr>
        <w:t>allowing for</w:t>
      </w:r>
      <w:r w:rsidR="0034269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 xml:space="preserve">the </w:t>
      </w:r>
      <w:r w:rsidR="00342697">
        <w:rPr>
          <w:rFonts w:ascii="Times New Roman" w:hAnsi="Times New Roman" w:cs="Times New Roman"/>
          <w:sz w:val="28"/>
          <w:szCs w:val="28"/>
          <w:lang w:val="en-US"/>
        </w:rPr>
        <w:t>assessment</w:t>
      </w:r>
      <w:r w:rsidR="0034269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of long</w:t>
      </w:r>
      <w:r w:rsidR="002F1302">
        <w:rPr>
          <w:rFonts w:ascii="Times New Roman" w:hAnsi="Times New Roman" w:cs="Times New Roman"/>
          <w:sz w:val="28"/>
          <w:szCs w:val="28"/>
          <w:lang w:val="en-US"/>
        </w:rPr>
        <w:t>-</w:t>
      </w:r>
      <w:r w:rsidRPr="00CD30B9">
        <w:rPr>
          <w:rFonts w:ascii="Times New Roman" w:hAnsi="Times New Roman" w:cs="Times New Roman"/>
          <w:sz w:val="28"/>
          <w:szCs w:val="28"/>
          <w:lang w:val="en-US"/>
        </w:rPr>
        <w:t>term trends.</w:t>
      </w:r>
    </w:p>
    <w:p w14:paraId="3EFF47AB" w14:textId="455C63D1"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The study focused on four conifer species: </w:t>
      </w:r>
      <w:r w:rsidR="00DB6237" w:rsidRPr="00DB6237">
        <w:rPr>
          <w:rFonts w:ascii="Times New Roman" w:hAnsi="Times New Roman" w:cs="Times New Roman"/>
          <w:i/>
          <w:iCs/>
          <w:sz w:val="28"/>
          <w:szCs w:val="28"/>
          <w:lang w:val="en-US"/>
        </w:rPr>
        <w:t>Pinus sylvestris L</w:t>
      </w:r>
      <w:r w:rsidR="00DB6237" w:rsidRPr="00DB6237">
        <w:rPr>
          <w:rFonts w:ascii="Times New Roman" w:hAnsi="Times New Roman" w:cs="Times New Roman"/>
          <w:i/>
          <w:sz w:val="28"/>
          <w:szCs w:val="28"/>
          <w:lang w:val="en-US"/>
        </w:rPr>
        <w:t xml:space="preserve">., </w:t>
      </w:r>
      <w:r w:rsidR="00DB6237" w:rsidRPr="00DB6237">
        <w:rPr>
          <w:rFonts w:ascii="Times New Roman" w:hAnsi="Times New Roman" w:cs="Times New Roman"/>
          <w:i/>
          <w:iCs/>
          <w:sz w:val="28"/>
          <w:szCs w:val="28"/>
          <w:lang w:val="en-US"/>
        </w:rPr>
        <w:t>Larix sibirica Ledeb</w:t>
      </w:r>
      <w:r w:rsidR="00DB6237" w:rsidRPr="00DB6237">
        <w:rPr>
          <w:rFonts w:ascii="Times New Roman" w:hAnsi="Times New Roman" w:cs="Times New Roman"/>
          <w:i/>
          <w:sz w:val="28"/>
          <w:szCs w:val="28"/>
          <w:lang w:val="en-US"/>
        </w:rPr>
        <w:t xml:space="preserve">, </w:t>
      </w:r>
      <w:r w:rsidR="00DB6237" w:rsidRPr="00DB6237">
        <w:rPr>
          <w:rFonts w:ascii="Times New Roman" w:hAnsi="Times New Roman" w:cs="Times New Roman"/>
          <w:i/>
          <w:iCs/>
          <w:sz w:val="28"/>
          <w:szCs w:val="28"/>
          <w:lang w:val="en-US"/>
        </w:rPr>
        <w:t>Larix gmelinii (Rupr.) Kuzen</w:t>
      </w:r>
      <w:r w:rsidR="00DB6237" w:rsidRPr="00DB6237">
        <w:rPr>
          <w:rFonts w:ascii="Times New Roman" w:hAnsi="Times New Roman" w:cs="Times New Roman"/>
          <w:i/>
          <w:sz w:val="28"/>
          <w:szCs w:val="28"/>
          <w:lang w:val="en-US"/>
        </w:rPr>
        <w:t xml:space="preserve">, and </w:t>
      </w:r>
      <w:r w:rsidR="00DB6237" w:rsidRPr="00DB6237">
        <w:rPr>
          <w:rFonts w:ascii="Times New Roman" w:hAnsi="Times New Roman" w:cs="Times New Roman"/>
          <w:i/>
          <w:iCs/>
          <w:sz w:val="28"/>
          <w:szCs w:val="28"/>
          <w:lang w:val="en-US"/>
        </w:rPr>
        <w:t>Larix cajanderi Mayr.</w:t>
      </w:r>
      <w:r w:rsidR="00280CB0">
        <w:rPr>
          <w:rFonts w:ascii="Times New Roman" w:hAnsi="Times New Roman" w:cs="Times New Roman"/>
          <w:sz w:val="28"/>
          <w:szCs w:val="28"/>
          <w:lang w:val="en-US"/>
        </w:rPr>
        <w:t>, across five sites</w:t>
      </w:r>
      <w:r w:rsidRPr="00CD30B9">
        <w:rPr>
          <w:rFonts w:ascii="Times New Roman" w:hAnsi="Times New Roman" w:cs="Times New Roman"/>
          <w:sz w:val="28"/>
          <w:szCs w:val="28"/>
          <w:lang w:val="en-US"/>
        </w:rPr>
        <w:t xml:space="preserve"> within the continuous permafrost zone</w:t>
      </w:r>
      <w:r w:rsidR="00280CB0">
        <w:rPr>
          <w:rFonts w:ascii="Times New Roman" w:hAnsi="Times New Roman" w:cs="Times New Roman"/>
          <w:sz w:val="28"/>
          <w:szCs w:val="28"/>
          <w:lang w:val="en-US"/>
        </w:rPr>
        <w:t>. Sampling sites included</w:t>
      </w:r>
      <w:r w:rsidRPr="00CD30B9">
        <w:rPr>
          <w:rFonts w:ascii="Times New Roman" w:hAnsi="Times New Roman" w:cs="Times New Roman"/>
          <w:sz w:val="28"/>
          <w:szCs w:val="28"/>
          <w:lang w:val="en-US"/>
        </w:rPr>
        <w:t xml:space="preserve"> Apatity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Kola Peninsula) for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Polar Urals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sibirica</w:t>
      </w:r>
      <w:r w:rsidRPr="00CD30B9">
        <w:rPr>
          <w:rFonts w:ascii="Times New Roman" w:hAnsi="Times New Roman" w:cs="Times New Roman"/>
          <w:sz w:val="28"/>
          <w:szCs w:val="28"/>
          <w:lang w:val="en-US"/>
        </w:rPr>
        <w:t>; Khatanga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gmelinii</w:t>
      </w:r>
      <w:r w:rsidRPr="00CD30B9">
        <w:rPr>
          <w:rFonts w:ascii="Times New Roman" w:hAnsi="Times New Roman" w:cs="Times New Roman"/>
          <w:sz w:val="28"/>
          <w:szCs w:val="28"/>
          <w:lang w:val="en-US"/>
        </w:rPr>
        <w:t>; and Chokurdakh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and Bilibino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cajanderi</w:t>
      </w:r>
      <w:r w:rsidRPr="00CD30B9">
        <w:rPr>
          <w:rFonts w:ascii="Times New Roman" w:hAnsi="Times New Roman" w:cs="Times New Roman"/>
          <w:sz w:val="28"/>
          <w:szCs w:val="28"/>
          <w:lang w:val="en-US"/>
        </w:rPr>
        <w:t>. A total of 137 trees were sampled using a 5</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mm increment borer. </w:t>
      </w:r>
      <w:r w:rsidR="00280CB0">
        <w:rPr>
          <w:rFonts w:ascii="Times New Roman" w:hAnsi="Times New Roman" w:cs="Times New Roman"/>
          <w:sz w:val="28"/>
          <w:szCs w:val="28"/>
          <w:lang w:val="en-US"/>
        </w:rPr>
        <w:t>Tree-ring width (TRW)</w:t>
      </w:r>
      <w:r w:rsidRPr="00CD30B9">
        <w:rPr>
          <w:rFonts w:ascii="Times New Roman" w:hAnsi="Times New Roman" w:cs="Times New Roman"/>
          <w:sz w:val="28"/>
          <w:szCs w:val="28"/>
          <w:lang w:val="en-US"/>
        </w:rPr>
        <w:t xml:space="preserve"> was measured </w:t>
      </w:r>
      <w:r w:rsidR="00280CB0">
        <w:rPr>
          <w:rFonts w:ascii="Times New Roman" w:hAnsi="Times New Roman" w:cs="Times New Roman"/>
          <w:sz w:val="28"/>
          <w:szCs w:val="28"/>
          <w:lang w:val="en-US"/>
        </w:rPr>
        <w:t>using</w:t>
      </w:r>
      <w:r w:rsidR="00280CB0"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CooRecorder,</w:t>
      </w:r>
      <w:r w:rsidR="00280CB0">
        <w:rPr>
          <w:rFonts w:ascii="Times New Roman" w:hAnsi="Times New Roman" w:cs="Times New Roman"/>
          <w:sz w:val="28"/>
          <w:szCs w:val="28"/>
          <w:lang w:val="en-US"/>
        </w:rPr>
        <w:t xml:space="preserve"> and</w:t>
      </w:r>
      <w:r w:rsidRPr="00CD30B9">
        <w:rPr>
          <w:rFonts w:ascii="Times New Roman" w:hAnsi="Times New Roman" w:cs="Times New Roman"/>
          <w:sz w:val="28"/>
          <w:szCs w:val="28"/>
          <w:lang w:val="en-US"/>
        </w:rPr>
        <w:t xml:space="preserve"> chronologies were constructed using ARSTAN</w:t>
      </w:r>
      <w:r w:rsidR="00280CB0">
        <w:rPr>
          <w:rFonts w:ascii="Times New Roman" w:hAnsi="Times New Roman" w:cs="Times New Roman"/>
          <w:sz w:val="28"/>
          <w:szCs w:val="28"/>
          <w:lang w:val="en-US"/>
        </w:rPr>
        <w:t>. C</w:t>
      </w:r>
      <w:r w:rsidRPr="00CD30B9">
        <w:rPr>
          <w:rFonts w:ascii="Times New Roman" w:hAnsi="Times New Roman" w:cs="Times New Roman"/>
          <w:sz w:val="28"/>
          <w:szCs w:val="28"/>
          <w:lang w:val="en-US"/>
        </w:rPr>
        <w:t>orrelation analyses were performed</w:t>
      </w:r>
      <w:r w:rsidR="00280CB0">
        <w:rPr>
          <w:rFonts w:ascii="Times New Roman" w:hAnsi="Times New Roman" w:cs="Times New Roman"/>
          <w:sz w:val="28"/>
          <w:szCs w:val="28"/>
          <w:lang w:val="en-US"/>
        </w:rPr>
        <w:t xml:space="preserve"> between TRW</w:t>
      </w:r>
      <w:r w:rsidRPr="00CD30B9">
        <w:rPr>
          <w:rFonts w:ascii="Times New Roman" w:hAnsi="Times New Roman" w:cs="Times New Roman"/>
          <w:sz w:val="28"/>
          <w:szCs w:val="28"/>
          <w:lang w:val="en-US"/>
        </w:rPr>
        <w:t xml:space="preserve"> </w:t>
      </w:r>
      <w:r w:rsidR="00280CB0">
        <w:rPr>
          <w:rFonts w:ascii="Times New Roman" w:hAnsi="Times New Roman" w:cs="Times New Roman"/>
          <w:sz w:val="28"/>
          <w:szCs w:val="28"/>
          <w:lang w:val="en-US"/>
        </w:rPr>
        <w:t>and</w:t>
      </w:r>
      <w:r w:rsidR="00280CB0"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monthly temperature and precipitation data from nearby weather stations (Kandalaksha, Salekhard, Khatanga, Chokurdakh, Ostrovnoye</w:t>
      </w:r>
      <w:r w:rsidR="00280CB0" w:rsidRPr="00CD30B9">
        <w:rPr>
          <w:rFonts w:ascii="Times New Roman" w:hAnsi="Times New Roman" w:cs="Times New Roman"/>
          <w:sz w:val="28"/>
          <w:szCs w:val="28"/>
          <w:lang w:val="en-US"/>
        </w:rPr>
        <w:t>)</w:t>
      </w:r>
      <w:r w:rsidR="00280CB0">
        <w:rPr>
          <w:rFonts w:ascii="Times New Roman" w:hAnsi="Times New Roman" w:cs="Times New Roman"/>
          <w:sz w:val="28"/>
          <w:szCs w:val="28"/>
          <w:lang w:val="en-US"/>
        </w:rPr>
        <w:t>, while</w:t>
      </w:r>
      <w:r w:rsidR="00280CB0" w:rsidRPr="00CD30B9">
        <w:rPr>
          <w:rFonts w:ascii="Times New Roman" w:hAnsi="Times New Roman" w:cs="Times New Roman"/>
          <w:sz w:val="28"/>
          <w:szCs w:val="28"/>
          <w:lang w:val="en-US"/>
        </w:rPr>
        <w:t xml:space="preserve"> 25</w:t>
      </w:r>
      <w:r w:rsidR="00280CB0">
        <w:rPr>
          <w:rFonts w:ascii="Times New Roman" w:hAnsi="Times New Roman" w:cs="Times New Roman"/>
          <w:sz w:val="28"/>
          <w:szCs w:val="28"/>
          <w:lang w:val="en-US"/>
        </w:rPr>
        <w:t>-</w:t>
      </w:r>
      <w:r w:rsidR="00280CB0" w:rsidRPr="00CD30B9">
        <w:rPr>
          <w:rFonts w:ascii="Times New Roman" w:hAnsi="Times New Roman" w:cs="Times New Roman"/>
          <w:sz w:val="28"/>
          <w:szCs w:val="28"/>
          <w:lang w:val="en-US"/>
        </w:rPr>
        <w:t xml:space="preserve">year </w:t>
      </w:r>
      <w:r w:rsidR="00280CB0">
        <w:rPr>
          <w:rFonts w:ascii="Times New Roman" w:hAnsi="Times New Roman" w:cs="Times New Roman"/>
          <w:sz w:val="28"/>
          <w:szCs w:val="28"/>
          <w:lang w:val="en-US"/>
        </w:rPr>
        <w:t>moving</w:t>
      </w:r>
      <w:r w:rsidR="00280CB0" w:rsidRPr="00CD30B9">
        <w:rPr>
          <w:rFonts w:ascii="Times New Roman" w:hAnsi="Times New Roman" w:cs="Times New Roman"/>
          <w:sz w:val="28"/>
          <w:szCs w:val="28"/>
          <w:lang w:val="en-US"/>
        </w:rPr>
        <w:t xml:space="preserve"> correlations</w:t>
      </w:r>
      <w:r w:rsidR="00280CB0">
        <w:rPr>
          <w:rFonts w:ascii="Times New Roman" w:hAnsi="Times New Roman" w:cs="Times New Roman"/>
          <w:sz w:val="28"/>
          <w:szCs w:val="28"/>
          <w:lang w:val="en-US"/>
        </w:rPr>
        <w:t xml:space="preserve"> were applied to assess t</w:t>
      </w:r>
      <w:r w:rsidR="00280CB0" w:rsidRPr="00CD30B9">
        <w:rPr>
          <w:rFonts w:ascii="Times New Roman" w:hAnsi="Times New Roman" w:cs="Times New Roman"/>
          <w:sz w:val="28"/>
          <w:szCs w:val="28"/>
          <w:lang w:val="en-US"/>
        </w:rPr>
        <w:t xml:space="preserve">emporal </w:t>
      </w:r>
      <w:r w:rsidRPr="00CD30B9">
        <w:rPr>
          <w:rFonts w:ascii="Times New Roman" w:hAnsi="Times New Roman" w:cs="Times New Roman"/>
          <w:sz w:val="28"/>
          <w:szCs w:val="28"/>
          <w:lang w:val="en-US"/>
        </w:rPr>
        <w:t xml:space="preserve">dynamics </w:t>
      </w:r>
      <w:r w:rsidR="00280CB0">
        <w:rPr>
          <w:rFonts w:ascii="Times New Roman" w:hAnsi="Times New Roman" w:cs="Times New Roman"/>
          <w:sz w:val="28"/>
          <w:szCs w:val="28"/>
          <w:lang w:val="en-US"/>
        </w:rPr>
        <w:t>in the climate signals.</w:t>
      </w:r>
    </w:p>
    <w:p w14:paraId="626D33E0" w14:textId="41394A48"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lastRenderedPageBreak/>
        <w:t>The results revealed distinct regional and species</w:t>
      </w:r>
      <w:r w:rsidR="002F1302">
        <w:rPr>
          <w:rFonts w:ascii="Times New Roman" w:hAnsi="Times New Roman" w:cs="Times New Roman"/>
          <w:sz w:val="28"/>
          <w:szCs w:val="28"/>
          <w:lang w:val="en-US"/>
        </w:rPr>
        <w:t>-</w:t>
      </w:r>
      <w:r w:rsidRPr="00CD30B9">
        <w:rPr>
          <w:rFonts w:ascii="Times New Roman" w:hAnsi="Times New Roman" w:cs="Times New Roman"/>
          <w:sz w:val="28"/>
          <w:szCs w:val="28"/>
          <w:lang w:val="en-US"/>
        </w:rPr>
        <w:t xml:space="preserve">specific responses to climate. At the western site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exhibited a strong dependence on July temperatures (r = 0.41,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w:t>
      </w:r>
      <w:r w:rsidR="0025559F">
        <w:rPr>
          <w:rFonts w:ascii="Times New Roman" w:hAnsi="Times New Roman" w:cs="Times New Roman"/>
          <w:sz w:val="28"/>
          <w:szCs w:val="28"/>
          <w:lang w:val="en-US"/>
        </w:rPr>
        <w:t xml:space="preserve"> likely</w:t>
      </w:r>
      <w:r w:rsidRPr="00CD30B9">
        <w:rPr>
          <w:rFonts w:ascii="Times New Roman" w:hAnsi="Times New Roman" w:cs="Times New Roman"/>
          <w:sz w:val="28"/>
          <w:szCs w:val="28"/>
          <w:lang w:val="en-US"/>
        </w:rPr>
        <w:t xml:space="preserve"> </w:t>
      </w:r>
      <w:r w:rsidR="0025559F">
        <w:rPr>
          <w:rFonts w:ascii="Times New Roman" w:hAnsi="Times New Roman" w:cs="Times New Roman"/>
          <w:sz w:val="28"/>
          <w:szCs w:val="28"/>
          <w:lang w:val="en-US"/>
        </w:rPr>
        <w:t>due</w:t>
      </w:r>
      <w:r w:rsidR="0025559F"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to milder climatic conditions, the absence of continuous permafrost, and a deeper active layer (1</w:t>
      </w:r>
      <w:r w:rsidR="0025559F">
        <w:rPr>
          <w:rFonts w:ascii="Times New Roman" w:hAnsi="Times New Roman" w:cs="Times New Roman"/>
          <w:sz w:val="28"/>
          <w:szCs w:val="28"/>
          <w:lang w:val="en-US"/>
        </w:rPr>
        <w:t>–</w:t>
      </w:r>
      <w:r w:rsidRPr="00CD30B9">
        <w:rPr>
          <w:rFonts w:ascii="Times New Roman" w:hAnsi="Times New Roman" w:cs="Times New Roman"/>
          <w:sz w:val="28"/>
          <w:szCs w:val="28"/>
          <w:lang w:val="en-US"/>
        </w:rPr>
        <w:t>2 m). In the central and eastern regions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w:t>
      </w:r>
      <w:r w:rsidR="00360EC7">
        <w:rPr>
          <w:rFonts w:ascii="Times New Roman" w:hAnsi="Times New Roman" w:cs="Times New Roman"/>
          <w:i/>
          <w:iCs/>
          <w:sz w:val="28"/>
          <w:szCs w:val="28"/>
          <w:lang w:val="en-US"/>
        </w:rPr>
        <w:t>Larix</w:t>
      </w:r>
      <w:r w:rsidR="00360EC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 xml:space="preserve">species responded predominantly to June </w:t>
      </w:r>
      <w:r w:rsidR="00360EC7">
        <w:rPr>
          <w:rFonts w:ascii="Times New Roman" w:hAnsi="Times New Roman" w:cs="Times New Roman"/>
          <w:sz w:val="28"/>
          <w:szCs w:val="28"/>
          <w:lang w:val="en-US"/>
        </w:rPr>
        <w:t>temperatures</w:t>
      </w:r>
      <w:r w:rsidRPr="00CD30B9">
        <w:rPr>
          <w:rFonts w:ascii="Times New Roman" w:hAnsi="Times New Roman" w:cs="Times New Roman"/>
          <w:sz w:val="28"/>
          <w:szCs w:val="28"/>
          <w:lang w:val="en-US"/>
        </w:rPr>
        <w:t xml:space="preserve">, with the highest correlations at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(r = 0.54</w:t>
      </w:r>
      <w:r w:rsidR="00360EC7" w:rsidRPr="00CD30B9">
        <w:rPr>
          <w:rFonts w:ascii="Times New Roman" w:hAnsi="Times New Roman" w:cs="Times New Roman"/>
          <w:sz w:val="28"/>
          <w:szCs w:val="28"/>
          <w:lang w:val="en-US"/>
        </w:rPr>
        <w:t xml:space="preserve">, </w:t>
      </w:r>
      <w:r w:rsidR="00360EC7" w:rsidRPr="002F1302">
        <w:rPr>
          <w:rFonts w:ascii="Times New Roman" w:hAnsi="Times New Roman" w:cs="Times New Roman"/>
          <w:i/>
          <w:sz w:val="28"/>
          <w:szCs w:val="28"/>
          <w:lang w:val="en-US"/>
        </w:rPr>
        <w:t>p &lt;</w:t>
      </w:r>
      <w:r w:rsidR="00360EC7" w:rsidRPr="00CD30B9">
        <w:rPr>
          <w:rFonts w:ascii="Times New Roman" w:hAnsi="Times New Roman" w:cs="Times New Roman"/>
          <w:sz w:val="28"/>
          <w:szCs w:val="28"/>
          <w:lang w:val="en-US"/>
        </w:rPr>
        <w:t xml:space="preserve"> </w:t>
      </w:r>
      <w:r w:rsidR="00DB6237" w:rsidRPr="00DB6237">
        <w:rPr>
          <w:rFonts w:ascii="Times New Roman" w:hAnsi="Times New Roman" w:cs="Times New Roman"/>
          <w:sz w:val="28"/>
          <w:szCs w:val="28"/>
          <w:lang w:val="en-US"/>
        </w:rPr>
        <w:t>0.01</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(r = 0.43,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 reflecting their adaptation to a short growing season and rapid foliage deployment.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the June effect was slightly weaker (r = 0.24</w:t>
      </w:r>
      <w:r w:rsidR="00360EC7">
        <w:rPr>
          <w:rFonts w:ascii="Times New Roman" w:hAnsi="Times New Roman" w:cs="Times New Roman"/>
          <w:sz w:val="28"/>
          <w:szCs w:val="28"/>
          <w:lang w:val="en-US"/>
        </w:rPr>
        <w:t>–</w:t>
      </w:r>
      <w:r w:rsidRPr="00CD30B9">
        <w:rPr>
          <w:rFonts w:ascii="Times New Roman" w:hAnsi="Times New Roman" w:cs="Times New Roman"/>
          <w:sz w:val="28"/>
          <w:szCs w:val="28"/>
          <w:lang w:val="en-US"/>
        </w:rPr>
        <w:t>0.41</w:t>
      </w:r>
      <w:r w:rsidR="00360EC7" w:rsidRPr="00CD30B9">
        <w:rPr>
          <w:rFonts w:ascii="Times New Roman" w:hAnsi="Times New Roman" w:cs="Times New Roman"/>
          <w:sz w:val="28"/>
          <w:szCs w:val="28"/>
          <w:lang w:val="en-US"/>
        </w:rPr>
        <w:t xml:space="preserve">, </w:t>
      </w:r>
      <w:r w:rsidR="00360EC7" w:rsidRPr="002F1302">
        <w:rPr>
          <w:rFonts w:ascii="Times New Roman" w:hAnsi="Times New Roman" w:cs="Times New Roman"/>
          <w:i/>
          <w:sz w:val="28"/>
          <w:szCs w:val="28"/>
          <w:lang w:val="en-US"/>
        </w:rPr>
        <w:t>p &lt;</w:t>
      </w:r>
      <w:r w:rsidR="00360EC7" w:rsidRPr="00CD30B9">
        <w:rPr>
          <w:rFonts w:ascii="Times New Roman" w:hAnsi="Times New Roman" w:cs="Times New Roman"/>
          <w:sz w:val="28"/>
          <w:szCs w:val="28"/>
          <w:lang w:val="en-US"/>
        </w:rPr>
        <w:t xml:space="preserve"> </w:t>
      </w:r>
      <w:r w:rsidR="00DB6237" w:rsidRPr="00DB6237">
        <w:rPr>
          <w:rFonts w:ascii="Times New Roman" w:hAnsi="Times New Roman" w:cs="Times New Roman"/>
          <w:sz w:val="28"/>
          <w:szCs w:val="28"/>
          <w:lang w:val="en-US"/>
        </w:rPr>
        <w:t>0.01</w:t>
      </w:r>
      <w:r w:rsidRPr="00CD30B9">
        <w:rPr>
          <w:rFonts w:ascii="Times New Roman" w:hAnsi="Times New Roman" w:cs="Times New Roman"/>
          <w:sz w:val="28"/>
          <w:szCs w:val="28"/>
          <w:lang w:val="en-US"/>
        </w:rPr>
        <w:t xml:space="preserve">), </w:t>
      </w:r>
      <w:r w:rsidR="00360EC7">
        <w:rPr>
          <w:rFonts w:ascii="Times New Roman" w:hAnsi="Times New Roman" w:cs="Times New Roman"/>
          <w:sz w:val="28"/>
          <w:szCs w:val="28"/>
          <w:lang w:val="en-US"/>
        </w:rPr>
        <w:t>possibly</w:t>
      </w:r>
      <w:r w:rsidR="00360EC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 xml:space="preserve">due to extreme continentality. Precipitation had a minor influence, though positive effects were noted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w:t>
      </w:r>
      <w:r w:rsidR="00360EC7">
        <w:rPr>
          <w:rFonts w:ascii="Times New Roman" w:hAnsi="Times New Roman" w:cs="Times New Roman"/>
          <w:sz w:val="28"/>
          <w:szCs w:val="28"/>
          <w:lang w:val="en-US"/>
        </w:rPr>
        <w:t xml:space="preserve">potentially </w:t>
      </w:r>
      <w:r w:rsidRPr="00CD30B9">
        <w:rPr>
          <w:rFonts w:ascii="Times New Roman" w:hAnsi="Times New Roman" w:cs="Times New Roman"/>
          <w:sz w:val="28"/>
          <w:szCs w:val="28"/>
          <w:lang w:val="en-US"/>
        </w:rPr>
        <w:t xml:space="preserve">related to local hydrology. </w:t>
      </w:r>
      <w:r w:rsidR="00360EC7">
        <w:rPr>
          <w:rFonts w:ascii="Times New Roman" w:hAnsi="Times New Roman" w:cs="Times New Roman"/>
          <w:sz w:val="28"/>
          <w:szCs w:val="28"/>
          <w:lang w:val="en-US"/>
        </w:rPr>
        <w:t>Moving</w:t>
      </w:r>
      <w:r w:rsidR="00360EC7" w:rsidRPr="00CD30B9">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correlations indicated instability</w:t>
      </w:r>
      <w:r w:rsidR="00360EC7">
        <w:rPr>
          <w:rFonts w:ascii="Times New Roman" w:hAnsi="Times New Roman" w:cs="Times New Roman"/>
          <w:sz w:val="28"/>
          <w:szCs w:val="28"/>
          <w:lang w:val="en-US"/>
        </w:rPr>
        <w:t xml:space="preserve"> in climatic sensitivity icer time.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the temperature signal weakened after the 1980s (r &lt; 0.20), while at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it strengthened (r = 0.55 by 2021), suggesting adaptive shifts</w:t>
      </w:r>
      <w:r w:rsidR="00360EC7">
        <w:rPr>
          <w:rFonts w:ascii="Times New Roman" w:hAnsi="Times New Roman" w:cs="Times New Roman"/>
          <w:sz w:val="28"/>
          <w:szCs w:val="28"/>
          <w:lang w:val="en-US"/>
        </w:rPr>
        <w:t xml:space="preserve"> to warming conditions</w:t>
      </w:r>
      <w:r w:rsidRPr="00CD30B9">
        <w:rPr>
          <w:rFonts w:ascii="Times New Roman" w:hAnsi="Times New Roman" w:cs="Times New Roman"/>
          <w:sz w:val="28"/>
          <w:szCs w:val="28"/>
          <w:lang w:val="en-US"/>
        </w:rPr>
        <w:t>.</w:t>
      </w:r>
    </w:p>
    <w:p w14:paraId="126C0087" w14:textId="761C7FBF" w:rsidR="00CD30B9" w:rsidRPr="00CD30B9" w:rsidRDefault="00B915CF" w:rsidP="00CD30B9">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These findings</w:t>
      </w:r>
      <w:r w:rsidR="00CD30B9" w:rsidRPr="00CD30B9">
        <w:rPr>
          <w:rFonts w:ascii="Times New Roman" w:hAnsi="Times New Roman" w:cs="Times New Roman"/>
          <w:sz w:val="28"/>
          <w:szCs w:val="28"/>
          <w:lang w:val="en-US"/>
        </w:rPr>
        <w:t xml:space="preserve"> highlight </w:t>
      </w:r>
      <w:r>
        <w:rPr>
          <w:rFonts w:ascii="Times New Roman" w:hAnsi="Times New Roman" w:cs="Times New Roman"/>
          <w:sz w:val="28"/>
          <w:szCs w:val="28"/>
          <w:lang w:val="en-US"/>
        </w:rPr>
        <w:t>the role of</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 xml:space="preserve">species physiology </w:t>
      </w:r>
      <w:r>
        <w:rPr>
          <w:rFonts w:ascii="Times New Roman" w:hAnsi="Times New Roman" w:cs="Times New Roman"/>
          <w:sz w:val="28"/>
          <w:szCs w:val="28"/>
          <w:lang w:val="en-US"/>
        </w:rPr>
        <w:t xml:space="preserve">in </w:t>
      </w:r>
      <w:r w:rsidRPr="00CD30B9">
        <w:rPr>
          <w:rFonts w:ascii="Times New Roman" w:hAnsi="Times New Roman" w:cs="Times New Roman"/>
          <w:sz w:val="28"/>
          <w:szCs w:val="28"/>
          <w:lang w:val="en-US"/>
        </w:rPr>
        <w:t>shap</w:t>
      </w:r>
      <w:r>
        <w:rPr>
          <w:rFonts w:ascii="Times New Roman" w:hAnsi="Times New Roman" w:cs="Times New Roman"/>
          <w:sz w:val="28"/>
          <w:szCs w:val="28"/>
          <w:lang w:val="en-US"/>
        </w:rPr>
        <w:t>ing</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 xml:space="preserve">climatic sensitivity. As an evergreen, </w:t>
      </w:r>
      <w:r w:rsidR="00CD30B9" w:rsidRPr="00856F18">
        <w:rPr>
          <w:rFonts w:ascii="Times New Roman" w:hAnsi="Times New Roman" w:cs="Times New Roman"/>
          <w:i/>
          <w:sz w:val="28"/>
          <w:szCs w:val="28"/>
          <w:lang w:val="en-US"/>
        </w:rPr>
        <w:t>P. sylvestris</w:t>
      </w:r>
      <w:r w:rsidR="00CD30B9"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benefits</w:t>
      </w:r>
      <w:r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from an</w:t>
      </w:r>
      <w:r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extended</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 xml:space="preserve">growing season, explaining its </w:t>
      </w:r>
      <w:r>
        <w:rPr>
          <w:rFonts w:ascii="Times New Roman" w:hAnsi="Times New Roman" w:cs="Times New Roman"/>
          <w:sz w:val="28"/>
          <w:szCs w:val="28"/>
          <w:lang w:val="en-US"/>
        </w:rPr>
        <w:t xml:space="preserve">response to </w:t>
      </w:r>
      <w:r w:rsidR="00CD30B9" w:rsidRPr="00CD30B9">
        <w:rPr>
          <w:rFonts w:ascii="Times New Roman" w:hAnsi="Times New Roman" w:cs="Times New Roman"/>
          <w:sz w:val="28"/>
          <w:szCs w:val="28"/>
          <w:lang w:val="en-US"/>
        </w:rPr>
        <w:t xml:space="preserve">July </w:t>
      </w:r>
      <w:r>
        <w:rPr>
          <w:rFonts w:ascii="Times New Roman" w:hAnsi="Times New Roman" w:cs="Times New Roman"/>
          <w:sz w:val="28"/>
          <w:szCs w:val="28"/>
          <w:lang w:val="en-US"/>
        </w:rPr>
        <w:t>temperatures</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[1].</w:t>
      </w:r>
      <w:r>
        <w:rPr>
          <w:rFonts w:ascii="Times New Roman" w:hAnsi="Times New Roman" w:cs="Times New Roman"/>
          <w:sz w:val="28"/>
          <w:szCs w:val="28"/>
          <w:lang w:val="en-US"/>
        </w:rPr>
        <w:t xml:space="preserve"> In contrast, the</w:t>
      </w:r>
      <w:r w:rsidR="00CD30B9"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00CD30B9" w:rsidRPr="00CD30B9">
        <w:rPr>
          <w:rFonts w:ascii="Times New Roman" w:hAnsi="Times New Roman" w:cs="Times New Roman"/>
          <w:sz w:val="28"/>
          <w:szCs w:val="28"/>
          <w:lang w:val="en-US"/>
        </w:rPr>
        <w:t xml:space="preserve">eciduous </w:t>
      </w:r>
      <w:r>
        <w:rPr>
          <w:rFonts w:ascii="Times New Roman" w:hAnsi="Times New Roman" w:cs="Times New Roman"/>
          <w:i/>
          <w:iCs/>
          <w:sz w:val="28"/>
          <w:szCs w:val="28"/>
          <w:lang w:val="en-US"/>
        </w:rPr>
        <w:t>Larix</w:t>
      </w:r>
      <w:r>
        <w:rPr>
          <w:rFonts w:ascii="Times New Roman" w:hAnsi="Times New Roman" w:cs="Times New Roman"/>
          <w:sz w:val="28"/>
          <w:szCs w:val="28"/>
          <w:lang w:val="en-US"/>
        </w:rPr>
        <w:t xml:space="preserve"> species</w:t>
      </w:r>
      <w:r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rely</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on early summer</w:t>
      </w:r>
      <w:r>
        <w:rPr>
          <w:rFonts w:ascii="Times New Roman" w:hAnsi="Times New Roman" w:cs="Times New Roman"/>
          <w:sz w:val="28"/>
          <w:szCs w:val="28"/>
          <w:lang w:val="en-US"/>
        </w:rPr>
        <w:t xml:space="preserve"> temperatures</w:t>
      </w:r>
      <w:r w:rsidR="00CD30B9" w:rsidRPr="00CD30B9">
        <w:rPr>
          <w:rFonts w:ascii="Times New Roman" w:hAnsi="Times New Roman" w:cs="Times New Roman"/>
          <w:sz w:val="28"/>
          <w:szCs w:val="28"/>
          <w:lang w:val="en-US"/>
        </w:rPr>
        <w:t>, critical in</w:t>
      </w:r>
      <w:r>
        <w:rPr>
          <w:rFonts w:ascii="Times New Roman" w:hAnsi="Times New Roman" w:cs="Times New Roman"/>
          <w:sz w:val="28"/>
          <w:szCs w:val="28"/>
          <w:lang w:val="en-US"/>
        </w:rPr>
        <w:t xml:space="preserve"> regions under</w:t>
      </w:r>
      <w:r w:rsidR="00CD30B9" w:rsidRPr="00CD30B9">
        <w:rPr>
          <w:rFonts w:ascii="Times New Roman" w:hAnsi="Times New Roman" w:cs="Times New Roman"/>
          <w:sz w:val="28"/>
          <w:szCs w:val="28"/>
          <w:lang w:val="en-US"/>
        </w:rPr>
        <w:t xml:space="preserve"> permafrost conditions [2]. The </w:t>
      </w:r>
      <w:r>
        <w:rPr>
          <w:rFonts w:ascii="Times New Roman" w:hAnsi="Times New Roman" w:cs="Times New Roman"/>
          <w:sz w:val="28"/>
          <w:szCs w:val="28"/>
          <w:lang w:val="en-US"/>
        </w:rPr>
        <w:t xml:space="preserve">generally </w:t>
      </w:r>
      <w:r w:rsidR="00CD30B9" w:rsidRPr="00CD30B9">
        <w:rPr>
          <w:rFonts w:ascii="Times New Roman" w:hAnsi="Times New Roman" w:cs="Times New Roman"/>
          <w:sz w:val="28"/>
          <w:szCs w:val="28"/>
          <w:lang w:val="en-US"/>
        </w:rPr>
        <w:t xml:space="preserve">weak </w:t>
      </w:r>
      <w:r>
        <w:rPr>
          <w:rFonts w:ascii="Times New Roman" w:hAnsi="Times New Roman" w:cs="Times New Roman"/>
          <w:sz w:val="28"/>
          <w:szCs w:val="28"/>
          <w:lang w:val="en-US"/>
        </w:rPr>
        <w:t xml:space="preserve">effect of </w:t>
      </w:r>
      <w:r w:rsidR="00CD30B9" w:rsidRPr="00CD30B9">
        <w:rPr>
          <w:rFonts w:ascii="Times New Roman" w:hAnsi="Times New Roman" w:cs="Times New Roman"/>
          <w:sz w:val="28"/>
          <w:szCs w:val="28"/>
          <w:lang w:val="en-US"/>
        </w:rPr>
        <w:t>precipitation</w:t>
      </w:r>
      <w:r>
        <w:rPr>
          <w:rFonts w:ascii="Times New Roman" w:hAnsi="Times New Roman" w:cs="Times New Roman"/>
          <w:sz w:val="28"/>
          <w:szCs w:val="28"/>
          <w:lang w:val="en-US"/>
        </w:rPr>
        <w:t>s</w:t>
      </w:r>
      <w:r w:rsidR="00CD30B9" w:rsidRPr="00CD30B9">
        <w:rPr>
          <w:rFonts w:ascii="Times New Roman" w:hAnsi="Times New Roman" w:cs="Times New Roman"/>
          <w:sz w:val="28"/>
          <w:szCs w:val="28"/>
          <w:lang w:val="en-US"/>
        </w:rPr>
        <w:t xml:space="preserve"> aligns with </w:t>
      </w:r>
      <w:r>
        <w:rPr>
          <w:rFonts w:ascii="Times New Roman" w:hAnsi="Times New Roman" w:cs="Times New Roman"/>
          <w:sz w:val="28"/>
          <w:szCs w:val="28"/>
          <w:lang w:val="en-US"/>
        </w:rPr>
        <w:t>the availability of moisture from</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 xml:space="preserve">snowmelt, though localized effects at </w:t>
      </w:r>
      <w:r w:rsidR="00CD30B9" w:rsidRPr="002F1302">
        <w:rPr>
          <w:rFonts w:ascii="Times New Roman" w:hAnsi="Times New Roman" w:cs="Times New Roman"/>
          <w:b/>
          <w:sz w:val="28"/>
          <w:szCs w:val="28"/>
          <w:lang w:val="en-US"/>
        </w:rPr>
        <w:t>APA</w:t>
      </w:r>
      <w:r w:rsidR="00CD30B9" w:rsidRPr="00CD30B9">
        <w:rPr>
          <w:rFonts w:ascii="Times New Roman" w:hAnsi="Times New Roman" w:cs="Times New Roman"/>
          <w:sz w:val="28"/>
          <w:szCs w:val="28"/>
          <w:lang w:val="en-US"/>
        </w:rPr>
        <w:t xml:space="preserve"> and </w:t>
      </w:r>
      <w:r w:rsidR="00CD30B9" w:rsidRPr="002F1302">
        <w:rPr>
          <w:rFonts w:ascii="Times New Roman" w:hAnsi="Times New Roman" w:cs="Times New Roman"/>
          <w:b/>
          <w:sz w:val="28"/>
          <w:szCs w:val="28"/>
          <w:lang w:val="en-US"/>
        </w:rPr>
        <w:t>BIL</w:t>
      </w:r>
      <w:r w:rsidR="00CD30B9"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suggest that </w:t>
      </w:r>
      <w:r w:rsidRPr="00CD30B9">
        <w:rPr>
          <w:rFonts w:ascii="Times New Roman" w:hAnsi="Times New Roman" w:cs="Times New Roman"/>
          <w:sz w:val="28"/>
          <w:szCs w:val="28"/>
          <w:lang w:val="en-US"/>
        </w:rPr>
        <w:t xml:space="preserve">permafrost thaw </w:t>
      </w:r>
      <w:r>
        <w:rPr>
          <w:rFonts w:ascii="Times New Roman" w:hAnsi="Times New Roman" w:cs="Times New Roman"/>
          <w:sz w:val="28"/>
          <w:szCs w:val="28"/>
          <w:lang w:val="en-US"/>
        </w:rPr>
        <w:t>may be</w:t>
      </w:r>
      <w:r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altering</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 xml:space="preserve">hydrological </w:t>
      </w:r>
      <w:proofErr w:type="gramStart"/>
      <w:r>
        <w:rPr>
          <w:rFonts w:ascii="Times New Roman" w:hAnsi="Times New Roman" w:cs="Times New Roman"/>
          <w:sz w:val="28"/>
          <w:szCs w:val="28"/>
          <w:lang w:val="en-US"/>
        </w:rPr>
        <w:t>regimes</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w:t>
      </w:r>
      <w:proofErr w:type="gramEnd"/>
      <w:r w:rsidR="00CD30B9" w:rsidRPr="00CD30B9">
        <w:rPr>
          <w:rFonts w:ascii="Times New Roman" w:hAnsi="Times New Roman" w:cs="Times New Roman"/>
          <w:sz w:val="28"/>
          <w:szCs w:val="28"/>
          <w:lang w:val="en-US"/>
        </w:rPr>
        <w:t xml:space="preserve"> These differences underscore the diversity of adaptive strategies </w:t>
      </w:r>
      <w:r>
        <w:rPr>
          <w:rFonts w:ascii="Times New Roman" w:hAnsi="Times New Roman" w:cs="Times New Roman"/>
          <w:sz w:val="28"/>
          <w:szCs w:val="28"/>
          <w:lang w:val="en-US"/>
        </w:rPr>
        <w:t xml:space="preserve">among conifers </w:t>
      </w:r>
      <w:r w:rsidR="00CD30B9" w:rsidRPr="00CD30B9">
        <w:rPr>
          <w:rFonts w:ascii="Times New Roman" w:hAnsi="Times New Roman" w:cs="Times New Roman"/>
          <w:sz w:val="28"/>
          <w:szCs w:val="28"/>
          <w:lang w:val="en-US"/>
        </w:rPr>
        <w:t>and the potential for shifts in species distribution</w:t>
      </w:r>
      <w:r>
        <w:rPr>
          <w:rFonts w:ascii="Times New Roman" w:hAnsi="Times New Roman" w:cs="Times New Roman"/>
          <w:sz w:val="28"/>
          <w:szCs w:val="28"/>
          <w:lang w:val="en-US"/>
        </w:rPr>
        <w:t xml:space="preserve"> under </w:t>
      </w:r>
      <w:r w:rsidR="00832967">
        <w:rPr>
          <w:rFonts w:ascii="Times New Roman" w:hAnsi="Times New Roman" w:cs="Times New Roman"/>
          <w:sz w:val="28"/>
          <w:szCs w:val="28"/>
          <w:lang w:val="en-US"/>
        </w:rPr>
        <w:t>continued</w:t>
      </w:r>
      <w:r>
        <w:rPr>
          <w:rFonts w:ascii="Times New Roman" w:hAnsi="Times New Roman" w:cs="Times New Roman"/>
          <w:sz w:val="28"/>
          <w:szCs w:val="28"/>
          <w:lang w:val="en-US"/>
        </w:rPr>
        <w:t xml:space="preserve"> warming</w:t>
      </w:r>
      <w:r w:rsidR="00CD30B9" w:rsidRPr="00CD30B9">
        <w:rPr>
          <w:rFonts w:ascii="Times New Roman" w:hAnsi="Times New Roman" w:cs="Times New Roman"/>
          <w:sz w:val="28"/>
          <w:szCs w:val="28"/>
          <w:lang w:val="en-US"/>
        </w:rPr>
        <w:t>.</w:t>
      </w:r>
    </w:p>
    <w:p w14:paraId="545D00F3" w14:textId="70386BED" w:rsidR="00CD30B9" w:rsidRDefault="00832967" w:rsidP="00CD30B9">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In conclusion,</w:t>
      </w:r>
      <w:r w:rsidR="00CD30B9" w:rsidRPr="00CD30B9">
        <w:rPr>
          <w:rFonts w:ascii="Times New Roman" w:hAnsi="Times New Roman" w:cs="Times New Roman"/>
          <w:sz w:val="28"/>
          <w:szCs w:val="28"/>
          <w:lang w:val="en-US"/>
        </w:rPr>
        <w:t xml:space="preserve"> the climatic responses of conifers in the forest</w:t>
      </w:r>
      <w:r w:rsidR="002F1302">
        <w:rPr>
          <w:rFonts w:ascii="Times New Roman" w:hAnsi="Times New Roman" w:cs="Times New Roman"/>
          <w:sz w:val="28"/>
          <w:szCs w:val="28"/>
          <w:lang w:val="en-US"/>
        </w:rPr>
        <w:t>-</w:t>
      </w:r>
      <w:r w:rsidR="00CD30B9" w:rsidRPr="00CD30B9">
        <w:rPr>
          <w:rFonts w:ascii="Times New Roman" w:hAnsi="Times New Roman" w:cs="Times New Roman"/>
          <w:sz w:val="28"/>
          <w:szCs w:val="28"/>
          <w:lang w:val="en-US"/>
        </w:rPr>
        <w:t xml:space="preserve">tundra </w:t>
      </w:r>
      <w:r>
        <w:rPr>
          <w:rFonts w:ascii="Times New Roman" w:hAnsi="Times New Roman" w:cs="Times New Roman"/>
          <w:sz w:val="28"/>
          <w:szCs w:val="28"/>
          <w:lang w:val="en-US"/>
        </w:rPr>
        <w:t xml:space="preserve">ecotone </w:t>
      </w:r>
      <w:r w:rsidR="00CD30B9" w:rsidRPr="00CD30B9">
        <w:rPr>
          <w:rFonts w:ascii="Times New Roman" w:hAnsi="Times New Roman" w:cs="Times New Roman"/>
          <w:sz w:val="28"/>
          <w:szCs w:val="28"/>
          <w:lang w:val="en-US"/>
        </w:rPr>
        <w:t>vary by region and species</w:t>
      </w:r>
      <w:r>
        <w:rPr>
          <w:rFonts w:ascii="Times New Roman" w:hAnsi="Times New Roman" w:cs="Times New Roman"/>
          <w:sz w:val="28"/>
          <w:szCs w:val="28"/>
          <w:lang w:val="en-US"/>
        </w:rPr>
        <w:t>, with</w:t>
      </w:r>
      <w:r w:rsidRPr="00CD30B9">
        <w:rPr>
          <w:rFonts w:ascii="Times New Roman" w:hAnsi="Times New Roman" w:cs="Times New Roman"/>
          <w:sz w:val="28"/>
          <w:szCs w:val="28"/>
          <w:lang w:val="en-US"/>
        </w:rPr>
        <w:t xml:space="preserve"> </w:t>
      </w:r>
      <w:r w:rsidR="00CD30B9" w:rsidRPr="00856F18">
        <w:rPr>
          <w:rFonts w:ascii="Times New Roman" w:hAnsi="Times New Roman" w:cs="Times New Roman"/>
          <w:i/>
          <w:sz w:val="28"/>
          <w:szCs w:val="28"/>
          <w:lang w:val="en-US"/>
        </w:rPr>
        <w:t>P. sylvestris</w:t>
      </w:r>
      <w:r w:rsidR="00CD30B9" w:rsidRPr="00CD30B9">
        <w:rPr>
          <w:rFonts w:ascii="Times New Roman" w:hAnsi="Times New Roman" w:cs="Times New Roman"/>
          <w:sz w:val="28"/>
          <w:szCs w:val="28"/>
          <w:lang w:val="en-US"/>
        </w:rPr>
        <w:t xml:space="preserve"> </w:t>
      </w:r>
      <w:r>
        <w:rPr>
          <w:rFonts w:ascii="Times New Roman" w:hAnsi="Times New Roman" w:cs="Times New Roman"/>
          <w:sz w:val="28"/>
          <w:szCs w:val="28"/>
          <w:lang w:val="en-US"/>
        </w:rPr>
        <w:t>showing</w:t>
      </w:r>
      <w:r w:rsidRPr="00CD30B9">
        <w:rPr>
          <w:rFonts w:ascii="Times New Roman" w:hAnsi="Times New Roman" w:cs="Times New Roman"/>
          <w:sz w:val="28"/>
          <w:szCs w:val="28"/>
          <w:lang w:val="en-US"/>
        </w:rPr>
        <w:t xml:space="preserve"> sensitiv</w:t>
      </w:r>
      <w:r>
        <w:rPr>
          <w:rFonts w:ascii="Times New Roman" w:hAnsi="Times New Roman" w:cs="Times New Roman"/>
          <w:sz w:val="28"/>
          <w:szCs w:val="28"/>
          <w:lang w:val="en-US"/>
        </w:rPr>
        <w:t>ity</w:t>
      </w:r>
      <w:r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to July</w:t>
      </w:r>
      <w:r>
        <w:rPr>
          <w:rFonts w:ascii="Times New Roman" w:hAnsi="Times New Roman" w:cs="Times New Roman"/>
          <w:sz w:val="28"/>
          <w:szCs w:val="28"/>
          <w:lang w:val="en-US"/>
        </w:rPr>
        <w:t xml:space="preserve"> temperatures</w:t>
      </w:r>
      <w:r w:rsidR="00CD30B9" w:rsidRPr="00CD30B9">
        <w:rPr>
          <w:rFonts w:ascii="Times New Roman" w:hAnsi="Times New Roman" w:cs="Times New Roman"/>
          <w:sz w:val="28"/>
          <w:szCs w:val="28"/>
          <w:lang w:val="en-US"/>
        </w:rPr>
        <w:t xml:space="preserve">, while </w:t>
      </w:r>
      <w:r w:rsidR="00CD30B9" w:rsidRPr="00856F18">
        <w:rPr>
          <w:rFonts w:ascii="Times New Roman" w:hAnsi="Times New Roman" w:cs="Times New Roman"/>
          <w:i/>
          <w:sz w:val="28"/>
          <w:szCs w:val="28"/>
          <w:lang w:val="en-US"/>
        </w:rPr>
        <w:t xml:space="preserve">Larix </w:t>
      </w:r>
      <w:r w:rsidR="00514A8B" w:rsidRPr="00DB6237">
        <w:rPr>
          <w:rFonts w:ascii="Times New Roman" w:hAnsi="Times New Roman" w:cs="Times New Roman"/>
          <w:iCs/>
          <w:sz w:val="28"/>
          <w:szCs w:val="28"/>
          <w:lang w:val="en-US"/>
        </w:rPr>
        <w:t>species</w:t>
      </w:r>
      <w:r w:rsidR="00CD30B9" w:rsidRPr="00CD30B9">
        <w:rPr>
          <w:rFonts w:ascii="Times New Roman" w:hAnsi="Times New Roman" w:cs="Times New Roman"/>
          <w:sz w:val="28"/>
          <w:szCs w:val="28"/>
          <w:lang w:val="en-US"/>
        </w:rPr>
        <w:t xml:space="preserve"> respond</w:t>
      </w:r>
      <w:r w:rsidR="00514A8B">
        <w:rPr>
          <w:rFonts w:ascii="Times New Roman" w:hAnsi="Times New Roman" w:cs="Times New Roman"/>
          <w:sz w:val="28"/>
          <w:szCs w:val="28"/>
          <w:lang w:val="en-US"/>
        </w:rPr>
        <w:t>ing</w:t>
      </w:r>
      <w:r w:rsidR="00CD30B9" w:rsidRPr="00CD30B9">
        <w:rPr>
          <w:rFonts w:ascii="Times New Roman" w:hAnsi="Times New Roman" w:cs="Times New Roman"/>
          <w:sz w:val="28"/>
          <w:szCs w:val="28"/>
          <w:lang w:val="en-US"/>
        </w:rPr>
        <w:t xml:space="preserve"> to June</w:t>
      </w:r>
      <w:r w:rsidR="00514A8B">
        <w:rPr>
          <w:rFonts w:ascii="Times New Roman" w:hAnsi="Times New Roman" w:cs="Times New Roman"/>
          <w:sz w:val="28"/>
          <w:szCs w:val="28"/>
          <w:lang w:val="en-US"/>
        </w:rPr>
        <w:t xml:space="preserve"> temperatures</w:t>
      </w:r>
      <w:r w:rsidR="00CD30B9" w:rsidRPr="00CD30B9">
        <w:rPr>
          <w:rFonts w:ascii="Times New Roman" w:hAnsi="Times New Roman" w:cs="Times New Roman"/>
          <w:sz w:val="28"/>
          <w:szCs w:val="28"/>
          <w:lang w:val="en-US"/>
        </w:rPr>
        <w:t xml:space="preserve">. </w:t>
      </w:r>
      <w:r w:rsidR="00514A8B" w:rsidRPr="00CD30B9">
        <w:rPr>
          <w:rFonts w:ascii="Times New Roman" w:hAnsi="Times New Roman" w:cs="Times New Roman"/>
          <w:sz w:val="28"/>
          <w:szCs w:val="28"/>
          <w:lang w:val="en-US"/>
        </w:rPr>
        <w:t>Th</w:t>
      </w:r>
      <w:r w:rsidR="00514A8B">
        <w:rPr>
          <w:rFonts w:ascii="Times New Roman" w:hAnsi="Times New Roman" w:cs="Times New Roman"/>
          <w:sz w:val="28"/>
          <w:szCs w:val="28"/>
          <w:lang w:val="en-US"/>
        </w:rPr>
        <w:t>ese patterns</w:t>
      </w:r>
      <w:r w:rsidR="00514A8B" w:rsidRPr="00CD30B9">
        <w:rPr>
          <w:rFonts w:ascii="Times New Roman" w:hAnsi="Times New Roman" w:cs="Times New Roman"/>
          <w:sz w:val="28"/>
          <w:szCs w:val="28"/>
          <w:lang w:val="en-US"/>
        </w:rPr>
        <w:t xml:space="preserve"> </w:t>
      </w:r>
      <w:r w:rsidR="00CD30B9" w:rsidRPr="00CD30B9">
        <w:rPr>
          <w:rFonts w:ascii="Times New Roman" w:hAnsi="Times New Roman" w:cs="Times New Roman"/>
          <w:sz w:val="28"/>
          <w:szCs w:val="28"/>
          <w:lang w:val="en-US"/>
        </w:rPr>
        <w:t xml:space="preserve">reflect their ecological niches and may lead to changes in competition and community structure </w:t>
      </w:r>
      <w:r w:rsidR="00514A8B">
        <w:rPr>
          <w:rFonts w:ascii="Times New Roman" w:hAnsi="Times New Roman" w:cs="Times New Roman"/>
          <w:sz w:val="28"/>
          <w:szCs w:val="28"/>
          <w:lang w:val="en-US"/>
        </w:rPr>
        <w:t>as Arctic warming progress</w:t>
      </w:r>
      <w:r w:rsidR="00CD30B9" w:rsidRPr="00CD30B9">
        <w:rPr>
          <w:rFonts w:ascii="Times New Roman" w:hAnsi="Times New Roman" w:cs="Times New Roman"/>
          <w:sz w:val="28"/>
          <w:szCs w:val="28"/>
          <w:lang w:val="en-US"/>
        </w:rPr>
        <w:t>.</w:t>
      </w:r>
    </w:p>
    <w:p w14:paraId="0EFA562D"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34C8C567"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b/>
          <w:sz w:val="28"/>
          <w:szCs w:val="28"/>
          <w:lang w:val="en-US"/>
        </w:rPr>
        <w:t>Key words:</w:t>
      </w:r>
      <w:r w:rsidRPr="00CD30B9">
        <w:rPr>
          <w:rFonts w:ascii="Times New Roman" w:hAnsi="Times New Roman" w:cs="Times New Roman"/>
          <w:sz w:val="28"/>
          <w:szCs w:val="28"/>
          <w:lang w:val="en-US"/>
        </w:rPr>
        <w:t xml:space="preserve"> warming, coniferous species, permafrost,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radial growth.</w:t>
      </w:r>
    </w:p>
    <w:p w14:paraId="1549DE15"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4DD9810D" w14:textId="2EBC8881" w:rsid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This work was carried out with the support of the Ministry of Science and Higher Education of the Russian Federation [FSRZ</w:t>
      </w:r>
      <w:r w:rsidR="002F1302">
        <w:rPr>
          <w:rFonts w:ascii="Times New Roman" w:hAnsi="Times New Roman" w:cs="Times New Roman"/>
          <w:sz w:val="28"/>
          <w:szCs w:val="28"/>
          <w:lang w:val="en-US"/>
        </w:rPr>
        <w:t>-</w:t>
      </w:r>
      <w:r w:rsidRPr="00CD30B9">
        <w:rPr>
          <w:rFonts w:ascii="Times New Roman" w:hAnsi="Times New Roman" w:cs="Times New Roman"/>
          <w:sz w:val="28"/>
          <w:szCs w:val="28"/>
          <w:lang w:val="en-US"/>
        </w:rPr>
        <w:t>2020</w:t>
      </w:r>
      <w:r w:rsidR="002F1302">
        <w:rPr>
          <w:rFonts w:ascii="Times New Roman" w:hAnsi="Times New Roman" w:cs="Times New Roman"/>
          <w:sz w:val="28"/>
          <w:szCs w:val="28"/>
          <w:lang w:val="en-US"/>
        </w:rPr>
        <w:t>-</w:t>
      </w:r>
      <w:r w:rsidRPr="00CD30B9">
        <w:rPr>
          <w:rFonts w:ascii="Times New Roman" w:hAnsi="Times New Roman" w:cs="Times New Roman"/>
          <w:sz w:val="28"/>
          <w:szCs w:val="28"/>
          <w:lang w:val="en-US"/>
        </w:rPr>
        <w:t>0014].</w:t>
      </w:r>
    </w:p>
    <w:p w14:paraId="2C38BD1F"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17BC093C" w14:textId="77777777" w:rsidR="00CD30B9" w:rsidRPr="00CD30B9" w:rsidRDefault="00CD30B9" w:rsidP="00CD30B9">
      <w:pPr>
        <w:spacing w:after="0" w:line="240" w:lineRule="auto"/>
        <w:ind w:firstLine="709"/>
        <w:contextualSpacing/>
        <w:jc w:val="both"/>
        <w:rPr>
          <w:rFonts w:ascii="Times New Roman" w:hAnsi="Times New Roman" w:cs="Times New Roman"/>
          <w:b/>
          <w:sz w:val="28"/>
          <w:szCs w:val="28"/>
          <w:lang w:val="en-US"/>
        </w:rPr>
      </w:pPr>
      <w:r w:rsidRPr="00CD30B9">
        <w:rPr>
          <w:rFonts w:ascii="Times New Roman" w:hAnsi="Times New Roman" w:cs="Times New Roman"/>
          <w:b/>
          <w:sz w:val="28"/>
          <w:szCs w:val="28"/>
          <w:lang w:val="en-US"/>
        </w:rPr>
        <w:t>References</w:t>
      </w:r>
    </w:p>
    <w:p w14:paraId="23BAF467" w14:textId="77777777" w:rsidR="00CD30B9" w:rsidRDefault="00CD30B9" w:rsidP="00CD30B9">
      <w:pPr>
        <w:pStyle w:val="a4"/>
        <w:numPr>
          <w:ilvl w:val="0"/>
          <w:numId w:val="2"/>
        </w:numPr>
        <w:spacing w:after="0" w:line="240" w:lineRule="auto"/>
        <w:ind w:left="0" w:firstLine="709"/>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Vaganov E. A., Hughes M. K., Kirdyanov A. V. et al. Influence of snowfall and melt timing on tree growth in subarctic Eurasia // Nature. 1999. № 400. </w:t>
      </w:r>
      <w:r w:rsidRPr="00CD30B9">
        <w:rPr>
          <w:rFonts w:ascii="Times New Roman" w:hAnsi="Times New Roman" w:cs="Times New Roman"/>
          <w:sz w:val="28"/>
          <w:szCs w:val="28"/>
        </w:rPr>
        <w:t>С</w:t>
      </w:r>
      <w:r w:rsidRPr="00CD30B9">
        <w:rPr>
          <w:rFonts w:ascii="Times New Roman" w:hAnsi="Times New Roman" w:cs="Times New Roman"/>
          <w:sz w:val="28"/>
          <w:szCs w:val="28"/>
          <w:lang w:val="en-US"/>
        </w:rPr>
        <w:t xml:space="preserve">. </w:t>
      </w:r>
      <w:proofErr w:type="gramStart"/>
      <w:r w:rsidRPr="00CD30B9">
        <w:rPr>
          <w:rFonts w:ascii="Times New Roman" w:hAnsi="Times New Roman" w:cs="Times New Roman"/>
          <w:sz w:val="28"/>
          <w:szCs w:val="28"/>
          <w:lang w:val="en-US"/>
        </w:rPr>
        <w:t xml:space="preserve">149 </w:t>
      </w:r>
      <w:r w:rsidR="002F1302">
        <w:rPr>
          <w:rFonts w:ascii="Times New Roman" w:hAnsi="Times New Roman" w:cs="Times New Roman"/>
          <w:sz w:val="28"/>
          <w:szCs w:val="28"/>
          <w:lang w:val="en-US"/>
        </w:rPr>
        <w:t xml:space="preserve"> -</w:t>
      </w:r>
      <w:proofErr w:type="gramEnd"/>
      <w:r w:rsidR="002F1302">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 xml:space="preserve"> 151. </w:t>
      </w:r>
    </w:p>
    <w:p w14:paraId="563ED055" w14:textId="77777777" w:rsidR="00F974F2" w:rsidRDefault="00CD30B9" w:rsidP="00F974F2">
      <w:pPr>
        <w:pStyle w:val="a4"/>
        <w:numPr>
          <w:ilvl w:val="0"/>
          <w:numId w:val="2"/>
        </w:numPr>
        <w:spacing w:after="0" w:line="240" w:lineRule="auto"/>
        <w:ind w:left="0" w:firstLine="709"/>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Kirdyanov, A.V., Prokushkin, A.S., Tabakova, M.A., 2013. Tree</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ring growth of Gmelin larch under contrasting local conditions in the north of Central Siberia. Dendrochronologia, 114</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119.  </w:t>
      </w:r>
    </w:p>
    <w:p w14:paraId="42CB4091" w14:textId="77777777" w:rsidR="00CD30B9" w:rsidRPr="00F974F2" w:rsidRDefault="00F974F2" w:rsidP="00F974F2">
      <w:pPr>
        <w:pStyle w:val="a4"/>
        <w:numPr>
          <w:ilvl w:val="0"/>
          <w:numId w:val="2"/>
        </w:numPr>
        <w:spacing w:after="0" w:line="240" w:lineRule="auto"/>
        <w:ind w:left="0" w:firstLine="709"/>
        <w:jc w:val="both"/>
        <w:rPr>
          <w:rFonts w:ascii="Times New Roman" w:hAnsi="Times New Roman" w:cs="Times New Roman"/>
          <w:sz w:val="28"/>
          <w:szCs w:val="28"/>
          <w:lang w:val="en-US"/>
        </w:rPr>
      </w:pPr>
      <w:r w:rsidRPr="00F974F2">
        <w:rPr>
          <w:rFonts w:ascii="Times New Roman" w:hAnsi="Times New Roman" w:cs="Times New Roman"/>
          <w:sz w:val="28"/>
          <w:szCs w:val="28"/>
          <w:lang w:val="en-US"/>
        </w:rPr>
        <w:t>Overland, J.E., Wang, M., Walsh, J.E., Stroeve, J.C., 2019. Future Arctic climate changes: Adaptation and mitigation timescales. Earth’s Future 7, 111</w:t>
      </w:r>
      <w:r w:rsidR="002F1302">
        <w:rPr>
          <w:rFonts w:ascii="Times New Roman" w:hAnsi="Times New Roman" w:cs="Times New Roman"/>
          <w:sz w:val="28"/>
          <w:szCs w:val="28"/>
          <w:lang w:val="en-US"/>
        </w:rPr>
        <w:t xml:space="preserve"> </w:t>
      </w:r>
      <w:r w:rsidR="002F1302">
        <w:rPr>
          <w:rFonts w:ascii="Times New Roman" w:hAnsi="Times New Roman" w:cs="Times New Roman"/>
          <w:sz w:val="28"/>
          <w:szCs w:val="28"/>
          <w:lang w:val="en-US"/>
        </w:rPr>
        <w:lastRenderedPageBreak/>
        <w:t xml:space="preserve">- </w:t>
      </w:r>
      <w:r w:rsidRPr="00F974F2">
        <w:rPr>
          <w:rFonts w:ascii="Times New Roman" w:hAnsi="Times New Roman" w:cs="Times New Roman"/>
          <w:sz w:val="28"/>
          <w:szCs w:val="28"/>
          <w:lang w:val="en-US"/>
        </w:rPr>
        <w:t xml:space="preserve">123. </w:t>
      </w:r>
      <w:r w:rsidR="00CD30B9" w:rsidRPr="00F974F2">
        <w:rPr>
          <w:rFonts w:ascii="Times New Roman" w:hAnsi="Times New Roman" w:cs="Times New Roman"/>
          <w:sz w:val="28"/>
          <w:szCs w:val="28"/>
          <w:lang w:val="en-US"/>
        </w:rPr>
        <w:cr/>
      </w:r>
    </w:p>
    <w:p w14:paraId="0A78E5E7" w14:textId="77777777" w:rsidR="00737B71" w:rsidRPr="00CD30B9" w:rsidRDefault="00CD30B9" w:rsidP="00CD30B9">
      <w:pPr>
        <w:spacing w:after="0" w:line="240" w:lineRule="auto"/>
        <w:ind w:left="720"/>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cr/>
      </w:r>
    </w:p>
    <w:sectPr w:rsidR="00737B71" w:rsidRPr="00CD3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3FA6"/>
    <w:multiLevelType w:val="hybridMultilevel"/>
    <w:tmpl w:val="22CA11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98F1E86"/>
    <w:multiLevelType w:val="multilevel"/>
    <w:tmpl w:val="764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975696">
    <w:abstractNumId w:val="1"/>
  </w:num>
  <w:num w:numId="2" w16cid:durableId="149495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7E"/>
    <w:rsid w:val="00063BC7"/>
    <w:rsid w:val="00105EEB"/>
    <w:rsid w:val="00107E0D"/>
    <w:rsid w:val="00164986"/>
    <w:rsid w:val="0025559F"/>
    <w:rsid w:val="00280CB0"/>
    <w:rsid w:val="002F1302"/>
    <w:rsid w:val="00342697"/>
    <w:rsid w:val="00360EC7"/>
    <w:rsid w:val="003F72B0"/>
    <w:rsid w:val="0044537E"/>
    <w:rsid w:val="0050138D"/>
    <w:rsid w:val="00514A8B"/>
    <w:rsid w:val="00737B71"/>
    <w:rsid w:val="00784AE1"/>
    <w:rsid w:val="007F2248"/>
    <w:rsid w:val="00832967"/>
    <w:rsid w:val="008334F4"/>
    <w:rsid w:val="00856F18"/>
    <w:rsid w:val="008E3AEC"/>
    <w:rsid w:val="009A1370"/>
    <w:rsid w:val="00B915CF"/>
    <w:rsid w:val="00C506D7"/>
    <w:rsid w:val="00CD30B9"/>
    <w:rsid w:val="00D363C5"/>
    <w:rsid w:val="00DB6237"/>
    <w:rsid w:val="00EB2B60"/>
    <w:rsid w:val="00F97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1811"/>
  <w15:chartTrackingRefBased/>
  <w15:docId w15:val="{3DCDB2B3-70C6-4D71-A61C-18ADC986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4F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4F4"/>
    <w:rPr>
      <w:color w:val="0563C1" w:themeColor="hyperlink"/>
      <w:u w:val="single"/>
    </w:rPr>
  </w:style>
  <w:style w:type="paragraph" w:styleId="a4">
    <w:name w:val="List Paragraph"/>
    <w:basedOn w:val="a"/>
    <w:uiPriority w:val="34"/>
    <w:qFormat/>
    <w:rsid w:val="007F2248"/>
    <w:pPr>
      <w:ind w:left="720"/>
      <w:contextualSpacing/>
    </w:pPr>
  </w:style>
  <w:style w:type="paragraph" w:styleId="a5">
    <w:name w:val="Revision"/>
    <w:hidden/>
    <w:uiPriority w:val="99"/>
    <w:semiHidden/>
    <w:rsid w:val="00342697"/>
    <w:pPr>
      <w:spacing w:after="0" w:line="240" w:lineRule="auto"/>
    </w:pPr>
  </w:style>
  <w:style w:type="character" w:styleId="a6">
    <w:name w:val="annotation reference"/>
    <w:basedOn w:val="a0"/>
    <w:uiPriority w:val="99"/>
    <w:semiHidden/>
    <w:unhideWhenUsed/>
    <w:rsid w:val="00342697"/>
    <w:rPr>
      <w:sz w:val="16"/>
      <w:szCs w:val="16"/>
    </w:rPr>
  </w:style>
  <w:style w:type="paragraph" w:styleId="a7">
    <w:name w:val="annotation text"/>
    <w:basedOn w:val="a"/>
    <w:link w:val="a8"/>
    <w:uiPriority w:val="99"/>
    <w:unhideWhenUsed/>
    <w:rsid w:val="00342697"/>
    <w:pPr>
      <w:spacing w:line="240" w:lineRule="auto"/>
    </w:pPr>
    <w:rPr>
      <w:sz w:val="20"/>
      <w:szCs w:val="20"/>
    </w:rPr>
  </w:style>
  <w:style w:type="character" w:customStyle="1" w:styleId="a8">
    <w:name w:val="Текст примечания Знак"/>
    <w:basedOn w:val="a0"/>
    <w:link w:val="a7"/>
    <w:uiPriority w:val="99"/>
    <w:rsid w:val="00342697"/>
    <w:rPr>
      <w:sz w:val="20"/>
      <w:szCs w:val="20"/>
    </w:rPr>
  </w:style>
  <w:style w:type="paragraph" w:styleId="a9">
    <w:name w:val="annotation subject"/>
    <w:basedOn w:val="a7"/>
    <w:next w:val="a7"/>
    <w:link w:val="aa"/>
    <w:uiPriority w:val="99"/>
    <w:semiHidden/>
    <w:unhideWhenUsed/>
    <w:rsid w:val="00342697"/>
    <w:rPr>
      <w:b/>
      <w:bCs/>
    </w:rPr>
  </w:style>
  <w:style w:type="character" w:customStyle="1" w:styleId="aa">
    <w:name w:val="Тема примечания Знак"/>
    <w:basedOn w:val="a8"/>
    <w:link w:val="a9"/>
    <w:uiPriority w:val="99"/>
    <w:semiHidden/>
    <w:rsid w:val="003426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917697">
      <w:bodyDiv w:val="1"/>
      <w:marLeft w:val="0"/>
      <w:marRight w:val="0"/>
      <w:marTop w:val="0"/>
      <w:marBottom w:val="0"/>
      <w:divBdr>
        <w:top w:val="none" w:sz="0" w:space="0" w:color="auto"/>
        <w:left w:val="none" w:sz="0" w:space="0" w:color="auto"/>
        <w:bottom w:val="none" w:sz="0" w:space="0" w:color="auto"/>
        <w:right w:val="none" w:sz="0" w:space="0" w:color="auto"/>
      </w:divBdr>
      <w:divsChild>
        <w:div w:id="2003116432">
          <w:marLeft w:val="0"/>
          <w:marRight w:val="0"/>
          <w:marTop w:val="0"/>
          <w:marBottom w:val="0"/>
          <w:divBdr>
            <w:top w:val="none" w:sz="0" w:space="0" w:color="auto"/>
            <w:left w:val="none" w:sz="0" w:space="0" w:color="auto"/>
            <w:bottom w:val="none" w:sz="0" w:space="0" w:color="auto"/>
            <w:right w:val="none" w:sz="0" w:space="0" w:color="auto"/>
          </w:divBdr>
        </w:div>
      </w:divsChild>
    </w:div>
    <w:div w:id="1490904251">
      <w:bodyDiv w:val="1"/>
      <w:marLeft w:val="0"/>
      <w:marRight w:val="0"/>
      <w:marTop w:val="0"/>
      <w:marBottom w:val="0"/>
      <w:divBdr>
        <w:top w:val="none" w:sz="0" w:space="0" w:color="auto"/>
        <w:left w:val="none" w:sz="0" w:space="0" w:color="auto"/>
        <w:bottom w:val="none" w:sz="0" w:space="0" w:color="auto"/>
        <w:right w:val="none" w:sz="0" w:space="0" w:color="auto"/>
      </w:divBdr>
    </w:div>
    <w:div w:id="1611931169">
      <w:bodyDiv w:val="1"/>
      <w:marLeft w:val="0"/>
      <w:marRight w:val="0"/>
      <w:marTop w:val="0"/>
      <w:marBottom w:val="0"/>
      <w:divBdr>
        <w:top w:val="none" w:sz="0" w:space="0" w:color="auto"/>
        <w:left w:val="none" w:sz="0" w:space="0" w:color="auto"/>
        <w:bottom w:val="none" w:sz="0" w:space="0" w:color="auto"/>
        <w:right w:val="none" w:sz="0" w:space="0" w:color="auto"/>
      </w:divBdr>
      <w:divsChild>
        <w:div w:id="657853320">
          <w:marLeft w:val="0"/>
          <w:marRight w:val="0"/>
          <w:marTop w:val="0"/>
          <w:marBottom w:val="0"/>
          <w:divBdr>
            <w:top w:val="none" w:sz="0" w:space="0" w:color="auto"/>
            <w:left w:val="none" w:sz="0" w:space="0" w:color="auto"/>
            <w:bottom w:val="none" w:sz="0" w:space="0" w:color="auto"/>
            <w:right w:val="none" w:sz="0" w:space="0" w:color="auto"/>
          </w:divBdr>
          <w:divsChild>
            <w:div w:id="849098908">
              <w:marLeft w:val="0"/>
              <w:marRight w:val="0"/>
              <w:marTop w:val="0"/>
              <w:marBottom w:val="0"/>
              <w:divBdr>
                <w:top w:val="single" w:sz="2" w:space="0" w:color="000000"/>
                <w:left w:val="single" w:sz="2" w:space="0" w:color="000000"/>
                <w:bottom w:val="single" w:sz="2" w:space="0" w:color="000000"/>
                <w:right w:val="single" w:sz="2" w:space="0" w:color="000000"/>
              </w:divBdr>
            </w:div>
            <w:div w:id="1674142720">
              <w:marLeft w:val="0"/>
              <w:marRight w:val="0"/>
              <w:marTop w:val="0"/>
              <w:marBottom w:val="0"/>
              <w:divBdr>
                <w:top w:val="single" w:sz="2" w:space="0" w:color="000000"/>
                <w:left w:val="single" w:sz="2" w:space="0" w:color="000000"/>
                <w:bottom w:val="single" w:sz="2" w:space="0" w:color="000000"/>
                <w:right w:val="single" w:sz="2" w:space="0" w:color="000000"/>
              </w:divBdr>
            </w:div>
            <w:div w:id="216815942">
              <w:marLeft w:val="0"/>
              <w:marRight w:val="0"/>
              <w:marTop w:val="0"/>
              <w:marBottom w:val="0"/>
              <w:divBdr>
                <w:top w:val="single" w:sz="2" w:space="0" w:color="000000"/>
                <w:left w:val="single" w:sz="2" w:space="0" w:color="000000"/>
                <w:bottom w:val="single" w:sz="2" w:space="0" w:color="000000"/>
                <w:right w:val="single" w:sz="2" w:space="0" w:color="000000"/>
              </w:divBdr>
            </w:div>
            <w:div w:id="1981375860">
              <w:marLeft w:val="0"/>
              <w:marRight w:val="0"/>
              <w:marTop w:val="0"/>
              <w:marBottom w:val="0"/>
              <w:divBdr>
                <w:top w:val="single" w:sz="2" w:space="0" w:color="000000"/>
                <w:left w:val="single" w:sz="2" w:space="0" w:color="000000"/>
                <w:bottom w:val="single" w:sz="2" w:space="0" w:color="000000"/>
                <w:right w:val="single" w:sz="2" w:space="0" w:color="000000"/>
              </w:divBdr>
            </w:div>
            <w:div w:id="953946554">
              <w:marLeft w:val="0"/>
              <w:marRight w:val="0"/>
              <w:marTop w:val="0"/>
              <w:marBottom w:val="0"/>
              <w:divBdr>
                <w:top w:val="single" w:sz="2" w:space="0" w:color="000000"/>
                <w:left w:val="single" w:sz="2" w:space="0" w:color="000000"/>
                <w:bottom w:val="single" w:sz="2" w:space="0" w:color="000000"/>
                <w:right w:val="single" w:sz="2" w:space="0" w:color="000000"/>
              </w:divBdr>
            </w:div>
            <w:div w:id="134497581">
              <w:marLeft w:val="0"/>
              <w:marRight w:val="0"/>
              <w:marTop w:val="0"/>
              <w:marBottom w:val="0"/>
              <w:divBdr>
                <w:top w:val="single" w:sz="2" w:space="0" w:color="000000"/>
                <w:left w:val="single" w:sz="2" w:space="0" w:color="000000"/>
                <w:bottom w:val="single" w:sz="2" w:space="0" w:color="000000"/>
                <w:right w:val="single" w:sz="2" w:space="0" w:color="000000"/>
              </w:divBdr>
            </w:div>
            <w:div w:id="859052855">
              <w:marLeft w:val="0"/>
              <w:marRight w:val="0"/>
              <w:marTop w:val="0"/>
              <w:marBottom w:val="0"/>
              <w:divBdr>
                <w:top w:val="single" w:sz="2" w:space="0" w:color="000000"/>
                <w:left w:val="single" w:sz="2" w:space="0" w:color="000000"/>
                <w:bottom w:val="single" w:sz="2" w:space="0" w:color="000000"/>
                <w:right w:val="single" w:sz="2" w:space="0" w:color="000000"/>
              </w:divBdr>
            </w:div>
            <w:div w:id="30647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9120575">
      <w:bodyDiv w:val="1"/>
      <w:marLeft w:val="0"/>
      <w:marRight w:val="0"/>
      <w:marTop w:val="0"/>
      <w:marBottom w:val="0"/>
      <w:divBdr>
        <w:top w:val="none" w:sz="0" w:space="0" w:color="auto"/>
        <w:left w:val="none" w:sz="0" w:space="0" w:color="auto"/>
        <w:bottom w:val="none" w:sz="0" w:space="0" w:color="auto"/>
        <w:right w:val="none" w:sz="0" w:space="0" w:color="auto"/>
      </w:divBdr>
      <w:divsChild>
        <w:div w:id="1866676194">
          <w:marLeft w:val="0"/>
          <w:marRight w:val="0"/>
          <w:marTop w:val="0"/>
          <w:marBottom w:val="0"/>
          <w:divBdr>
            <w:top w:val="none" w:sz="0" w:space="0" w:color="auto"/>
            <w:left w:val="none" w:sz="0" w:space="0" w:color="auto"/>
            <w:bottom w:val="none" w:sz="0" w:space="0" w:color="auto"/>
            <w:right w:val="none" w:sz="0" w:space="0" w:color="auto"/>
          </w:divBdr>
          <w:divsChild>
            <w:div w:id="692850097">
              <w:marLeft w:val="0"/>
              <w:marRight w:val="0"/>
              <w:marTop w:val="0"/>
              <w:marBottom w:val="0"/>
              <w:divBdr>
                <w:top w:val="single" w:sz="2" w:space="0" w:color="000000"/>
                <w:left w:val="single" w:sz="2" w:space="0" w:color="000000"/>
                <w:bottom w:val="single" w:sz="2" w:space="0" w:color="000000"/>
                <w:right w:val="single" w:sz="2" w:space="0" w:color="000000"/>
              </w:divBdr>
            </w:div>
            <w:div w:id="1372802682">
              <w:marLeft w:val="0"/>
              <w:marRight w:val="0"/>
              <w:marTop w:val="0"/>
              <w:marBottom w:val="0"/>
              <w:divBdr>
                <w:top w:val="single" w:sz="2" w:space="0" w:color="000000"/>
                <w:left w:val="single" w:sz="2" w:space="0" w:color="000000"/>
                <w:bottom w:val="single" w:sz="2" w:space="0" w:color="000000"/>
                <w:right w:val="single" w:sz="2" w:space="0" w:color="000000"/>
              </w:divBdr>
            </w:div>
            <w:div w:id="992220040">
              <w:marLeft w:val="0"/>
              <w:marRight w:val="0"/>
              <w:marTop w:val="0"/>
              <w:marBottom w:val="0"/>
              <w:divBdr>
                <w:top w:val="single" w:sz="2" w:space="0" w:color="000000"/>
                <w:left w:val="single" w:sz="2" w:space="0" w:color="000000"/>
                <w:bottom w:val="single" w:sz="2" w:space="0" w:color="000000"/>
                <w:right w:val="single" w:sz="2" w:space="0" w:color="000000"/>
              </w:divBdr>
            </w:div>
            <w:div w:id="1169365008">
              <w:marLeft w:val="0"/>
              <w:marRight w:val="0"/>
              <w:marTop w:val="0"/>
              <w:marBottom w:val="0"/>
              <w:divBdr>
                <w:top w:val="single" w:sz="2" w:space="0" w:color="000000"/>
                <w:left w:val="single" w:sz="2" w:space="0" w:color="000000"/>
                <w:bottom w:val="single" w:sz="2" w:space="0" w:color="000000"/>
                <w:right w:val="single" w:sz="2" w:space="0" w:color="000000"/>
              </w:divBdr>
            </w:div>
            <w:div w:id="951477611">
              <w:marLeft w:val="0"/>
              <w:marRight w:val="0"/>
              <w:marTop w:val="0"/>
              <w:marBottom w:val="0"/>
              <w:divBdr>
                <w:top w:val="single" w:sz="2" w:space="0" w:color="000000"/>
                <w:left w:val="single" w:sz="2" w:space="0" w:color="000000"/>
                <w:bottom w:val="single" w:sz="2" w:space="0" w:color="000000"/>
                <w:right w:val="single" w:sz="2" w:space="0" w:color="000000"/>
              </w:divBdr>
            </w:div>
            <w:div w:id="178561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ogdanova@sfu-kras.ru" TargetMode="External"/><Relationship Id="rId5" Type="http://schemas.openxmlformats.org/officeDocument/2006/relationships/hyperlink" Target="mailto:kbogdanova@sfu-kras.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854</Words>
  <Characters>4873</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Kristina</cp:lastModifiedBy>
  <cp:revision>16</cp:revision>
  <dcterms:created xsi:type="dcterms:W3CDTF">2025-03-26T20:37:00Z</dcterms:created>
  <dcterms:modified xsi:type="dcterms:W3CDTF">2025-04-02T20:13:00Z</dcterms:modified>
</cp:coreProperties>
</file>