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2E" w:rsidRDefault="00FD762E">
      <w:pPr>
        <w:pStyle w:val="a3"/>
        <w:spacing w:before="2"/>
        <w:rPr>
          <w:sz w:val="14"/>
        </w:rPr>
      </w:pPr>
    </w:p>
    <w:p w:rsidR="004148C5" w:rsidRPr="004148C5" w:rsidRDefault="004148C5" w:rsidP="004148C5">
      <w:pPr>
        <w:pStyle w:val="a3"/>
        <w:ind w:left="993" w:right="1434" w:firstLine="567"/>
        <w:contextualSpacing/>
        <w:jc w:val="center"/>
        <w:rPr>
          <w:sz w:val="30"/>
          <w:szCs w:val="30"/>
        </w:rPr>
      </w:pPr>
      <w:r w:rsidRPr="004148C5">
        <w:rPr>
          <w:sz w:val="30"/>
          <w:szCs w:val="30"/>
        </w:rPr>
        <w:t xml:space="preserve">Согласие на обработку персональных данных </w:t>
      </w:r>
    </w:p>
    <w:p w:rsidR="004148C5" w:rsidRPr="004148C5" w:rsidRDefault="004148C5" w:rsidP="004148C5">
      <w:pPr>
        <w:pStyle w:val="a3"/>
        <w:ind w:left="993" w:right="1434" w:firstLine="567"/>
        <w:contextualSpacing/>
        <w:jc w:val="center"/>
        <w:rPr>
          <w:sz w:val="30"/>
          <w:szCs w:val="30"/>
        </w:rPr>
      </w:pPr>
      <w:r w:rsidRPr="004148C5">
        <w:rPr>
          <w:sz w:val="30"/>
          <w:szCs w:val="30"/>
        </w:rPr>
        <w:t xml:space="preserve">для Пользователей сайта </w:t>
      </w:r>
      <w:hyperlink r:id="rId5" w:history="1">
        <w:r w:rsidRPr="004148C5">
          <w:rPr>
            <w:rStyle w:val="a6"/>
            <w:sz w:val="30"/>
            <w:szCs w:val="30"/>
          </w:rPr>
          <w:t>https://kane-digital-group.ru/</w:t>
        </w:r>
      </w:hyperlink>
    </w:p>
    <w:p w:rsidR="004148C5" w:rsidRDefault="004148C5" w:rsidP="004148C5">
      <w:pPr>
        <w:pStyle w:val="a3"/>
        <w:ind w:left="993" w:right="1434" w:firstLine="567"/>
        <w:contextualSpacing/>
        <w:jc w:val="center"/>
      </w:pPr>
    </w:p>
    <w:p w:rsidR="00FD762E" w:rsidRDefault="00910D26" w:rsidP="004148C5">
      <w:pPr>
        <w:pStyle w:val="a3"/>
        <w:ind w:left="1418" w:right="1434" w:firstLine="567"/>
        <w:contextualSpacing/>
        <w:jc w:val="both"/>
      </w:pPr>
      <w:bookmarkStart w:id="0" w:name="_GoBack"/>
      <w:r>
        <w:t>Проставлением</w:t>
      </w:r>
      <w:r>
        <w:rPr>
          <w:spacing w:val="-9"/>
        </w:rPr>
        <w:t xml:space="preserve"> </w:t>
      </w:r>
      <w:r>
        <w:t>активного</w:t>
      </w:r>
      <w:r>
        <w:rPr>
          <w:spacing w:val="-7"/>
        </w:rPr>
        <w:t xml:space="preserve"> </w:t>
      </w:r>
      <w:r>
        <w:t>символа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настоящем</w:t>
      </w:r>
      <w:r>
        <w:rPr>
          <w:spacing w:val="-6"/>
        </w:rPr>
        <w:t xml:space="preserve"> </w:t>
      </w:r>
      <w:r>
        <w:t>окне,</w:t>
      </w:r>
      <w:r>
        <w:rPr>
          <w:spacing w:val="-4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размещении</w:t>
      </w:r>
      <w:r>
        <w:rPr>
          <w:spacing w:val="-5"/>
        </w:rPr>
        <w:t xml:space="preserve"> </w:t>
      </w:r>
      <w:r>
        <w:t>(вводе)</w:t>
      </w:r>
      <w:r>
        <w:rPr>
          <w:spacing w:val="-5"/>
        </w:rPr>
        <w:t xml:space="preserve"> </w:t>
      </w:r>
      <w:r>
        <w:t>своих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53"/>
        </w:rPr>
        <w:t xml:space="preserve"> </w:t>
      </w:r>
      <w:r>
        <w:t>данных на Интернет-сайте ООО «КЭЙН – ДИДЖИТАЛ ГРУПП»</w:t>
      </w:r>
      <w:r>
        <w:rPr>
          <w:spacing w:val="1"/>
        </w:rPr>
        <w:t xml:space="preserve"> </w:t>
      </w:r>
      <w:r w:rsidR="00C218D5" w:rsidRPr="00C218D5">
        <w:t>https://kane-digital-group.ru/</w:t>
      </w:r>
      <w:r>
        <w:t>, пользователь дает свое</w:t>
      </w:r>
      <w:r>
        <w:rPr>
          <w:spacing w:val="1"/>
        </w:rPr>
        <w:t xml:space="preserve"> </w:t>
      </w:r>
      <w:r>
        <w:t>согласие ООО «КЭЙН – ДИДЖИТАЛ ГРУПП» (</w:t>
      </w:r>
      <w:r w:rsidR="004148C5" w:rsidRPr="004148C5">
        <w:t>Кемеровская область, г. Ленинск-Кузнецкий, проспект Ленина, 63/2-60</w:t>
      </w:r>
      <w:r>
        <w:t>) на обработку 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подаче</w:t>
      </w:r>
      <w:r>
        <w:rPr>
          <w:spacing w:val="-2"/>
        </w:rPr>
        <w:t xml:space="preserve"> </w:t>
      </w:r>
      <w:r>
        <w:t>заявки,</w:t>
      </w:r>
      <w:r>
        <w:rPr>
          <w:spacing w:val="-6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t>условиями:</w:t>
      </w:r>
    </w:p>
    <w:bookmarkEnd w:id="0"/>
    <w:p w:rsidR="00FD762E" w:rsidRDefault="00FD762E" w:rsidP="00C218D5">
      <w:pPr>
        <w:pStyle w:val="a3"/>
        <w:contextualSpacing/>
      </w:pPr>
    </w:p>
    <w:p w:rsidR="00FD762E" w:rsidRDefault="00910D26" w:rsidP="00C218D5">
      <w:pPr>
        <w:pStyle w:val="a5"/>
        <w:numPr>
          <w:ilvl w:val="0"/>
          <w:numId w:val="1"/>
        </w:numPr>
        <w:tabs>
          <w:tab w:val="left" w:pos="1781"/>
        </w:tabs>
        <w:spacing w:before="0"/>
        <w:ind w:right="1437" w:firstLine="0"/>
        <w:contextualSpacing/>
      </w:pPr>
      <w:r>
        <w:t>Согласие</w:t>
      </w:r>
      <w:r>
        <w:rPr>
          <w:spacing w:val="7"/>
        </w:rPr>
        <w:t xml:space="preserve"> </w:t>
      </w:r>
      <w:r>
        <w:t>дается</w:t>
      </w:r>
      <w:r>
        <w:rPr>
          <w:spacing w:val="9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обработку</w:t>
      </w:r>
      <w:r>
        <w:rPr>
          <w:spacing w:val="8"/>
        </w:rPr>
        <w:t xml:space="preserve"> </w:t>
      </w:r>
      <w:r>
        <w:t>персональных</w:t>
      </w:r>
      <w:r>
        <w:rPr>
          <w:spacing w:val="10"/>
        </w:rPr>
        <w:t xml:space="preserve"> </w:t>
      </w:r>
      <w:r>
        <w:t>данных,</w:t>
      </w:r>
      <w:r>
        <w:rPr>
          <w:spacing w:val="7"/>
        </w:rPr>
        <w:t xml:space="preserve"> </w:t>
      </w:r>
      <w:r>
        <w:t>как</w:t>
      </w:r>
      <w:r>
        <w:rPr>
          <w:spacing w:val="8"/>
        </w:rPr>
        <w:t xml:space="preserve"> </w:t>
      </w:r>
      <w:r>
        <w:t>без</w:t>
      </w:r>
      <w:r>
        <w:rPr>
          <w:spacing w:val="8"/>
        </w:rPr>
        <w:t xml:space="preserve"> </w:t>
      </w:r>
      <w:r>
        <w:t>использования</w:t>
      </w:r>
      <w:r>
        <w:rPr>
          <w:spacing w:val="9"/>
        </w:rPr>
        <w:t xml:space="preserve"> </w:t>
      </w:r>
      <w:r>
        <w:t>средств</w:t>
      </w:r>
      <w:r>
        <w:rPr>
          <w:spacing w:val="-52"/>
        </w:rPr>
        <w:t xml:space="preserve"> </w:t>
      </w:r>
      <w:r>
        <w:t>автоматизации,</w:t>
      </w:r>
      <w:r>
        <w:rPr>
          <w:spacing w:val="-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 их</w:t>
      </w:r>
      <w:r>
        <w:rPr>
          <w:spacing w:val="-3"/>
        </w:rPr>
        <w:t xml:space="preserve"> </w:t>
      </w:r>
      <w:r>
        <w:t>использованием.</w:t>
      </w:r>
    </w:p>
    <w:p w:rsidR="00910D26" w:rsidRPr="00910D26" w:rsidRDefault="00910D26" w:rsidP="00C218D5">
      <w:pPr>
        <w:pStyle w:val="a5"/>
        <w:numPr>
          <w:ilvl w:val="0"/>
          <w:numId w:val="1"/>
        </w:numPr>
        <w:tabs>
          <w:tab w:val="left" w:pos="1662"/>
        </w:tabs>
        <w:spacing w:before="0"/>
        <w:ind w:left="2006" w:right="4411" w:hanging="567"/>
        <w:contextualSpacing/>
      </w:pPr>
      <w:r>
        <w:t>Согласие</w:t>
      </w:r>
      <w:r>
        <w:rPr>
          <w:spacing w:val="-2"/>
        </w:rPr>
        <w:t xml:space="preserve"> </w:t>
      </w:r>
      <w:r>
        <w:t>дается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данных:</w:t>
      </w:r>
      <w:r>
        <w:rPr>
          <w:spacing w:val="-52"/>
        </w:rPr>
        <w:t xml:space="preserve"> </w:t>
      </w:r>
    </w:p>
    <w:p w:rsidR="00FD762E" w:rsidRDefault="00910D26" w:rsidP="00C218D5">
      <w:pPr>
        <w:pStyle w:val="a5"/>
        <w:tabs>
          <w:tab w:val="left" w:pos="1662"/>
        </w:tabs>
        <w:spacing w:before="0"/>
        <w:ind w:left="2006" w:right="4411"/>
        <w:contextualSpacing/>
      </w:pPr>
      <w:r>
        <w:t>Фамилия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Отчество;</w:t>
      </w:r>
    </w:p>
    <w:p w:rsidR="00910D26" w:rsidRDefault="00910D26" w:rsidP="00C218D5">
      <w:pPr>
        <w:pStyle w:val="a3"/>
        <w:ind w:left="993" w:right="1041" w:firstLine="567"/>
        <w:contextualSpacing/>
        <w:rPr>
          <w:spacing w:val="-52"/>
        </w:rPr>
      </w:pPr>
      <w:r>
        <w:t xml:space="preserve">        Номера контактных телефонов;</w:t>
      </w:r>
      <w:r>
        <w:rPr>
          <w:spacing w:val="-52"/>
        </w:rPr>
        <w:t xml:space="preserve"> </w:t>
      </w:r>
    </w:p>
    <w:p w:rsidR="00FD762E" w:rsidRDefault="00910D26" w:rsidP="00C218D5">
      <w:pPr>
        <w:pStyle w:val="a3"/>
        <w:ind w:left="2006" w:right="7237"/>
        <w:contextualSpacing/>
      </w:pPr>
      <w:r>
        <w:t>Адреса</w:t>
      </w:r>
      <w:r>
        <w:rPr>
          <w:spacing w:val="-1"/>
        </w:rPr>
        <w:t xml:space="preserve"> </w:t>
      </w:r>
      <w:r>
        <w:t>электронной</w:t>
      </w:r>
      <w:r>
        <w:rPr>
          <w:spacing w:val="-2"/>
        </w:rPr>
        <w:t xml:space="preserve"> </w:t>
      </w:r>
      <w:r>
        <w:t>почты;</w:t>
      </w:r>
    </w:p>
    <w:p w:rsidR="00FD762E" w:rsidRDefault="00910D26" w:rsidP="00C218D5">
      <w:pPr>
        <w:pStyle w:val="a3"/>
        <w:ind w:left="2006"/>
        <w:contextualSpacing/>
      </w:pPr>
      <w:r>
        <w:t>Адрес</w:t>
      </w:r>
      <w:r>
        <w:rPr>
          <w:spacing w:val="-3"/>
        </w:rPr>
        <w:t xml:space="preserve"> </w:t>
      </w:r>
      <w:r>
        <w:t>проживания.</w:t>
      </w:r>
    </w:p>
    <w:p w:rsidR="00FD762E" w:rsidRDefault="00910D26" w:rsidP="00C218D5">
      <w:pPr>
        <w:pStyle w:val="a5"/>
        <w:numPr>
          <w:ilvl w:val="0"/>
          <w:numId w:val="1"/>
        </w:numPr>
        <w:tabs>
          <w:tab w:val="left" w:pos="1662"/>
        </w:tabs>
        <w:spacing w:before="0"/>
        <w:ind w:left="1661" w:right="0" w:hanging="222"/>
        <w:contextualSpacing/>
      </w:pPr>
      <w:r>
        <w:t>Персональные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относятся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общедоступным.</w:t>
      </w:r>
    </w:p>
    <w:p w:rsidR="00FD762E" w:rsidRDefault="00910D26" w:rsidP="004148C5">
      <w:pPr>
        <w:pStyle w:val="a5"/>
        <w:numPr>
          <w:ilvl w:val="0"/>
          <w:numId w:val="1"/>
        </w:numPr>
        <w:tabs>
          <w:tab w:val="left" w:pos="1753"/>
        </w:tabs>
        <w:spacing w:before="0"/>
        <w:ind w:firstLine="0"/>
        <w:contextualSpacing/>
        <w:jc w:val="both"/>
      </w:pPr>
      <w:r>
        <w:t>Целью</w:t>
      </w:r>
      <w:r>
        <w:rPr>
          <w:spacing w:val="33"/>
        </w:rPr>
        <w:t xml:space="preserve"> </w:t>
      </w:r>
      <w:r>
        <w:t>обработки</w:t>
      </w:r>
      <w:r>
        <w:rPr>
          <w:spacing w:val="34"/>
        </w:rPr>
        <w:t xml:space="preserve"> </w:t>
      </w:r>
      <w:r>
        <w:t>персональных</w:t>
      </w:r>
      <w:r>
        <w:rPr>
          <w:spacing w:val="35"/>
        </w:rPr>
        <w:t xml:space="preserve"> </w:t>
      </w:r>
      <w:r>
        <w:t>данных</w:t>
      </w:r>
      <w:r>
        <w:rPr>
          <w:spacing w:val="35"/>
        </w:rPr>
        <w:t xml:space="preserve"> </w:t>
      </w:r>
      <w:r>
        <w:t>является</w:t>
      </w:r>
      <w:r>
        <w:rPr>
          <w:spacing w:val="35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осуществление</w:t>
      </w:r>
      <w:r>
        <w:rPr>
          <w:spacing w:val="33"/>
        </w:rPr>
        <w:t xml:space="preserve"> </w:t>
      </w:r>
      <w:r>
        <w:t>комплекса</w:t>
      </w:r>
      <w:r>
        <w:rPr>
          <w:spacing w:val="33"/>
        </w:rPr>
        <w:t xml:space="preserve"> </w:t>
      </w:r>
      <w:proofErr w:type="gramStart"/>
      <w:r>
        <w:t>действий,</w:t>
      </w:r>
      <w:r>
        <w:rPr>
          <w:spacing w:val="-52"/>
        </w:rPr>
        <w:t xml:space="preserve"> </w:t>
      </w:r>
      <w:r w:rsidR="00C218D5">
        <w:rPr>
          <w:spacing w:val="-52"/>
        </w:rPr>
        <w:t xml:space="preserve">  </w:t>
      </w:r>
      <w:proofErr w:type="gramEnd"/>
      <w:r w:rsidR="00C218D5">
        <w:rPr>
          <w:spacing w:val="-52"/>
        </w:rPr>
        <w:t xml:space="preserve"> </w:t>
      </w:r>
      <w:r w:rsidR="004148C5">
        <w:rPr>
          <w:spacing w:val="-52"/>
        </w:rPr>
        <w:t xml:space="preserve"> </w:t>
      </w:r>
      <w:r>
        <w:t>направленных</w:t>
      </w:r>
      <w:r>
        <w:rPr>
          <w:spacing w:val="-1"/>
        </w:rPr>
        <w:t xml:space="preserve"> </w:t>
      </w:r>
      <w:r>
        <w:t>на достижение цели, 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числе:</w:t>
      </w:r>
    </w:p>
    <w:p w:rsidR="00C218D5" w:rsidRDefault="00910D26" w:rsidP="004148C5">
      <w:pPr>
        <w:pStyle w:val="a3"/>
        <w:ind w:left="1418" w:right="1466" w:firstLine="567"/>
        <w:contextualSpacing/>
        <w:rPr>
          <w:spacing w:val="-52"/>
        </w:rPr>
      </w:pPr>
      <w:r>
        <w:t xml:space="preserve">в целях заключения и исполнения Договора на </w:t>
      </w:r>
      <w:r w:rsidR="004148C5">
        <w:t xml:space="preserve">оказание </w:t>
      </w:r>
      <w:r>
        <w:t>услуг связи;</w:t>
      </w:r>
      <w:r>
        <w:rPr>
          <w:spacing w:val="-52"/>
        </w:rPr>
        <w:t xml:space="preserve"> </w:t>
      </w:r>
      <w:r w:rsidR="00C218D5">
        <w:rPr>
          <w:spacing w:val="-52"/>
        </w:rPr>
        <w:t xml:space="preserve">   </w:t>
      </w:r>
    </w:p>
    <w:p w:rsidR="00FD762E" w:rsidRDefault="00910D26" w:rsidP="00C218D5">
      <w:pPr>
        <w:pStyle w:val="a3"/>
        <w:ind w:left="2006" w:right="3730"/>
        <w:contextualSpacing/>
      </w:pPr>
      <w:r>
        <w:t>в</w:t>
      </w:r>
      <w:r>
        <w:rPr>
          <w:spacing w:val="-2"/>
        </w:rPr>
        <w:t xml:space="preserve"> </w:t>
      </w:r>
      <w:r>
        <w:t>целях исполнения</w:t>
      </w:r>
      <w:r>
        <w:rPr>
          <w:spacing w:val="-1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законодательства РФ.</w:t>
      </w:r>
    </w:p>
    <w:p w:rsidR="00FD762E" w:rsidRDefault="00910D26" w:rsidP="00C218D5">
      <w:pPr>
        <w:pStyle w:val="a5"/>
        <w:numPr>
          <w:ilvl w:val="0"/>
          <w:numId w:val="1"/>
        </w:numPr>
        <w:tabs>
          <w:tab w:val="left" w:pos="1709"/>
        </w:tabs>
        <w:spacing w:before="0"/>
        <w:ind w:firstLine="0"/>
        <w:contextualSpacing/>
        <w:jc w:val="both"/>
      </w:pPr>
      <w:r>
        <w:t>Основанием для обработки персональных данных является Ст. 24 Конституции Российской</w:t>
      </w:r>
      <w:r>
        <w:rPr>
          <w:spacing w:val="1"/>
        </w:rPr>
        <w:t xml:space="preserve"> </w:t>
      </w:r>
      <w:r>
        <w:t>Федерации; ст. 6 Федерального закона № 152-ФЗ «О персональных данных», иные федеральные</w:t>
      </w:r>
      <w:r>
        <w:rPr>
          <w:spacing w:val="1"/>
        </w:rPr>
        <w:t xml:space="preserve"> </w:t>
      </w:r>
      <w:r>
        <w:t>законы</w:t>
      </w:r>
      <w:r>
        <w:rPr>
          <w:spacing w:val="-1"/>
        </w:rPr>
        <w:t xml:space="preserve"> </w:t>
      </w:r>
      <w:r>
        <w:t>и нормативно правовые акты.</w:t>
      </w:r>
    </w:p>
    <w:p w:rsidR="00FD762E" w:rsidRDefault="00910D26" w:rsidP="00C218D5">
      <w:pPr>
        <w:pStyle w:val="a5"/>
        <w:numPr>
          <w:ilvl w:val="0"/>
          <w:numId w:val="1"/>
        </w:numPr>
        <w:tabs>
          <w:tab w:val="left" w:pos="1652"/>
        </w:tabs>
        <w:spacing w:before="0"/>
        <w:ind w:right="1378" w:firstLine="0"/>
        <w:contextualSpacing/>
        <w:jc w:val="both"/>
      </w:pPr>
      <w:r>
        <w:t>В</w:t>
      </w:r>
      <w:r>
        <w:rPr>
          <w:spacing w:val="-13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обработки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персональными</w:t>
      </w:r>
      <w:r>
        <w:rPr>
          <w:spacing w:val="-11"/>
        </w:rPr>
        <w:t xml:space="preserve"> </w:t>
      </w:r>
      <w:r>
        <w:t>данными</w:t>
      </w:r>
      <w:r>
        <w:rPr>
          <w:spacing w:val="-11"/>
        </w:rPr>
        <w:t xml:space="preserve"> </w:t>
      </w:r>
      <w:r>
        <w:t>будут</w:t>
      </w:r>
      <w:r>
        <w:rPr>
          <w:spacing w:val="-12"/>
        </w:rPr>
        <w:t xml:space="preserve"> </w:t>
      </w:r>
      <w:r>
        <w:t>совершены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t>действия:</w:t>
      </w:r>
      <w:r>
        <w:rPr>
          <w:spacing w:val="-12"/>
        </w:rPr>
        <w:t xml:space="preserve"> </w:t>
      </w:r>
      <w:r>
        <w:t>сбор,</w:t>
      </w:r>
      <w:r>
        <w:rPr>
          <w:spacing w:val="-11"/>
        </w:rPr>
        <w:t xml:space="preserve"> </w:t>
      </w:r>
      <w:r>
        <w:t>запись,</w:t>
      </w:r>
      <w:r>
        <w:rPr>
          <w:spacing w:val="-53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уточнение</w:t>
      </w:r>
      <w:r>
        <w:rPr>
          <w:spacing w:val="1"/>
        </w:rPr>
        <w:t xml:space="preserve"> </w:t>
      </w:r>
      <w:r>
        <w:t>(обновление,</w:t>
      </w:r>
      <w:r>
        <w:rPr>
          <w:spacing w:val="1"/>
        </w:rPr>
        <w:t xml:space="preserve"> </w:t>
      </w:r>
      <w:r>
        <w:t>изменение),</w:t>
      </w:r>
      <w:r>
        <w:rPr>
          <w:spacing w:val="1"/>
        </w:rPr>
        <w:t xml:space="preserve"> </w:t>
      </w:r>
      <w:r>
        <w:t>извлечение,</w:t>
      </w:r>
      <w:r>
        <w:rPr>
          <w:spacing w:val="1"/>
        </w:rPr>
        <w:t xml:space="preserve"> </w:t>
      </w:r>
      <w:r>
        <w:rPr>
          <w:spacing w:val="-1"/>
        </w:rPr>
        <w:t>использование,</w:t>
      </w:r>
      <w:r>
        <w:rPr>
          <w:spacing w:val="-9"/>
        </w:rPr>
        <w:t xml:space="preserve"> </w:t>
      </w:r>
      <w:r>
        <w:rPr>
          <w:spacing w:val="-1"/>
        </w:rPr>
        <w:t>передачу</w:t>
      </w:r>
      <w:r>
        <w:rPr>
          <w:spacing w:val="-15"/>
        </w:rPr>
        <w:t xml:space="preserve"> </w:t>
      </w:r>
      <w:r>
        <w:t>(распространение,</w:t>
      </w:r>
      <w:r>
        <w:rPr>
          <w:spacing w:val="-8"/>
        </w:rPr>
        <w:t xml:space="preserve"> </w:t>
      </w:r>
      <w:r>
        <w:t>предоставление,</w:t>
      </w:r>
      <w:r>
        <w:rPr>
          <w:spacing w:val="-10"/>
        </w:rPr>
        <w:t xml:space="preserve"> </w:t>
      </w:r>
      <w:r>
        <w:t>доступ),</w:t>
      </w:r>
      <w:r>
        <w:rPr>
          <w:spacing w:val="-10"/>
        </w:rPr>
        <w:t xml:space="preserve"> </w:t>
      </w:r>
      <w:r>
        <w:t>обезличивание,</w:t>
      </w:r>
      <w:r>
        <w:rPr>
          <w:spacing w:val="-8"/>
        </w:rPr>
        <w:t xml:space="preserve"> </w:t>
      </w:r>
      <w:proofErr w:type="gramStart"/>
      <w:r>
        <w:t>блокирование,</w:t>
      </w:r>
      <w:r>
        <w:rPr>
          <w:spacing w:val="-53"/>
        </w:rPr>
        <w:t xml:space="preserve"> </w:t>
      </w:r>
      <w:r w:rsidR="00C218D5">
        <w:rPr>
          <w:spacing w:val="-53"/>
        </w:rPr>
        <w:t xml:space="preserve"> </w:t>
      </w:r>
      <w:r w:rsidR="004148C5" w:rsidRPr="004148C5">
        <w:rPr>
          <w:spacing w:val="-53"/>
        </w:rPr>
        <w:t xml:space="preserve"> </w:t>
      </w:r>
      <w:proofErr w:type="gramEnd"/>
      <w:r>
        <w:t>удаление,</w:t>
      </w:r>
      <w:r>
        <w:rPr>
          <w:spacing w:val="-1"/>
        </w:rPr>
        <w:t xml:space="preserve"> </w:t>
      </w:r>
      <w:r>
        <w:t>уничтожение.</w:t>
      </w:r>
    </w:p>
    <w:p w:rsidR="00FD762E" w:rsidRDefault="00910D26" w:rsidP="00C218D5">
      <w:pPr>
        <w:pStyle w:val="a5"/>
        <w:numPr>
          <w:ilvl w:val="0"/>
          <w:numId w:val="1"/>
        </w:numPr>
        <w:tabs>
          <w:tab w:val="left" w:pos="1690"/>
        </w:tabs>
        <w:spacing w:before="0"/>
        <w:ind w:firstLine="0"/>
        <w:contextualSpacing/>
        <w:jc w:val="both"/>
      </w:pPr>
      <w:r>
        <w:t>Передача персональных данных третьим лицам осуществляется на основании установленного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Пользователя.</w:t>
      </w:r>
      <w:r>
        <w:rPr>
          <w:spacing w:val="-1"/>
        </w:rPr>
        <w:t xml:space="preserve"> </w:t>
      </w:r>
      <w:r>
        <w:t>Передача персональных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третьим</w:t>
      </w:r>
      <w:r>
        <w:rPr>
          <w:spacing w:val="-1"/>
        </w:rPr>
        <w:t xml:space="preserve"> </w:t>
      </w:r>
      <w:r>
        <w:t>лицам не</w:t>
      </w:r>
      <w:r>
        <w:rPr>
          <w:spacing w:val="-1"/>
        </w:rPr>
        <w:t xml:space="preserve"> </w:t>
      </w:r>
      <w:r>
        <w:t>осуществляется.</w:t>
      </w:r>
    </w:p>
    <w:p w:rsidR="00FD762E" w:rsidRDefault="00910D26" w:rsidP="004148C5">
      <w:pPr>
        <w:pStyle w:val="a5"/>
        <w:numPr>
          <w:ilvl w:val="0"/>
          <w:numId w:val="1"/>
        </w:numPr>
        <w:tabs>
          <w:tab w:val="left" w:pos="1726"/>
        </w:tabs>
        <w:spacing w:before="0"/>
        <w:ind w:right="1436"/>
        <w:contextualSpacing/>
        <w:jc w:val="both"/>
      </w:pPr>
      <w:r>
        <w:t>Согласие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отозвано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представителю ООО</w:t>
      </w:r>
      <w:r>
        <w:rPr>
          <w:spacing w:val="-2"/>
        </w:rPr>
        <w:t xml:space="preserve"> </w:t>
      </w:r>
      <w:r>
        <w:t>«КЭЙН – ДИДЖИТАЛ ГРУПП»</w:t>
      </w:r>
      <w:r>
        <w:rPr>
          <w:spacing w:val="-4"/>
        </w:rPr>
        <w:t xml:space="preserve"> </w:t>
      </w:r>
      <w:r>
        <w:t>на электронный</w:t>
      </w:r>
      <w:r>
        <w:rPr>
          <w:spacing w:val="-1"/>
        </w:rPr>
        <w:t xml:space="preserve"> </w:t>
      </w:r>
      <w:r>
        <w:t>адрес</w:t>
      </w:r>
      <w:r>
        <w:rPr>
          <w:color w:val="00A6EF"/>
          <w:spacing w:val="54"/>
        </w:rPr>
        <w:t xml:space="preserve"> </w:t>
      </w:r>
      <w:hyperlink r:id="rId6">
        <w:r w:rsidR="004148C5" w:rsidRPr="004148C5">
          <w:t xml:space="preserve"> </w:t>
        </w:r>
        <w:proofErr w:type="spellStart"/>
        <w:r w:rsidR="004148C5" w:rsidRPr="004148C5">
          <w:rPr>
            <w:color w:val="00A6EF"/>
            <w:u w:val="single" w:color="00A6EF"/>
          </w:rPr>
          <w:t>kane-digital-group</w:t>
        </w:r>
        <w:proofErr w:type="spellEnd"/>
        <w:r w:rsidR="004148C5" w:rsidRPr="004148C5">
          <w:rPr>
            <w:color w:val="00A6EF"/>
            <w:u w:val="single" w:color="00A6EF"/>
          </w:rPr>
          <w:t xml:space="preserve"> </w:t>
        </w:r>
        <w:r>
          <w:rPr>
            <w:color w:val="00A6EF"/>
            <w:u w:val="single" w:color="00A6EF"/>
          </w:rPr>
          <w:t>@</w:t>
        </w:r>
        <w:proofErr w:type="spellStart"/>
        <w:r w:rsidR="004148C5">
          <w:rPr>
            <w:color w:val="00A6EF"/>
            <w:u w:val="single" w:color="00A6EF"/>
            <w:lang w:val="en-US"/>
          </w:rPr>
          <w:t>gmail</w:t>
        </w:r>
        <w:proofErr w:type="spellEnd"/>
        <w:r>
          <w:rPr>
            <w:color w:val="00A6EF"/>
            <w:u w:val="single" w:color="00A6EF"/>
          </w:rPr>
          <w:t>.</w:t>
        </w:r>
        <w:r w:rsidR="004148C5">
          <w:rPr>
            <w:color w:val="00A6EF"/>
            <w:u w:val="single" w:color="00A6EF"/>
            <w:lang w:val="en-US"/>
          </w:rPr>
          <w:t>com</w:t>
        </w:r>
      </w:hyperlink>
    </w:p>
    <w:sectPr w:rsidR="00FD762E" w:rsidSect="00910D26">
      <w:type w:val="continuous"/>
      <w:pgSz w:w="12240" w:h="15840"/>
      <w:pgMar w:top="709" w:right="0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44D65"/>
    <w:multiLevelType w:val="hybridMultilevel"/>
    <w:tmpl w:val="B2C48A46"/>
    <w:lvl w:ilvl="0" w:tplc="3940C310">
      <w:start w:val="1"/>
      <w:numFmt w:val="decimal"/>
      <w:lvlText w:val="%1."/>
      <w:lvlJc w:val="left"/>
      <w:pPr>
        <w:ind w:left="1440" w:hanging="3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B080D5B8">
      <w:numFmt w:val="bullet"/>
      <w:lvlText w:val="•"/>
      <w:lvlJc w:val="left"/>
      <w:pPr>
        <w:ind w:left="2520" w:hanging="341"/>
      </w:pPr>
      <w:rPr>
        <w:rFonts w:hint="default"/>
        <w:lang w:val="ru-RU" w:eastAsia="en-US" w:bidi="ar-SA"/>
      </w:rPr>
    </w:lvl>
    <w:lvl w:ilvl="2" w:tplc="AB60F578">
      <w:numFmt w:val="bullet"/>
      <w:lvlText w:val="•"/>
      <w:lvlJc w:val="left"/>
      <w:pPr>
        <w:ind w:left="3600" w:hanging="341"/>
      </w:pPr>
      <w:rPr>
        <w:rFonts w:hint="default"/>
        <w:lang w:val="ru-RU" w:eastAsia="en-US" w:bidi="ar-SA"/>
      </w:rPr>
    </w:lvl>
    <w:lvl w:ilvl="3" w:tplc="9F46CBC4">
      <w:numFmt w:val="bullet"/>
      <w:lvlText w:val="•"/>
      <w:lvlJc w:val="left"/>
      <w:pPr>
        <w:ind w:left="4680" w:hanging="341"/>
      </w:pPr>
      <w:rPr>
        <w:rFonts w:hint="default"/>
        <w:lang w:val="ru-RU" w:eastAsia="en-US" w:bidi="ar-SA"/>
      </w:rPr>
    </w:lvl>
    <w:lvl w:ilvl="4" w:tplc="D5C2FD54">
      <w:numFmt w:val="bullet"/>
      <w:lvlText w:val="•"/>
      <w:lvlJc w:val="left"/>
      <w:pPr>
        <w:ind w:left="5760" w:hanging="341"/>
      </w:pPr>
      <w:rPr>
        <w:rFonts w:hint="default"/>
        <w:lang w:val="ru-RU" w:eastAsia="en-US" w:bidi="ar-SA"/>
      </w:rPr>
    </w:lvl>
    <w:lvl w:ilvl="5" w:tplc="313C46E6">
      <w:numFmt w:val="bullet"/>
      <w:lvlText w:val="•"/>
      <w:lvlJc w:val="left"/>
      <w:pPr>
        <w:ind w:left="6840" w:hanging="341"/>
      </w:pPr>
      <w:rPr>
        <w:rFonts w:hint="default"/>
        <w:lang w:val="ru-RU" w:eastAsia="en-US" w:bidi="ar-SA"/>
      </w:rPr>
    </w:lvl>
    <w:lvl w:ilvl="6" w:tplc="5DFABF04">
      <w:numFmt w:val="bullet"/>
      <w:lvlText w:val="•"/>
      <w:lvlJc w:val="left"/>
      <w:pPr>
        <w:ind w:left="7920" w:hanging="341"/>
      </w:pPr>
      <w:rPr>
        <w:rFonts w:hint="default"/>
        <w:lang w:val="ru-RU" w:eastAsia="en-US" w:bidi="ar-SA"/>
      </w:rPr>
    </w:lvl>
    <w:lvl w:ilvl="7" w:tplc="9B98B2F0">
      <w:numFmt w:val="bullet"/>
      <w:lvlText w:val="•"/>
      <w:lvlJc w:val="left"/>
      <w:pPr>
        <w:ind w:left="9000" w:hanging="341"/>
      </w:pPr>
      <w:rPr>
        <w:rFonts w:hint="default"/>
        <w:lang w:val="ru-RU" w:eastAsia="en-US" w:bidi="ar-SA"/>
      </w:rPr>
    </w:lvl>
    <w:lvl w:ilvl="8" w:tplc="4468A326">
      <w:numFmt w:val="bullet"/>
      <w:lvlText w:val="•"/>
      <w:lvlJc w:val="left"/>
      <w:pPr>
        <w:ind w:left="10080" w:hanging="3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D762E"/>
    <w:rsid w:val="00286F41"/>
    <w:rsid w:val="004148C5"/>
    <w:rsid w:val="00783E3A"/>
    <w:rsid w:val="00910D26"/>
    <w:rsid w:val="00C218D5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817A"/>
  <w15:docId w15:val="{BAC175F2-795C-4866-85A8-FCBA3374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9"/>
      <w:ind w:left="3168" w:right="2307" w:hanging="380"/>
    </w:pPr>
    <w:rPr>
      <w:rFonts w:ascii="Cambria" w:eastAsia="Cambria" w:hAnsi="Cambria" w:cs="Cambria"/>
      <w:sz w:val="32"/>
      <w:szCs w:val="32"/>
    </w:rPr>
  </w:style>
  <w:style w:type="paragraph" w:styleId="a5">
    <w:name w:val="List Paragraph"/>
    <w:basedOn w:val="a"/>
    <w:uiPriority w:val="1"/>
    <w:qFormat/>
    <w:pPr>
      <w:spacing w:before="201"/>
      <w:ind w:left="1440" w:right="143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14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twinta.ru" TargetMode="External"/><Relationship Id="rId5" Type="http://schemas.openxmlformats.org/officeDocument/2006/relationships/hyperlink" Target="https://kane-digital-grou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Юрист 9</cp:lastModifiedBy>
  <cp:revision>4</cp:revision>
  <dcterms:created xsi:type="dcterms:W3CDTF">2022-04-27T10:19:00Z</dcterms:created>
  <dcterms:modified xsi:type="dcterms:W3CDTF">2022-04-28T09:15:00Z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2022-04-27T00:00:00Z</vt:filetime>
  </property>
</Properties>
</file>