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A7EF8" w:rsidRPr="001A736E" w:rsidRDefault="00BA7EF8">
          <w:pPr>
            <w:pStyle w:val="a4"/>
            <w:rPr>
              <w:b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E26F1E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2569239" w:history="1">
            <w:r w:rsidR="00E26F1E" w:rsidRPr="00676C90">
              <w:rPr>
                <w:rStyle w:val="a5"/>
                <w:noProof/>
              </w:rPr>
              <w:t>Введение</w:t>
            </w:r>
            <w:r w:rsidR="00E26F1E">
              <w:rPr>
                <w:noProof/>
                <w:webHidden/>
              </w:rPr>
              <w:tab/>
            </w:r>
            <w:r w:rsidR="00E26F1E">
              <w:rPr>
                <w:noProof/>
                <w:webHidden/>
              </w:rPr>
              <w:fldChar w:fldCharType="begin"/>
            </w:r>
            <w:r w:rsidR="00E26F1E">
              <w:rPr>
                <w:noProof/>
                <w:webHidden/>
              </w:rPr>
              <w:instrText xml:space="preserve"> PAGEREF _Toc162569239 \h </w:instrText>
            </w:r>
            <w:r w:rsidR="00E26F1E">
              <w:rPr>
                <w:noProof/>
                <w:webHidden/>
              </w:rPr>
            </w:r>
            <w:r w:rsidR="00E26F1E">
              <w:rPr>
                <w:noProof/>
                <w:webHidden/>
              </w:rPr>
              <w:fldChar w:fldCharType="separate"/>
            </w:r>
            <w:r w:rsidR="00152571">
              <w:rPr>
                <w:noProof/>
                <w:webHidden/>
              </w:rPr>
              <w:t>5</w:t>
            </w:r>
            <w:r w:rsidR="00E26F1E">
              <w:rPr>
                <w:noProof/>
                <w:webHidden/>
              </w:rPr>
              <w:fldChar w:fldCharType="end"/>
            </w:r>
          </w:hyperlink>
        </w:p>
        <w:p w:rsidR="00E26F1E" w:rsidRDefault="0008323D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569240" w:history="1">
            <w:r w:rsidR="00E26F1E" w:rsidRPr="00676C90">
              <w:rPr>
                <w:rStyle w:val="a5"/>
                <w:noProof/>
              </w:rPr>
              <w:t>1 Технико-экономическая характеристика объекта</w:t>
            </w:r>
            <w:r w:rsidR="00E26F1E">
              <w:rPr>
                <w:noProof/>
                <w:webHidden/>
              </w:rPr>
              <w:tab/>
            </w:r>
            <w:r w:rsidR="00E26F1E">
              <w:rPr>
                <w:noProof/>
                <w:webHidden/>
              </w:rPr>
              <w:fldChar w:fldCharType="begin"/>
            </w:r>
            <w:r w:rsidR="00E26F1E">
              <w:rPr>
                <w:noProof/>
                <w:webHidden/>
              </w:rPr>
              <w:instrText xml:space="preserve"> PAGEREF _Toc162569240 \h </w:instrText>
            </w:r>
            <w:r w:rsidR="00E26F1E">
              <w:rPr>
                <w:noProof/>
                <w:webHidden/>
              </w:rPr>
            </w:r>
            <w:r w:rsidR="00E26F1E">
              <w:rPr>
                <w:noProof/>
                <w:webHidden/>
              </w:rPr>
              <w:fldChar w:fldCharType="separate"/>
            </w:r>
            <w:r w:rsidR="00152571">
              <w:rPr>
                <w:noProof/>
                <w:webHidden/>
              </w:rPr>
              <w:t>7</w:t>
            </w:r>
            <w:r w:rsidR="00E26F1E">
              <w:rPr>
                <w:noProof/>
                <w:webHidden/>
              </w:rPr>
              <w:fldChar w:fldCharType="end"/>
            </w:r>
          </w:hyperlink>
        </w:p>
        <w:p w:rsidR="00E26F1E" w:rsidRDefault="0008323D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569241" w:history="1">
            <w:r w:rsidR="00E26F1E" w:rsidRPr="00676C90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="00E26F1E">
              <w:rPr>
                <w:noProof/>
                <w:webHidden/>
              </w:rPr>
              <w:tab/>
            </w:r>
            <w:r w:rsidR="00E26F1E">
              <w:rPr>
                <w:noProof/>
                <w:webHidden/>
              </w:rPr>
              <w:fldChar w:fldCharType="begin"/>
            </w:r>
            <w:r w:rsidR="00E26F1E">
              <w:rPr>
                <w:noProof/>
                <w:webHidden/>
              </w:rPr>
              <w:instrText xml:space="preserve"> PAGEREF _Toc162569241 \h </w:instrText>
            </w:r>
            <w:r w:rsidR="00E26F1E">
              <w:rPr>
                <w:noProof/>
                <w:webHidden/>
              </w:rPr>
            </w:r>
            <w:r w:rsidR="00E26F1E">
              <w:rPr>
                <w:noProof/>
                <w:webHidden/>
              </w:rPr>
              <w:fldChar w:fldCharType="separate"/>
            </w:r>
            <w:r w:rsidR="00152571">
              <w:rPr>
                <w:noProof/>
                <w:webHidden/>
              </w:rPr>
              <w:t>8</w:t>
            </w:r>
            <w:r w:rsidR="00E26F1E">
              <w:rPr>
                <w:noProof/>
                <w:webHidden/>
              </w:rPr>
              <w:fldChar w:fldCharType="end"/>
            </w:r>
          </w:hyperlink>
        </w:p>
        <w:p w:rsidR="00E26F1E" w:rsidRDefault="0008323D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569242" w:history="1">
            <w:r w:rsidR="00E26F1E" w:rsidRPr="00676C90">
              <w:rPr>
                <w:rStyle w:val="a5"/>
                <w:noProof/>
              </w:rPr>
              <w:t>3 Проектирование информационной системы</w:t>
            </w:r>
            <w:r w:rsidR="00E26F1E">
              <w:rPr>
                <w:noProof/>
                <w:webHidden/>
              </w:rPr>
              <w:tab/>
            </w:r>
            <w:r w:rsidR="00E26F1E">
              <w:rPr>
                <w:noProof/>
                <w:webHidden/>
              </w:rPr>
              <w:fldChar w:fldCharType="begin"/>
            </w:r>
            <w:r w:rsidR="00E26F1E">
              <w:rPr>
                <w:noProof/>
                <w:webHidden/>
              </w:rPr>
              <w:instrText xml:space="preserve"> PAGEREF _Toc162569242 \h </w:instrText>
            </w:r>
            <w:r w:rsidR="00E26F1E">
              <w:rPr>
                <w:noProof/>
                <w:webHidden/>
              </w:rPr>
            </w:r>
            <w:r w:rsidR="00E26F1E">
              <w:rPr>
                <w:noProof/>
                <w:webHidden/>
              </w:rPr>
              <w:fldChar w:fldCharType="separate"/>
            </w:r>
            <w:r w:rsidR="00152571">
              <w:rPr>
                <w:noProof/>
                <w:webHidden/>
              </w:rPr>
              <w:t>10</w:t>
            </w:r>
            <w:r w:rsidR="00E26F1E"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F63EC6" w:rsidRDefault="00F63EC6" w:rsidP="00E53742">
      <w:pPr>
        <w:pStyle w:val="1"/>
      </w:pPr>
      <w:bookmarkStart w:id="0" w:name="_Toc162569239"/>
      <w: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Pr="00152571" w:rsidRDefault="00522BA9" w:rsidP="00152571">
      <w:pPr>
        <w:pStyle w:val="1"/>
      </w:pPr>
      <w:bookmarkStart w:id="1" w:name="_Toc131255823"/>
      <w:bookmarkStart w:id="2" w:name="_Toc162569240"/>
      <w:r w:rsidRPr="00152571">
        <w:lastRenderedPageBreak/>
        <w:t>1</w:t>
      </w:r>
      <w:r w:rsidR="00E53742" w:rsidRPr="00152571">
        <w:t xml:space="preserve"> </w:t>
      </w:r>
      <w:bookmarkEnd w:id="1"/>
      <w:r w:rsidR="00355C6A" w:rsidRPr="00152571">
        <w:t>Технико-экономическая характеристика объекта</w:t>
      </w:r>
      <w:bookmarkEnd w:id="2"/>
    </w:p>
    <w:p w:rsidR="0010710A" w:rsidRDefault="0010710A">
      <w:pPr>
        <w:spacing w:after="160" w:line="259" w:lineRule="auto"/>
        <w:ind w:firstLine="0"/>
        <w:jc w:val="left"/>
      </w:pPr>
      <w:r>
        <w:br w:type="page"/>
      </w:r>
    </w:p>
    <w:p w:rsidR="00CB3824" w:rsidRDefault="0010710A" w:rsidP="00152571">
      <w:pPr>
        <w:pStyle w:val="1"/>
      </w:pPr>
      <w:bookmarkStart w:id="3" w:name="_Toc162569241"/>
      <w:r w:rsidRPr="00152571">
        <w:lastRenderedPageBreak/>
        <w:t>2 Сбор, анализ и формирование требований к информационной системе</w:t>
      </w:r>
      <w:bookmarkEnd w:id="3"/>
    </w:p>
    <w:p w:rsidR="004E54A0" w:rsidRPr="004E54A0" w:rsidRDefault="004E54A0" w:rsidP="004E54A0"/>
    <w:p w:rsidR="0010710A" w:rsidRDefault="009A77A0" w:rsidP="0010710A">
      <w:r w:rsidRPr="009A77A0">
        <w:t>Этот процесс включает в себя несколько ключевых этапов: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9A77A0" w:rsidRDefault="009A77A0" w:rsidP="009A77A0">
      <w:pPr>
        <w:pStyle w:val="a"/>
        <w:ind w:left="851" w:firstLine="0"/>
      </w:pPr>
      <w:r>
        <w:t>в</w:t>
      </w:r>
      <w:r>
        <w:t>заимодействие с заказчиком (ИП «Ромашов Софт») для выявления и понимания их потребностей и ожид</w:t>
      </w:r>
      <w:r>
        <w:t>аний от будущего веб-приложения</w:t>
      </w:r>
      <w:r w:rsidRPr="009A77A0">
        <w:t>;</w:t>
      </w:r>
    </w:p>
    <w:p w:rsidR="009A77A0" w:rsidRDefault="009A77A0" w:rsidP="009A77A0">
      <w:pPr>
        <w:pStyle w:val="a"/>
        <w:ind w:left="851" w:firstLine="0"/>
      </w:pPr>
      <w:r>
        <w:t>п</w:t>
      </w:r>
      <w:r>
        <w:t>роведение интервью, собеседований и анализа документации для выявления функциональны</w:t>
      </w:r>
      <w:r>
        <w:t>х и нефункциональных требований</w:t>
      </w:r>
      <w:r w:rsidRPr="009A77A0">
        <w:t>;</w:t>
      </w:r>
    </w:p>
    <w:p w:rsidR="009A77A0" w:rsidRDefault="009A77A0" w:rsidP="009A77A0">
      <w:pPr>
        <w:pStyle w:val="a"/>
        <w:ind w:left="0" w:firstLine="851"/>
      </w:pPr>
      <w:r>
        <w:t>и</w:t>
      </w:r>
      <w:r>
        <w:t>сследование конкурентной среды и анализ существующих аналогичных систем для определения лучших практик и потенциальных преимуществ.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9A77A0" w:rsidRDefault="009A77A0" w:rsidP="004E54A0">
      <w:pPr>
        <w:pStyle w:val="a"/>
        <w:ind w:left="0" w:firstLine="851"/>
      </w:pPr>
      <w:r>
        <w:t>с</w:t>
      </w:r>
      <w:r>
        <w:t>истематизация и классификация собранных требований на основе их приори</w:t>
      </w:r>
      <w:r w:rsidR="004E54A0">
        <w:t>тетности и важности для бизнеса</w:t>
      </w:r>
      <w:r w:rsidR="004E54A0" w:rsidRPr="004E54A0">
        <w:t>;</w:t>
      </w:r>
    </w:p>
    <w:p w:rsidR="009A77A0" w:rsidRDefault="004E54A0" w:rsidP="004E54A0">
      <w:pPr>
        <w:pStyle w:val="a"/>
        <w:ind w:left="0" w:firstLine="851"/>
      </w:pPr>
      <w:r>
        <w:t>п</w:t>
      </w:r>
      <w:r w:rsidR="009A77A0">
        <w:t>роверка требований на соответствие бизнес-целя</w:t>
      </w:r>
      <w:r>
        <w:t>м и стратегии ИП «Ромашов Софт»</w:t>
      </w:r>
      <w:r w:rsidRPr="004E54A0">
        <w:t>;</w:t>
      </w:r>
    </w:p>
    <w:p w:rsidR="009A77A0" w:rsidRDefault="004E54A0" w:rsidP="004E54A0">
      <w:pPr>
        <w:pStyle w:val="a"/>
        <w:ind w:left="0" w:firstLine="851"/>
      </w:pPr>
      <w:r>
        <w:t>в</w:t>
      </w:r>
      <w:r w:rsidR="009A77A0">
        <w:t>ыявление возможных противоречий или недостатков в требованиях и их устранение.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4E54A0" w:rsidRDefault="004E54A0" w:rsidP="004E54A0">
      <w:pPr>
        <w:pStyle w:val="a"/>
        <w:ind w:left="0" w:firstLine="851"/>
      </w:pPr>
      <w:r>
        <w:t xml:space="preserve">создание </w:t>
      </w:r>
      <w:r>
        <w:t>документа с требованиями к информационной системе (например, Технического задания или Спецификации требований), содержащего функциональные и нефункциональные требования, описание пользовательски</w:t>
      </w:r>
      <w:r>
        <w:t>х сценариев, интерфейсов и т. д</w:t>
      </w:r>
      <w:r w:rsidRPr="004E54A0">
        <w:t>.;</w:t>
      </w:r>
    </w:p>
    <w:p w:rsidR="004E54A0" w:rsidRDefault="004E54A0" w:rsidP="004E54A0">
      <w:pPr>
        <w:pStyle w:val="a"/>
        <w:ind w:left="0" w:firstLine="851"/>
      </w:pPr>
      <w:r>
        <w:t>утверждение</w:t>
      </w:r>
      <w:r>
        <w:t xml:space="preserve"> и согласование с заказчиком и другими заинтересованными сторонами.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4E54A0" w:rsidRDefault="004E54A0" w:rsidP="004E54A0">
      <w:pPr>
        <w:pStyle w:val="a"/>
        <w:ind w:left="0" w:firstLine="851"/>
      </w:pPr>
      <w:r>
        <w:t>п</w:t>
      </w:r>
      <w:r>
        <w:t>роведение обсуждений и презентаций для уточнения требов</w:t>
      </w:r>
      <w:r>
        <w:t>аний и получения обратной связи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t>в</w:t>
      </w:r>
      <w:r>
        <w:t>несение корректировок в требования в соответств</w:t>
      </w:r>
      <w:r>
        <w:t>ии с полученной обратной связью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lastRenderedPageBreak/>
        <w:t>о</w:t>
      </w:r>
      <w:r>
        <w:t>беспечение полного понимания требований всеми участниками проекта.</w:t>
      </w:r>
    </w:p>
    <w:p w:rsidR="004E54A0" w:rsidRDefault="004E54A0" w:rsidP="004E54A0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4E54A0" w:rsidRDefault="004E54A0" w:rsidP="004E54A0">
      <w:pPr>
        <w:ind w:firstLine="0"/>
      </w:pPr>
    </w:p>
    <w:p w:rsidR="00E26F1E" w:rsidRDefault="00E26F1E" w:rsidP="00270436">
      <w:pPr>
        <w:pStyle w:val="1"/>
        <w:numPr>
          <w:ilvl w:val="0"/>
          <w:numId w:val="13"/>
        </w:numPr>
        <w:tabs>
          <w:tab w:val="left" w:pos="1134"/>
        </w:tabs>
        <w:ind w:left="0" w:firstLine="851"/>
      </w:pPr>
      <w:bookmarkStart w:id="4" w:name="_Toc162569242"/>
      <w:r w:rsidRPr="00E26F1E">
        <w:lastRenderedPageBreak/>
        <w:t>Проектирование информационной системы</w:t>
      </w:r>
      <w:bookmarkEnd w:id="4"/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2C152E" w:rsidRDefault="00154C54" w:rsidP="002C152E">
      <w:pPr>
        <w:pStyle w:val="a"/>
        <w:numPr>
          <w:ilvl w:val="0"/>
          <w:numId w:val="14"/>
        </w:numPr>
        <w:ind w:left="0" w:firstLine="851"/>
      </w:pPr>
      <w:r w:rsidRPr="00154C54">
        <w:t>Диаграмма потоков да</w:t>
      </w:r>
      <w:r>
        <w:t xml:space="preserve">нных (DFD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–</w:t>
      </w:r>
      <w:r w:rsidRPr="00154C54">
        <w:t xml:space="preserve"> это графическое представление потоков данных в информационной системе. Она используется для визуализации процессов обработки данных, показывая, как данные передаются от одной части системы к другой. Диаграмма потоков данных состоит из нескольких основных элементов:</w:t>
      </w:r>
    </w:p>
    <w:p w:rsidR="00154C54" w:rsidRDefault="00154C54" w:rsidP="002C152E">
      <w:pPr>
        <w:pStyle w:val="a"/>
        <w:ind w:left="0" w:firstLine="851"/>
      </w:pPr>
      <w:r w:rsidRPr="00154C54">
        <w:t>Процессы</w:t>
      </w:r>
      <w:r>
        <w:t xml:space="preserve"> </w:t>
      </w:r>
      <w:r w:rsidRPr="00154C54">
        <w:t>представляют собой действия или операции, выполняемые над данными в системе. Они обозначаются кругами или прямоугольниками и могут быть как абстрактными, так и конкретными. Процессы включают в себя операции, обработку данных, принятие решений и т.д.</w:t>
      </w:r>
    </w:p>
    <w:p w:rsidR="00154C54" w:rsidRDefault="00154C54" w:rsidP="002C152E">
      <w:pPr>
        <w:pStyle w:val="a"/>
        <w:ind w:left="0" w:firstLine="851"/>
      </w:pPr>
      <w:r w:rsidRPr="00154C54">
        <w:t>Потоки данных представляют собой направленные линии, которые показывают направление передачи данных между процессами, хранилищами данных и внешними сущностями. Они обозначают, какие данные перемещаются в системе и какие процессы с ними связаны.</w:t>
      </w:r>
    </w:p>
    <w:p w:rsidR="00154C54" w:rsidRDefault="00154C54" w:rsidP="002C152E">
      <w:pPr>
        <w:pStyle w:val="a"/>
        <w:ind w:left="0" w:firstLine="851"/>
      </w:pPr>
      <w:r w:rsidRPr="00154C54">
        <w:t>Хранилища данных представляют собой места, где данные хранятся в системе. Это могут быть базы данных, файловые системы, кэшированные данные и т.д. Хранилища данных, обозначаются прямоугольниками с двумя параллельными линиями, представляющими местоположение данных.</w:t>
      </w:r>
    </w:p>
    <w:p w:rsidR="00154C54" w:rsidRDefault="00154C54" w:rsidP="002C152E">
      <w:pPr>
        <w:pStyle w:val="a"/>
        <w:ind w:left="0" w:firstLine="851"/>
      </w:pPr>
      <w:r w:rsidRPr="00154C54">
        <w:t>Внешние сущности представляют внешние источники или получатели данных, которые взаимодействуют с системой. Это могут быть пользователи, другие системы, устройства ввода-вывода и т.д. Внешние сущности обозначаются прямоугольниками с нарисованными на них стрелками, указывающими направление потока данных.</w:t>
      </w:r>
    </w:p>
    <w:p w:rsidR="002C152E" w:rsidRDefault="00154C54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Ниже представлена диаграмма потоков данных</w:t>
      </w:r>
      <w:r w:rsidR="002C152E" w:rsidRPr="002C152E">
        <w:rPr>
          <w:highlight w:val="yellow"/>
        </w:rPr>
        <w:t>:</w:t>
      </w:r>
    </w:p>
    <w:p w:rsidR="002C152E" w:rsidRDefault="002C152E" w:rsidP="002C152E">
      <w:pPr>
        <w:pStyle w:val="a"/>
        <w:numPr>
          <w:ilvl w:val="0"/>
          <w:numId w:val="0"/>
        </w:numPr>
        <w:ind w:left="851"/>
      </w:pPr>
    </w:p>
    <w:p w:rsidR="002C152E" w:rsidRPr="002C152E" w:rsidRDefault="002C152E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Описание диаграммы потоков данных</w:t>
      </w:r>
    </w:p>
    <w:p w:rsidR="002C152E" w:rsidRDefault="002C152E" w:rsidP="002C152E">
      <w:pPr>
        <w:pStyle w:val="a"/>
        <w:numPr>
          <w:ilvl w:val="0"/>
          <w:numId w:val="14"/>
        </w:numPr>
        <w:ind w:left="0" w:firstLine="851"/>
      </w:pPr>
      <w:proofErr w:type="spellStart"/>
      <w:r>
        <w:t>Use-case</w:t>
      </w:r>
      <w:proofErr w:type="spellEnd"/>
      <w:r>
        <w:t xml:space="preserve"> диаграмма представляет собой графическое изображение того, как пользователи (или </w:t>
      </w:r>
      <w:proofErr w:type="spellStart"/>
      <w:r>
        <w:t>акторы</w:t>
      </w:r>
      <w:proofErr w:type="spellEnd"/>
      <w:r>
        <w:t xml:space="preserve">) взаимодействуют с системой, чтобы достичь определенных целей. Она помогает идентифицировать основные функциональные </w:t>
      </w:r>
      <w:r>
        <w:lastRenderedPageBreak/>
        <w:t>возможности системы и отображает, какие действия могут выполнять пользователи, чтобы достичь своих целей через систему.</w:t>
      </w:r>
    </w:p>
    <w:p w:rsidR="002C152E" w:rsidRDefault="002C152E" w:rsidP="002C152E">
      <w:r>
        <w:t xml:space="preserve">На диаграмме прецедентов </w:t>
      </w:r>
      <w:proofErr w:type="spellStart"/>
      <w:r>
        <w:t>акторы</w:t>
      </w:r>
      <w:proofErr w:type="spellEnd"/>
      <w:r>
        <w:t xml:space="preserve"> представлены как различные типы пользователей или внешние системы, которые могут взаимодействовать с 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</w:t>
      </w:r>
      <w:r>
        <w:t>й, а не как система это делает.</w:t>
      </w:r>
    </w:p>
    <w:p w:rsidR="002C152E" w:rsidRDefault="002C152E" w:rsidP="002C152E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</w:t>
      </w:r>
      <w:r>
        <w:t>еление процессов бизнес-логики.</w:t>
      </w:r>
    </w:p>
    <w:p w:rsidR="002C152E" w:rsidRDefault="002C152E" w:rsidP="002C152E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4057FE" w:rsidRDefault="004057FE" w:rsidP="002C152E">
      <w:pPr>
        <w:rPr>
          <w:lang w:val="en-US"/>
        </w:rPr>
      </w:pPr>
      <w:r w:rsidRPr="004057FE">
        <w:rPr>
          <w:highlight w:val="yellow"/>
        </w:rPr>
        <w:t xml:space="preserve">Ниже представлена диаграмма </w:t>
      </w:r>
      <w:r w:rsidRPr="004057FE">
        <w:rPr>
          <w:highlight w:val="yellow"/>
          <w:lang w:val="en-US"/>
        </w:rPr>
        <w:t>use</w:t>
      </w:r>
      <w:r w:rsidRPr="004057FE">
        <w:rPr>
          <w:highlight w:val="yellow"/>
        </w:rPr>
        <w:t>-</w:t>
      </w:r>
      <w:r w:rsidRPr="004057FE">
        <w:rPr>
          <w:highlight w:val="yellow"/>
          <w:lang w:val="en-US"/>
        </w:rPr>
        <w:t>case</w:t>
      </w:r>
    </w:p>
    <w:p w:rsidR="004057FE" w:rsidRDefault="004057FE" w:rsidP="002C152E">
      <w:pPr>
        <w:rPr>
          <w:lang w:val="en-US"/>
        </w:rPr>
      </w:pPr>
    </w:p>
    <w:p w:rsidR="004057FE" w:rsidRDefault="004057FE" w:rsidP="002C152E">
      <w:r w:rsidRPr="004057FE">
        <w:rPr>
          <w:highlight w:val="yellow"/>
        </w:rPr>
        <w:t>Описание диаграммы</w:t>
      </w:r>
    </w:p>
    <w:p w:rsidR="004057FE" w:rsidRPr="004057FE" w:rsidRDefault="004057FE" w:rsidP="004057FE">
      <w:pPr>
        <w:pStyle w:val="a"/>
        <w:numPr>
          <w:ilvl w:val="0"/>
          <w:numId w:val="14"/>
        </w:numPr>
        <w:ind w:left="0" w:firstLine="851"/>
      </w:pPr>
      <w:proofErr w:type="spellStart"/>
      <w:r w:rsidRPr="004057FE">
        <w:t>Wireframe</w:t>
      </w:r>
      <w:proofErr w:type="spellEnd"/>
      <w:r w:rsidRPr="004057FE">
        <w:t xml:space="preserve"> представляет собой упрощенное визуальное представление интерфейса веб-сайта, мобильного приложения или другого программного продукта. Он создается на ранних стадиях проектирования и обычно состоит из простых геометрических фигур, таких как прямоугольники и линии, обозначающих различные элементы интерфейса, такие как текстовые блоки, изображения, кнопки и поля ввода.</w:t>
      </w:r>
      <w:bookmarkStart w:id="5" w:name="_GoBack"/>
      <w:bookmarkEnd w:id="5"/>
    </w:p>
    <w:p w:rsidR="00E26F1E" w:rsidRDefault="002C152E" w:rsidP="002C152E">
      <w:r>
        <w:br w:type="page"/>
      </w:r>
    </w:p>
    <w:p w:rsidR="00323A31" w:rsidRPr="0027558D" w:rsidRDefault="00323A31" w:rsidP="0027558D">
      <w:pPr>
        <w:pStyle w:val="ab"/>
      </w:pPr>
      <w:r w:rsidRPr="0027558D">
        <w:lastRenderedPageBreak/>
        <w:t>Таблица 1.1 – Название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</w:tbl>
    <w:p w:rsidR="00323A31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r>
        <w:t>на</w:t>
      </w:r>
      <w:r w:rsidRPr="006D5F4A">
        <w:rPr>
          <w:lang w:val="en-US"/>
        </w:rPr>
        <w:t xml:space="preserve"> </w:t>
      </w:r>
      <w:r>
        <w:t>рисунке</w:t>
      </w:r>
      <w:r w:rsidRPr="006D5F4A">
        <w:rPr>
          <w:lang w:val="en-US"/>
        </w:rPr>
        <w:t xml:space="preserve"> 1</w:t>
      </w:r>
      <w:r w:rsidRPr="00E53742">
        <w:rPr>
          <w:lang w:val="en-US"/>
        </w:rPr>
        <w:t>.</w:t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F67EF" wp14:editId="2E03100C">
            <wp:extent cx="2135875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ochka_Cyber_security_police_officer_internet_6b185254-bcf6-4006-813c-b4f1c6f101b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57" cy="2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t>Рисунок</w:t>
      </w:r>
      <w:r w:rsidRPr="006D5F4A">
        <w:rPr>
          <w:lang w:val="en-US"/>
        </w:rPr>
        <w:t xml:space="preserve"> 1 – </w:t>
      </w:r>
      <w:r>
        <w:t>Полицейский</w:t>
      </w:r>
      <w:r w:rsidRPr="006D5F4A">
        <w:rPr>
          <w:lang w:val="en-US"/>
        </w:rPr>
        <w:t xml:space="preserve"> </w:t>
      </w:r>
      <w:r>
        <w:t>сгенерированный</w:t>
      </w:r>
      <w:r w:rsidRPr="006D5F4A">
        <w:rPr>
          <w:lang w:val="en-US"/>
        </w:rPr>
        <w:t xml:space="preserve"> </w:t>
      </w:r>
      <w:proofErr w:type="spellStart"/>
      <w:r>
        <w:rPr>
          <w:lang w:val="en-US"/>
        </w:rPr>
        <w:t>Midjourney</w:t>
      </w:r>
      <w:proofErr w:type="spellEnd"/>
    </w:p>
    <w:p w:rsidR="006D5F4A" w:rsidRPr="00EF7A1E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="00C259EE" w:rsidRPr="00EF7A1E">
        <w:rPr>
          <w:lang w:val="en-US"/>
        </w:rPr>
        <w:t>.</w:t>
      </w:r>
    </w:p>
    <w:p w:rsidR="00323A31" w:rsidRPr="009B0E82" w:rsidRDefault="00323A31" w:rsidP="00C95FF9"/>
    <w:sectPr w:rsidR="00323A31" w:rsidRPr="009B0E82" w:rsidSect="006B1D97">
      <w:footerReference w:type="default" r:id="rId11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23D" w:rsidRDefault="0008323D" w:rsidP="009B0E82">
      <w:pPr>
        <w:spacing w:line="240" w:lineRule="auto"/>
      </w:pPr>
      <w:r>
        <w:separator/>
      </w:r>
    </w:p>
  </w:endnote>
  <w:endnote w:type="continuationSeparator" w:id="0">
    <w:p w:rsidR="0008323D" w:rsidRDefault="0008323D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52147" w:rsidRPr="00F63EC6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352147" w:rsidRPr="001E1E0D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52147" w:rsidRPr="00F63EC6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4057FE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352147" w:rsidRPr="00323A31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352147" w:rsidRDefault="0035214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4057FE">
            <w:rPr>
              <w:rFonts w:cs="Times New Roman"/>
              <w:noProof/>
              <w:sz w:val="24"/>
              <w:szCs w:val="24"/>
            </w:rPr>
            <w:t>12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352147" w:rsidRDefault="00352147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23D" w:rsidRDefault="0008323D" w:rsidP="009B0E82">
      <w:pPr>
        <w:spacing w:line="240" w:lineRule="auto"/>
      </w:pPr>
      <w:r>
        <w:separator/>
      </w:r>
    </w:p>
  </w:footnote>
  <w:footnote w:type="continuationSeparator" w:id="0">
    <w:p w:rsidR="0008323D" w:rsidRDefault="0008323D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47" w:rsidRDefault="0035214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542F3C"/>
    <w:multiLevelType w:val="hybridMultilevel"/>
    <w:tmpl w:val="A734F728"/>
    <w:lvl w:ilvl="0" w:tplc="27C8B12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3C792D"/>
    <w:multiLevelType w:val="hybridMultilevel"/>
    <w:tmpl w:val="0798A3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F4DC8"/>
    <w:multiLevelType w:val="hybridMultilevel"/>
    <w:tmpl w:val="8FC4CF8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520179"/>
    <w:multiLevelType w:val="hybridMultilevel"/>
    <w:tmpl w:val="74CC2114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8323D"/>
    <w:rsid w:val="000B0FEE"/>
    <w:rsid w:val="000B4B5D"/>
    <w:rsid w:val="000D0A33"/>
    <w:rsid w:val="001062F8"/>
    <w:rsid w:val="0010710A"/>
    <w:rsid w:val="0014305A"/>
    <w:rsid w:val="00152571"/>
    <w:rsid w:val="00153DF4"/>
    <w:rsid w:val="00154C54"/>
    <w:rsid w:val="00177D58"/>
    <w:rsid w:val="00192F7C"/>
    <w:rsid w:val="001A736E"/>
    <w:rsid w:val="001B0AE8"/>
    <w:rsid w:val="001D0E02"/>
    <w:rsid w:val="001E028C"/>
    <w:rsid w:val="001E1E0D"/>
    <w:rsid w:val="00227294"/>
    <w:rsid w:val="002564E5"/>
    <w:rsid w:val="00270436"/>
    <w:rsid w:val="0027558D"/>
    <w:rsid w:val="002B4441"/>
    <w:rsid w:val="002C152E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D45A5"/>
    <w:rsid w:val="003E6542"/>
    <w:rsid w:val="004038A1"/>
    <w:rsid w:val="004057FE"/>
    <w:rsid w:val="00424E6E"/>
    <w:rsid w:val="004466F9"/>
    <w:rsid w:val="00464C14"/>
    <w:rsid w:val="004C0DCD"/>
    <w:rsid w:val="004D65D5"/>
    <w:rsid w:val="004E2A93"/>
    <w:rsid w:val="004E54A0"/>
    <w:rsid w:val="0052164B"/>
    <w:rsid w:val="00522BA9"/>
    <w:rsid w:val="005272CC"/>
    <w:rsid w:val="00566329"/>
    <w:rsid w:val="00570B68"/>
    <w:rsid w:val="00572679"/>
    <w:rsid w:val="005801E9"/>
    <w:rsid w:val="005A7171"/>
    <w:rsid w:val="005C4E8E"/>
    <w:rsid w:val="005D3B01"/>
    <w:rsid w:val="00621CDA"/>
    <w:rsid w:val="006221F3"/>
    <w:rsid w:val="0062634C"/>
    <w:rsid w:val="00635C67"/>
    <w:rsid w:val="006404AD"/>
    <w:rsid w:val="006552EB"/>
    <w:rsid w:val="00683548"/>
    <w:rsid w:val="00694947"/>
    <w:rsid w:val="0069735E"/>
    <w:rsid w:val="006A0023"/>
    <w:rsid w:val="006B1D97"/>
    <w:rsid w:val="006D51CE"/>
    <w:rsid w:val="006D5F4A"/>
    <w:rsid w:val="0071646D"/>
    <w:rsid w:val="00716EFE"/>
    <w:rsid w:val="0075654C"/>
    <w:rsid w:val="00855CE8"/>
    <w:rsid w:val="00877A95"/>
    <w:rsid w:val="00880352"/>
    <w:rsid w:val="00882C7D"/>
    <w:rsid w:val="008A54D0"/>
    <w:rsid w:val="008A6078"/>
    <w:rsid w:val="008D5158"/>
    <w:rsid w:val="008E7E3C"/>
    <w:rsid w:val="008F14B5"/>
    <w:rsid w:val="00901F5D"/>
    <w:rsid w:val="00906AAF"/>
    <w:rsid w:val="0092141A"/>
    <w:rsid w:val="00926127"/>
    <w:rsid w:val="009A243D"/>
    <w:rsid w:val="009A77A0"/>
    <w:rsid w:val="009B0E82"/>
    <w:rsid w:val="009C751C"/>
    <w:rsid w:val="009F08DA"/>
    <w:rsid w:val="009F1BB5"/>
    <w:rsid w:val="009F4E86"/>
    <w:rsid w:val="00A34E85"/>
    <w:rsid w:val="00A368E1"/>
    <w:rsid w:val="00A678F8"/>
    <w:rsid w:val="00A71FC4"/>
    <w:rsid w:val="00AA60BD"/>
    <w:rsid w:val="00B00FF4"/>
    <w:rsid w:val="00B40860"/>
    <w:rsid w:val="00B5192D"/>
    <w:rsid w:val="00B55E82"/>
    <w:rsid w:val="00BA64A2"/>
    <w:rsid w:val="00BA7EF8"/>
    <w:rsid w:val="00BC1E1C"/>
    <w:rsid w:val="00BC2770"/>
    <w:rsid w:val="00BC2AB2"/>
    <w:rsid w:val="00BE7A4A"/>
    <w:rsid w:val="00BF1537"/>
    <w:rsid w:val="00C259EE"/>
    <w:rsid w:val="00C36A1D"/>
    <w:rsid w:val="00C36E4C"/>
    <w:rsid w:val="00C51F33"/>
    <w:rsid w:val="00C561DA"/>
    <w:rsid w:val="00C72EA2"/>
    <w:rsid w:val="00C7356E"/>
    <w:rsid w:val="00C931BF"/>
    <w:rsid w:val="00C959D8"/>
    <w:rsid w:val="00C95FF9"/>
    <w:rsid w:val="00CB32C7"/>
    <w:rsid w:val="00CB3824"/>
    <w:rsid w:val="00CC53C1"/>
    <w:rsid w:val="00CC750E"/>
    <w:rsid w:val="00CD3869"/>
    <w:rsid w:val="00CF2846"/>
    <w:rsid w:val="00D6214F"/>
    <w:rsid w:val="00D63192"/>
    <w:rsid w:val="00D74421"/>
    <w:rsid w:val="00E26F1E"/>
    <w:rsid w:val="00E40459"/>
    <w:rsid w:val="00E53742"/>
    <w:rsid w:val="00E6751B"/>
    <w:rsid w:val="00E718FB"/>
    <w:rsid w:val="00E82DAF"/>
    <w:rsid w:val="00EC2B53"/>
    <w:rsid w:val="00EE4867"/>
    <w:rsid w:val="00EF7A1E"/>
    <w:rsid w:val="00EF7E1B"/>
    <w:rsid w:val="00F073F1"/>
    <w:rsid w:val="00F46791"/>
    <w:rsid w:val="00F47989"/>
    <w:rsid w:val="00F63EC6"/>
    <w:rsid w:val="00FB1555"/>
    <w:rsid w:val="00FB53EB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97934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8E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2571"/>
    <w:pPr>
      <w:keepNext/>
      <w:keepLines/>
      <w:pageBreakBefore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25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 w:val="0"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2E05F-6153-4E8F-A801-73C7266A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14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74</cp:revision>
  <cp:lastPrinted>2024-01-31T05:50:00Z</cp:lastPrinted>
  <dcterms:created xsi:type="dcterms:W3CDTF">2023-04-01T09:23:00Z</dcterms:created>
  <dcterms:modified xsi:type="dcterms:W3CDTF">2024-03-31T19:48:00Z</dcterms:modified>
</cp:coreProperties>
</file>