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  <w:t xml:space="preserve">Лабораторно упражнение 3</w:t>
      </w:r>
    </w:p>
    <w:p>
      <w:pPr>
        <w:spacing w:before="0" w:after="160" w:line="259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Система за имена на домейни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 Domain Name System (DNS).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Инсталиране и конфигуриране на DNS сървър. Дефиниране на зони и записи.</w:t>
      </w:r>
    </w:p>
    <w:p>
      <w:pPr>
        <w:spacing w:before="0" w:after="160" w:line="259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Част I</w:t>
      </w:r>
    </w:p>
    <w:p>
      <w:pPr>
        <w:spacing w:before="0" w:after="160" w:line="259"/>
        <w:ind w:right="0" w:left="0" w:firstLine="0"/>
        <w:jc w:val="center"/>
        <w:rPr>
          <w:rFonts w:ascii="Tahoma" w:hAnsi="Tahoma" w:cs="Tahoma" w:eastAsia="Tahom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ahoma" w:hAnsi="Tahoma" w:cs="Tahoma" w:eastAsia="Tahoma"/>
          <w:b/>
          <w:color w:val="000000"/>
          <w:spacing w:val="0"/>
          <w:position w:val="0"/>
          <w:sz w:val="22"/>
          <w:shd w:fill="DEEAF6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2"/>
          <w:shd w:fill="DEEAF6" w:val="clear"/>
        </w:rPr>
        <w:t xml:space="preserve">Имена:</w:t>
      </w:r>
    </w:p>
    <w:p>
      <w:pPr>
        <w:spacing w:before="0" w:after="160" w:line="259"/>
        <w:ind w:right="0" w:left="0" w:firstLine="0"/>
        <w:jc w:val="both"/>
        <w:rPr>
          <w:rFonts w:ascii="Tahoma" w:hAnsi="Tahoma" w:cs="Tahoma" w:eastAsia="Tahoma"/>
          <w:b/>
          <w:color w:val="000000"/>
          <w:spacing w:val="0"/>
          <w:position w:val="0"/>
          <w:sz w:val="22"/>
          <w:shd w:fill="DEEAF6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2"/>
          <w:shd w:fill="DEEAF6" w:val="clear"/>
        </w:rPr>
        <w:t xml:space="preserve">Факултетен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2"/>
          <w:shd w:fill="DEEAF6" w:val="clear"/>
        </w:rPr>
        <w:t xml:space="preserve">№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2"/>
          <w:shd w:fill="DEEAF6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Tahoma" w:hAnsi="Tahoma" w:cs="Tahoma" w:eastAsia="Tahom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Въпроси към задача 2.1. Използване на команди за извеждане и изтриване на локалния DNS кеш на компютърната система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Какви типове ресурсни записи се наблюдават в кеша?</w:t>
      </w:r>
    </w:p>
    <w:p>
      <w:pPr>
        <w:spacing w:before="0" w:after="160" w:line="240"/>
        <w:ind w:right="0" w:left="72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DEEAF6" w:val="clear"/>
        </w:rPr>
      </w:pPr>
      <w:r>
        <w:object w:dxaOrig="5689" w:dyaOrig="3016">
          <v:rect xmlns:o="urn:schemas-microsoft-com:office:office" xmlns:v="urn:schemas-microsoft-com:vml" id="rectole0000000000" style="width:284.450000pt;height:15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Какво означава стойността на параметъра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Time To Live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(TTL)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в записите и кои стойности се срещат най-често в изобразените записи?</w:t>
      </w:r>
    </w:p>
    <w:p>
      <w:pPr>
        <w:spacing w:before="0" w:after="160" w:line="259"/>
        <w:ind w:right="0" w:left="72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DEEAF6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Time To Live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е променлива с кочто се определч времето което един пакет мове да прекара преди да умре, 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2"/>
          <w:shd w:fill="auto" w:val="clear"/>
        </w:rPr>
        <w:t xml:space="preserve">Резултати от задача 2.2. Използване на команда nslookup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IP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адрес на tu-varna.bg</w:t>
      </w:r>
    </w:p>
    <w:p>
      <w:pPr>
        <w:spacing w:before="0" w:after="160" w:line="240"/>
        <w:ind w:right="0" w:left="7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4778" w:dyaOrig="2247">
          <v:rect xmlns:o="urn:schemas-microsoft-com:office:office" xmlns:v="urn:schemas-microsoft-com:vml" id="rectole0000000001" style="width:238.900000pt;height:112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7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240" w:after="160" w:line="259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IP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адрес на хоста за електронна поща в домейна tu-varna.bg:</w:t>
      </w:r>
    </w:p>
    <w:p>
      <w:pPr>
        <w:spacing w:before="0" w:after="0" w:line="259"/>
        <w:ind w:right="0" w:left="7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DEEAF6" w:val="clear"/>
        </w:rPr>
      </w:pPr>
    </w:p>
    <w:p>
      <w:pPr>
        <w:spacing w:before="0" w:after="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Домейн име на хоста за електронна поща в домейна tu-varna.bg:</w:t>
      </w:r>
    </w:p>
    <w:p>
      <w:pPr>
        <w:spacing w:before="0" w:after="0" w:line="259"/>
        <w:ind w:right="0" w:left="7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DEEAF6" w:val="clear"/>
        </w:rPr>
      </w:pPr>
    </w:p>
    <w:p>
      <w:pPr>
        <w:spacing w:before="0" w:after="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Упълномощен DNS сървър за домейн tu-varna.bg:</w:t>
      </w:r>
    </w:p>
    <w:p>
      <w:pPr>
        <w:spacing w:before="0" w:after="0" w:line="259"/>
        <w:ind w:right="0" w:left="708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DEEAF6" w:val="clear"/>
        </w:rPr>
      </w:pPr>
    </w:p>
    <w:p>
      <w:pPr>
        <w:spacing w:before="0" w:after="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Упълномощен DNS сървър за домейн bg:</w:t>
      </w:r>
    </w:p>
    <w:p>
      <w:pPr>
        <w:spacing w:before="0" w:after="160" w:line="259"/>
        <w:ind w:right="0" w:left="708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DEEAF6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Въпрос към задача 2.3. Редактиране на hosts файл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Какво фигурира в локалния кеш след изчистването му и редакцията на hosts файла?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EEAF6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Резултати от задача 2.4. Инсталиране и конфигуриране на DNS сървърна роля в Windows Server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Резултат от изпълнението на nslookup за google.com:</w:t>
      </w:r>
    </w:p>
    <w:p>
      <w:pPr>
        <w:spacing w:before="0" w:after="16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DEEAF6" w:val="clear"/>
        </w:rPr>
      </w:pPr>
    </w:p>
    <w:p>
      <w:pPr>
        <w:spacing w:before="0" w:after="16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4981" w:dyaOrig="2328">
          <v:rect xmlns:o="urn:schemas-microsoft-com:office:office" xmlns:v="urn:schemas-microsoft-com:vml" id="rectole0000000002" style="width:249.050000pt;height:116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Резултат от изпълнението на nslookup за labcomputer.xyz.com (главна зона):</w:t>
      </w:r>
    </w:p>
    <w:p>
      <w:pPr>
        <w:spacing w:before="0" w:after="16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DEEAF6" w:val="clear"/>
        </w:rPr>
      </w:pPr>
      <w:r>
        <w:object w:dxaOrig="5629" w:dyaOrig="1923">
          <v:rect xmlns:o="urn:schemas-microsoft-com:office:office" xmlns:v="urn:schemas-microsoft-com:vml" id="rectole0000000003" style="width:281.450000pt;height:96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DEEAF6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Резултат от изпълнението на nslookup за labcomputer.xyz.com (репликирана вторична зона):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DEEAF6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EEAF6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EEAF6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EEAF6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EEAF6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4">
    <w:abstractNumId w:val="60"/>
  </w:num>
  <w:num w:numId="6">
    <w:abstractNumId w:val="54"/>
  </w:num>
  <w:num w:numId="9">
    <w:abstractNumId w:val="48"/>
  </w:num>
  <w:num w:numId="11">
    <w:abstractNumId w:val="42"/>
  </w:num>
  <w:num w:numId="14">
    <w:abstractNumId w:val="36"/>
  </w:num>
  <w:num w:numId="17">
    <w:abstractNumId w:val="30"/>
  </w:num>
  <w:num w:numId="20">
    <w:abstractNumId w:val="24"/>
  </w:num>
  <w:num w:numId="23">
    <w:abstractNumId w:val="18"/>
  </w:num>
  <w:num w:numId="27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