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8711" w14:textId="2E851FD9" w:rsidR="008628D3" w:rsidRPr="008628D3" w:rsidRDefault="008628D3" w:rsidP="008628D3">
      <w:pPr>
        <w:spacing w:before="120" w:after="120"/>
        <w:jc w:val="center"/>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Research Proposal: Strategic Roles of Landlords in UK Retail Turnaround Investments</w:t>
      </w:r>
    </w:p>
    <w:p w14:paraId="268A88EB"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This study looks at how landlords contribute to UK retail restructuring, focusing on turnaround investors and their involvement in Company Voluntary Arrangements (CVAs) and restructuring plans. Using data from a family office specialising in turnaround investments and interviews with senior management, the research explores how landlords' actions affect investment returns and value creation. It reviews investment choices, negotiation strategies, and performance after restructuring to find what helps landlords participate constructively and to create practical frameworks for better landlord-tenant collaboration during financial challenges.</w:t>
      </w:r>
    </w:p>
    <w:p w14:paraId="2BB36EDF"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This research covers important topics in business restructuring and turnaround investments. Practitioners need to understand how landlords operate because they are often the highest ongoing cost, and their support can make or break an investment. By looking at real cases, the study connects theory with practice and offers useful advice for investors, advisors, and management teams working with landlords. The results give practical guidance to improve landlord engagement, boost investment returns, and support business recovery.</w:t>
      </w:r>
    </w:p>
    <w:p w14:paraId="1DB13023"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b/>
          <w:bCs/>
        </w:rPr>
        <w:t>Main research question:</w:t>
      </w:r>
    </w:p>
    <w:p w14:paraId="3190815D"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How do landlords' strategic decisions influence UK retail turnaround success, and what engagement strategies enable investors to maximise value creation and achieve a successful business recovery?</w:t>
      </w:r>
    </w:p>
    <w:p w14:paraId="0FBF8DAD"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u w:val="single"/>
        </w:rPr>
        <w:t>Sub-questions</w:t>
      </w:r>
      <w:r w:rsidRPr="008628D3">
        <w:rPr>
          <w:rFonts w:ascii="Times New Roman" w:eastAsia="Times New Roman" w:hAnsi="Times New Roman" w:cs="Times New Roman"/>
        </w:rPr>
        <w:t xml:space="preserve">: </w:t>
      </w:r>
    </w:p>
    <w:p w14:paraId="42AAE4DD"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(1) What landlord characteristics correlate with successful turnaround outcomes? (2) How do CVAs versus restructuring plans affect landlords' willingness to support investments?</w:t>
      </w:r>
    </w:p>
    <w:p w14:paraId="311AC2E9"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 xml:space="preserve">(3) What deal structures effectively align landlord-investor interests? </w:t>
      </w:r>
    </w:p>
    <w:p w14:paraId="6AB42934"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(4) How do post-restructuring landlord relationships shape operational flexibility and exit value?</w:t>
      </w:r>
    </w:p>
    <w:p w14:paraId="1C9D9173" w14:textId="75DF99B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 xml:space="preserve">UK retail restructuring has generated substantial turnaround investment opportunities, as evidenced by cases such as Debenhams, Arcadia, and House of Fraser, which illustrate diverse approaches to landlord engagement. For investors, negotiations with landlords are key value drivers; successful rent reductions directly enhance cash flow and valuations, whereas landlord opposition can undermine otherwise viable investment strategies. PwC research indicating that 51% of retail CVAs failed underscores the </w:t>
      </w:r>
      <w:r w:rsidR="00F7302A">
        <w:rPr>
          <w:rFonts w:ascii="Times New Roman" w:eastAsia="Times New Roman" w:hAnsi="Times New Roman" w:cs="Times New Roman"/>
        </w:rPr>
        <w:t>need to distinguish</w:t>
      </w:r>
      <w:r w:rsidRPr="008628D3">
        <w:rPr>
          <w:rFonts w:ascii="Times New Roman" w:eastAsia="Times New Roman" w:hAnsi="Times New Roman" w:cs="Times New Roman"/>
        </w:rPr>
        <w:t xml:space="preserve"> sustainable restructurings from value-destructive delays.</w:t>
      </w:r>
    </w:p>
    <w:p w14:paraId="63E1AF48"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The 93% compromise rate among landlords in CVAs presents both opportunities and risks: while it offers the potential to reduce occupancy costs, it also introduces the risk of adversarial relationships following restructuring. The restructuring plans introduced in 2020 offer enhanced tools for stakeholder coordination, as demonstrated by the cases of Virgin Active and Prezzo, which illustrate how structured processes can secure landlord support for turnaround initiatives.</w:t>
      </w:r>
    </w:p>
    <w:p w14:paraId="640E5A6F"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 xml:space="preserve">Current research lacks practitioner perspectives on landlord involvement strategies that optimise investment outcomes. While academic literature addresses regulatory systems, it offers limited guidance for investors regarding the impact of landlord dynamics on deal structuring and </w:t>
      </w:r>
      <w:r w:rsidRPr="008628D3">
        <w:rPr>
          <w:rFonts w:ascii="Times New Roman" w:eastAsia="Times New Roman" w:hAnsi="Times New Roman" w:cs="Times New Roman"/>
        </w:rPr>
        <w:lastRenderedPageBreak/>
        <w:t>valuation. This study addresses these gaps by analysing actual turnaround cases, thereby integrating theoretical frameworks with investment practice.</w:t>
      </w:r>
    </w:p>
    <w:p w14:paraId="15B04924"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Phase 1 employs quantitative analysis by integrating a proprietary family office database with public case data to examine investment returns, landlord cooperation, rent structures, and correlations between interaction strategies and value creation. The proprietary data offers unique insights into investor decision-making processes and financial outcomes.</w:t>
      </w:r>
    </w:p>
    <w:p w14:paraId="26F2A460"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Phase 2 consists of in-depth case studies of portfolio investments that exemplify successful turnarounds, complex negotiations, comparisons between CVAs and restructuring plans, and innovative landlord structures. This analysis evaluates investment theses, negotiation strategies, and value realisation.</w:t>
      </w:r>
    </w:p>
    <w:p w14:paraId="4598B67D"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Phase 3 involves semi-structured interviews with senior management and external stakeholders, including institutional landlords, property advisors, insolvency practitioners, and restructuring lawyers. These interviews explore investment criteria, negotiation tactics, and emerging best practices.</w:t>
      </w:r>
    </w:p>
    <w:p w14:paraId="0E9DBB6B"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Phase 4 focuses on developing a framework that synthesises the research findings into practical guidance for turnaround investors. This framework addresses landlord due diligence, mechanism selection, negotiation strategies, and relationship management. The research adheres to ethical protocols, including informed consent, confidentiality agreements, and university ethics approval.</w:t>
      </w:r>
    </w:p>
    <w:p w14:paraId="542BC1D3"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Proprietary primary sources include investment case files such as due diligence reports, landlord analyses, deal models, post-investment monitoring data, investment committee materials, portfolio company management reports, and exit valuations. Access to these materials is secured through a formal research agreement that ensures confidentiality and appropriate anonymisation. Internal interviews are conducted with senior management, investment professionals, and portfolio company CEOs.</w:t>
      </w:r>
    </w:p>
    <w:p w14:paraId="2DB7A035"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External primary sources comprise CVA proposals and restructuring plans for comparative cases (sourced from Companies House), court judgments (from BAILII and Westlaw), and interviews with institutional landlords, property advisors, insolvency practitioners, and restructuring lawyers. Approximately 10 to 12 interviews will be conducted through professional networks and the British Property Federation.</w:t>
      </w:r>
    </w:p>
    <w:p w14:paraId="7889E1F3"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Secondary sources include Insolvency Service statistics, property market reports (from CBRE, Savills, and JLL), restructuring case studies from law firms, academic literature on turnaround investing and creditor coordination, and relevant industry publications. These materials are accessed via university library subscriptions, public databases, and industry relationships.</w:t>
      </w:r>
    </w:p>
    <w:p w14:paraId="5CAE192B"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b/>
          <w:bCs/>
        </w:rPr>
        <w:t>Bibliography:</w:t>
      </w:r>
    </w:p>
    <w:p w14:paraId="1E08640F"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British Property Federation (2018-2019) Publications on CVA evolution and property stakeholder engagement in retail restructurings. London: BPF.</w:t>
      </w:r>
    </w:p>
    <w:p w14:paraId="42F35A55"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Bruner, R.F. and Perella, J.R. (2004). Applied Mergers and Acquisitions. Hoboken, NJ: John Wiley &amp; Sons.</w:t>
      </w:r>
    </w:p>
    <w:p w14:paraId="0CDD4247"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CBRE, JLL and Savills (2020-2025) UK Retail Property Market Reports and Restructuring Case Studies. London.</w:t>
      </w:r>
    </w:p>
    <w:p w14:paraId="1F4457A4"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lastRenderedPageBreak/>
        <w:t>Discovery (Northampton) Ltd and others v Debenhams Retail Ltd and others [2019] EWHC 2441 (Ch).</w:t>
      </w:r>
    </w:p>
    <w:p w14:paraId="1BE2EAC0"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 xml:space="preserve">Gilson, S.C. (2010). Creating Value through Corporate Restructuring. 2nd </w:t>
      </w:r>
      <w:proofErr w:type="spellStart"/>
      <w:r w:rsidRPr="008628D3">
        <w:rPr>
          <w:rFonts w:ascii="Times New Roman" w:eastAsia="Times New Roman" w:hAnsi="Times New Roman" w:cs="Times New Roman"/>
        </w:rPr>
        <w:t>edn</w:t>
      </w:r>
      <w:proofErr w:type="spellEnd"/>
      <w:r w:rsidRPr="008628D3">
        <w:rPr>
          <w:rFonts w:ascii="Times New Roman" w:eastAsia="Times New Roman" w:hAnsi="Times New Roman" w:cs="Times New Roman"/>
        </w:rPr>
        <w:t>. Hoboken, NJ: John Wiley &amp; Sons.</w:t>
      </w:r>
    </w:p>
    <w:p w14:paraId="6B5475C1"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 xml:space="preserve">Hotchkiss, E.S., John, K., Mooradian, R.M. and Thorburn, K.S. (2008) 'Bankruptcy and the resolution of financial distress', in </w:t>
      </w:r>
      <w:proofErr w:type="spellStart"/>
      <w:r w:rsidRPr="008628D3">
        <w:rPr>
          <w:rFonts w:ascii="Times New Roman" w:eastAsia="Times New Roman" w:hAnsi="Times New Roman" w:cs="Times New Roman"/>
        </w:rPr>
        <w:t>Eckbo</w:t>
      </w:r>
      <w:proofErr w:type="spellEnd"/>
      <w:r w:rsidRPr="008628D3">
        <w:rPr>
          <w:rFonts w:ascii="Times New Roman" w:eastAsia="Times New Roman" w:hAnsi="Times New Roman" w:cs="Times New Roman"/>
        </w:rPr>
        <w:t>, B.E. (ed.) Handbook of Empirical Corporate Finance. Amsterdam: Elsevier, pp. 235-287.</w:t>
      </w:r>
    </w:p>
    <w:p w14:paraId="22365B2F"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Insolvency Service (2019) Research into the Treatment of Landlords in Company Voluntary Arrangements. London: The Insolvency Service.</w:t>
      </w:r>
    </w:p>
    <w:p w14:paraId="1A54ED79"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Journal of Property Research (2022) 'Changing tenant covenant perceptions and flexibility in the lease model in UK city centres', 39(1), pp. 1-24.</w:t>
      </w:r>
    </w:p>
    <w:p w14:paraId="4726F4CD"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Pinsent Masons and Norton Rose Fulbright (2020-2025) Legal Analyses of Restructuring Plan Case Law and CVA Challenges. London.</w:t>
      </w:r>
    </w:p>
    <w:p w14:paraId="3C8A3F01" w14:textId="77777777" w:rsidR="008628D3" w:rsidRPr="008628D3" w:rsidRDefault="008628D3" w:rsidP="007C4732">
      <w:pPr>
        <w:spacing w:after="120"/>
        <w:jc w:val="both"/>
        <w:rPr>
          <w:rFonts w:ascii="Times New Roman" w:eastAsia="Times New Roman" w:hAnsi="Times New Roman" w:cs="Times New Roman"/>
        </w:rPr>
      </w:pPr>
      <w:r w:rsidRPr="008628D3">
        <w:rPr>
          <w:rFonts w:ascii="Times New Roman" w:eastAsia="Times New Roman" w:hAnsi="Times New Roman" w:cs="Times New Roman"/>
        </w:rPr>
        <w:t>PwC (2018) Retail Restructuring: Why CVAs Alone Are Not the Answer. London: PricewaterhouseCoopers.</w:t>
      </w:r>
    </w:p>
    <w:p w14:paraId="050B9B69" w14:textId="77777777" w:rsidR="000D422E" w:rsidRDefault="000D422E" w:rsidP="00811A32">
      <w:pPr>
        <w:spacing w:after="120"/>
        <w:jc w:val="both"/>
      </w:pPr>
    </w:p>
    <w:sectPr w:rsidR="000D42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4B4A"/>
    <w:multiLevelType w:val="hybridMultilevel"/>
    <w:tmpl w:val="205CE288"/>
    <w:lvl w:ilvl="0" w:tplc="40E05FC4">
      <w:start w:val="1"/>
      <w:numFmt w:val="bullet"/>
      <w:lvlText w:val="●"/>
      <w:lvlJc w:val="left"/>
      <w:pPr>
        <w:ind w:left="720" w:hanging="360"/>
      </w:pPr>
    </w:lvl>
    <w:lvl w:ilvl="1" w:tplc="492C695E">
      <w:start w:val="1"/>
      <w:numFmt w:val="bullet"/>
      <w:lvlText w:val="○"/>
      <w:lvlJc w:val="left"/>
      <w:pPr>
        <w:ind w:left="1440" w:hanging="360"/>
      </w:pPr>
    </w:lvl>
    <w:lvl w:ilvl="2" w:tplc="B534388E">
      <w:start w:val="1"/>
      <w:numFmt w:val="bullet"/>
      <w:lvlText w:val="■"/>
      <w:lvlJc w:val="left"/>
      <w:pPr>
        <w:ind w:left="2160" w:hanging="360"/>
      </w:pPr>
    </w:lvl>
    <w:lvl w:ilvl="3" w:tplc="17EE486E">
      <w:start w:val="1"/>
      <w:numFmt w:val="bullet"/>
      <w:lvlText w:val="●"/>
      <w:lvlJc w:val="left"/>
      <w:pPr>
        <w:ind w:left="2880" w:hanging="360"/>
      </w:pPr>
    </w:lvl>
    <w:lvl w:ilvl="4" w:tplc="258E246A">
      <w:start w:val="1"/>
      <w:numFmt w:val="bullet"/>
      <w:lvlText w:val="○"/>
      <w:lvlJc w:val="left"/>
      <w:pPr>
        <w:ind w:left="3600" w:hanging="360"/>
      </w:pPr>
    </w:lvl>
    <w:lvl w:ilvl="5" w:tplc="3EC0BE10">
      <w:start w:val="1"/>
      <w:numFmt w:val="bullet"/>
      <w:lvlText w:val="■"/>
      <w:lvlJc w:val="left"/>
      <w:pPr>
        <w:ind w:left="4320" w:hanging="360"/>
      </w:pPr>
    </w:lvl>
    <w:lvl w:ilvl="6" w:tplc="0B2E6672">
      <w:start w:val="1"/>
      <w:numFmt w:val="bullet"/>
      <w:lvlText w:val="●"/>
      <w:lvlJc w:val="left"/>
      <w:pPr>
        <w:ind w:left="5040" w:hanging="360"/>
      </w:pPr>
    </w:lvl>
    <w:lvl w:ilvl="7" w:tplc="7C44D5FE">
      <w:start w:val="1"/>
      <w:numFmt w:val="bullet"/>
      <w:lvlText w:val="●"/>
      <w:lvlJc w:val="left"/>
      <w:pPr>
        <w:ind w:left="5760" w:hanging="360"/>
      </w:pPr>
    </w:lvl>
    <w:lvl w:ilvl="8" w:tplc="1CB46DAA">
      <w:start w:val="1"/>
      <w:numFmt w:val="bullet"/>
      <w:lvlText w:val="●"/>
      <w:lvlJc w:val="left"/>
      <w:pPr>
        <w:ind w:left="6480" w:hanging="360"/>
      </w:pPr>
    </w:lvl>
  </w:abstractNum>
  <w:num w:numId="1" w16cid:durableId="342168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3F"/>
    <w:rsid w:val="000D422E"/>
    <w:rsid w:val="003970A4"/>
    <w:rsid w:val="004F3A3F"/>
    <w:rsid w:val="00556FF6"/>
    <w:rsid w:val="007C4732"/>
    <w:rsid w:val="00811A32"/>
    <w:rsid w:val="008628D3"/>
    <w:rsid w:val="00A6131B"/>
    <w:rsid w:val="00F73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3D3E"/>
  <w15:docId w15:val="{3A4001F8-182F-4029-90A8-C87B598F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877</Words>
  <Characters>6388</Characters>
  <Application>Microsoft Office Word</Application>
  <DocSecurity>0</DocSecurity>
  <Lines>103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 Parashkevov</cp:lastModifiedBy>
  <cp:revision>7</cp:revision>
  <dcterms:created xsi:type="dcterms:W3CDTF">2026-02-15T14:35:00Z</dcterms:created>
  <dcterms:modified xsi:type="dcterms:W3CDTF">2026-02-15T15:21:00Z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af8d4899-05b6-4fff-9d12-c58009e02040</vt:lpwstr>
  </property>
</Properties>
</file>