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Diamond Prices Dataset Analysis - Summary</w:t>
      </w:r>
    </w:p>
    <w:p>
      <w:r>
        <w:t>Unit 1 performed exploratory analysis and data preprocessing. Dataset was loaded, inspected for columns, data types, and shape. Missing values, duplicates, and negative or zero values in x, y, z were removed. Descriptive statistics showed central tendency and dispersion, highlighting skewness and suggesting when to use mean or median. Visuals such as histograms and boxplots revealed distribution shapes and relationships like higher price variation for better cuts. Outliers were detected using IQR and removed to stabilize data distribution. Q-Q plots confirmed deviations from normality in dimensional variables. Correlation heatmap indicated carat had the strongest positive correlation with price, while depth had the weakest.</w:t>
        <w:br/>
        <w:br/>
        <w:t>Unit 2 covered confidence intervals and margin of error. A 95% confidence interval was computed for mean carat weight, estimating population average within upper and lower bounds. Margin of error for mean price was calculated at 90%, 95%, and 99% confidence levels, showing that increasing confidence widens the interval.</w:t>
        <w:br/>
        <w:br/>
        <w:t>Unit 3 handled hypothesis testing and predictive modeling. A t-test between Ideal and Fair cut diamonds showed significant mean price difference at α=0.05, proving cut quality affects price. Pearson correlation confirmed a strong positive relationship between carat and price. A simple linear regression model Price = β₀ + β₁(Carat) quantified that each additional carat raises price by β₁ on average, with R² showing model fit strength.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