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8EED7" w14:textId="77777777" w:rsidR="00EA0215" w:rsidRDefault="00EA0215">
      <w:pPr>
        <w:spacing w:before="240" w:after="60"/>
        <w:jc w:val="center"/>
        <w:rPr>
          <w:b/>
          <w:bCs/>
          <w:color w:val="1F3864"/>
          <w:sz w:val="36"/>
          <w:szCs w:val="36"/>
        </w:rPr>
      </w:pPr>
    </w:p>
    <w:p w14:paraId="6FE2365E" w14:textId="77777777" w:rsidR="00EA0215" w:rsidRDefault="00EA0215">
      <w:pPr>
        <w:spacing w:before="240" w:after="60"/>
        <w:jc w:val="center"/>
        <w:rPr>
          <w:b/>
          <w:bCs/>
          <w:color w:val="1F3864"/>
          <w:sz w:val="36"/>
          <w:szCs w:val="36"/>
        </w:rPr>
      </w:pPr>
    </w:p>
    <w:p w14:paraId="1AD2B359" w14:textId="77777777" w:rsidR="00EA0215" w:rsidRDefault="00EA0215">
      <w:pPr>
        <w:spacing w:before="240" w:after="60"/>
        <w:jc w:val="center"/>
        <w:rPr>
          <w:b/>
          <w:bCs/>
          <w:color w:val="1F3864"/>
          <w:sz w:val="36"/>
          <w:szCs w:val="36"/>
        </w:rPr>
      </w:pPr>
    </w:p>
    <w:p w14:paraId="38152764" w14:textId="77777777" w:rsidR="00EA0215" w:rsidRDefault="00EA0215">
      <w:pPr>
        <w:spacing w:before="240" w:after="60"/>
        <w:jc w:val="center"/>
        <w:rPr>
          <w:b/>
          <w:bCs/>
          <w:color w:val="1F3864"/>
          <w:sz w:val="36"/>
          <w:szCs w:val="36"/>
        </w:rPr>
      </w:pPr>
    </w:p>
    <w:p w14:paraId="56911253" w14:textId="77777777" w:rsidR="00EA0215" w:rsidRDefault="00EA0215">
      <w:pPr>
        <w:spacing w:before="240" w:after="60"/>
        <w:jc w:val="center"/>
        <w:rPr>
          <w:b/>
          <w:bCs/>
          <w:color w:val="1F3864"/>
          <w:sz w:val="36"/>
          <w:szCs w:val="36"/>
        </w:rPr>
      </w:pPr>
    </w:p>
    <w:p w14:paraId="36A2AF57" w14:textId="77777777" w:rsidR="00EA0215" w:rsidRDefault="00EA0215">
      <w:pPr>
        <w:spacing w:before="240" w:after="60"/>
        <w:jc w:val="center"/>
        <w:rPr>
          <w:b/>
          <w:bCs/>
          <w:color w:val="1F3864"/>
          <w:sz w:val="36"/>
          <w:szCs w:val="36"/>
        </w:rPr>
      </w:pPr>
    </w:p>
    <w:p w14:paraId="2DE6CE38" w14:textId="77777777" w:rsidR="00EA0215" w:rsidRDefault="00EA0215">
      <w:pPr>
        <w:spacing w:before="240" w:after="60"/>
        <w:jc w:val="center"/>
        <w:rPr>
          <w:b/>
          <w:bCs/>
          <w:color w:val="1F3864"/>
          <w:sz w:val="36"/>
          <w:szCs w:val="36"/>
        </w:rPr>
      </w:pPr>
    </w:p>
    <w:p w14:paraId="39C91235" w14:textId="77777777" w:rsidR="00EA0215" w:rsidRDefault="00EA0215">
      <w:pPr>
        <w:spacing w:before="240" w:after="60"/>
        <w:jc w:val="center"/>
        <w:rPr>
          <w:b/>
          <w:bCs/>
          <w:color w:val="1F3864"/>
          <w:sz w:val="36"/>
          <w:szCs w:val="36"/>
        </w:rPr>
      </w:pPr>
    </w:p>
    <w:p w14:paraId="43FB0D25" w14:textId="77777777" w:rsidR="00EA0215" w:rsidRDefault="00EA0215">
      <w:pPr>
        <w:spacing w:before="240" w:after="60"/>
        <w:jc w:val="center"/>
        <w:rPr>
          <w:b/>
          <w:bCs/>
          <w:color w:val="1F3864"/>
          <w:sz w:val="36"/>
          <w:szCs w:val="36"/>
        </w:rPr>
      </w:pPr>
    </w:p>
    <w:p w14:paraId="17A2C005" w14:textId="77777777" w:rsidR="00EA0215" w:rsidRDefault="00EA0215">
      <w:pPr>
        <w:spacing w:before="240" w:after="60"/>
        <w:jc w:val="center"/>
        <w:rPr>
          <w:b/>
          <w:bCs/>
          <w:color w:val="1F3864"/>
          <w:sz w:val="36"/>
          <w:szCs w:val="36"/>
        </w:rPr>
      </w:pPr>
    </w:p>
    <w:p w14:paraId="0F66335A" w14:textId="11341F55" w:rsidR="008F74A2" w:rsidRDefault="00000000">
      <w:pPr>
        <w:spacing w:before="240" w:after="60"/>
        <w:jc w:val="center"/>
      </w:pPr>
      <w:r>
        <w:rPr>
          <w:b/>
          <w:bCs/>
          <w:color w:val="1F3864"/>
          <w:sz w:val="36"/>
          <w:szCs w:val="36"/>
        </w:rPr>
        <w:t>Agentic AI for Clinical Decision Support</w:t>
      </w:r>
    </w:p>
    <w:p w14:paraId="5ECCC3E8" w14:textId="77777777" w:rsidR="008F74A2" w:rsidRDefault="00000000">
      <w:pPr>
        <w:spacing w:after="60"/>
        <w:jc w:val="center"/>
      </w:pPr>
      <w:r>
        <w:rPr>
          <w:b/>
          <w:bCs/>
          <w:color w:val="1F3864"/>
          <w:sz w:val="36"/>
          <w:szCs w:val="36"/>
        </w:rPr>
        <w:t>and Payment Integrity in Healthcare Systems</w:t>
      </w:r>
    </w:p>
    <w:p w14:paraId="70848EAB" w14:textId="77777777" w:rsidR="008F74A2" w:rsidRDefault="00000000">
      <w:pPr>
        <w:spacing w:before="80" w:after="40"/>
        <w:jc w:val="center"/>
      </w:pPr>
      <w:r>
        <w:rPr>
          <w:i/>
          <w:iCs/>
          <w:color w:val="444444"/>
        </w:rPr>
        <w:t>A Strategic Technology Report for Cotiviti</w:t>
      </w:r>
    </w:p>
    <w:p w14:paraId="59387201" w14:textId="7BF8191A" w:rsidR="008F74A2" w:rsidRDefault="000F7F5D" w:rsidP="00EA0215">
      <w:pPr>
        <w:spacing w:after="320"/>
        <w:jc w:val="center"/>
        <w:rPr>
          <w:color w:val="888888"/>
          <w:sz w:val="20"/>
          <w:szCs w:val="20"/>
        </w:rPr>
      </w:pPr>
      <w:r>
        <w:rPr>
          <w:color w:val="888888"/>
          <w:sz w:val="20"/>
          <w:szCs w:val="20"/>
        </w:rPr>
        <w:t xml:space="preserve">29 </w:t>
      </w:r>
      <w:r w:rsidR="00000000">
        <w:rPr>
          <w:color w:val="888888"/>
          <w:sz w:val="20"/>
          <w:szCs w:val="20"/>
        </w:rPr>
        <w:t>June 2026</w:t>
      </w:r>
    </w:p>
    <w:p w14:paraId="183A130E" w14:textId="5E9D7973" w:rsidR="000F7F5D" w:rsidRPr="000F7F5D" w:rsidRDefault="000F7F5D" w:rsidP="000F7F5D">
      <w:pPr>
        <w:spacing w:before="80" w:after="40"/>
        <w:jc w:val="center"/>
        <w:rPr>
          <w:i/>
          <w:iCs/>
          <w:color w:val="444444"/>
        </w:rPr>
      </w:pPr>
      <w:r w:rsidRPr="000F7F5D">
        <w:rPr>
          <w:i/>
          <w:iCs/>
          <w:color w:val="444444"/>
        </w:rPr>
        <w:t>Krithika Murugesan</w:t>
      </w:r>
    </w:p>
    <w:p w14:paraId="53D54FBF" w14:textId="44F3C81D" w:rsidR="000F7F5D" w:rsidRPr="000F7F5D" w:rsidRDefault="000F7F5D" w:rsidP="000F7F5D">
      <w:pPr>
        <w:spacing w:before="80" w:after="40"/>
        <w:jc w:val="center"/>
        <w:rPr>
          <w:i/>
          <w:iCs/>
          <w:color w:val="444444"/>
        </w:rPr>
      </w:pPr>
      <w:r w:rsidRPr="000F7F5D">
        <w:rPr>
          <w:i/>
          <w:iCs/>
          <w:color w:val="444444"/>
        </w:rPr>
        <w:t>Northeastern University</w:t>
      </w:r>
    </w:p>
    <w:p w14:paraId="0CB46737" w14:textId="77777777" w:rsidR="00EA0215" w:rsidRDefault="00EA0215">
      <w:pPr>
        <w:pStyle w:val="Heading1"/>
      </w:pPr>
    </w:p>
    <w:p w14:paraId="0F4CB065" w14:textId="77777777" w:rsidR="00EA0215" w:rsidRDefault="00EA0215">
      <w:pPr>
        <w:pStyle w:val="Heading1"/>
      </w:pPr>
    </w:p>
    <w:p w14:paraId="09D791BE" w14:textId="77777777" w:rsidR="00EA0215" w:rsidRDefault="00EA0215">
      <w:pPr>
        <w:pStyle w:val="Heading1"/>
      </w:pPr>
    </w:p>
    <w:p w14:paraId="23A323EB" w14:textId="77777777" w:rsidR="00EA0215" w:rsidRDefault="00EA0215">
      <w:pPr>
        <w:pStyle w:val="Heading1"/>
      </w:pPr>
    </w:p>
    <w:p w14:paraId="675E75D8" w14:textId="77777777" w:rsidR="00EA0215" w:rsidRDefault="00EA0215">
      <w:pPr>
        <w:pStyle w:val="Heading1"/>
      </w:pPr>
    </w:p>
    <w:p w14:paraId="63608659" w14:textId="77777777" w:rsidR="00EA0215" w:rsidRDefault="00EA0215">
      <w:pPr>
        <w:pStyle w:val="Heading1"/>
      </w:pPr>
    </w:p>
    <w:p w14:paraId="1F6A563D" w14:textId="77777777" w:rsidR="00EA0215" w:rsidRDefault="00EA0215">
      <w:pPr>
        <w:pStyle w:val="Heading1"/>
      </w:pPr>
    </w:p>
    <w:p w14:paraId="039694E1" w14:textId="77777777" w:rsidR="000F7F5D" w:rsidRDefault="000F7F5D">
      <w:pPr>
        <w:pStyle w:val="Heading1"/>
      </w:pPr>
    </w:p>
    <w:p w14:paraId="657A7238" w14:textId="33594AC7" w:rsidR="008F74A2" w:rsidRDefault="00000000">
      <w:pPr>
        <w:pStyle w:val="Heading1"/>
      </w:pPr>
      <w:r>
        <w:t>1. Introduction</w:t>
      </w:r>
    </w:p>
    <w:p w14:paraId="257CB0BA" w14:textId="77777777" w:rsidR="008F74A2" w:rsidRDefault="00000000">
      <w:pPr>
        <w:spacing w:after="120" w:line="276" w:lineRule="auto"/>
        <w:jc w:val="both"/>
      </w:pPr>
      <w:r>
        <w:t>Healthcare payment integrity is the process of ensuring that medical claims are accurate, compliant, and aligned with payer policies. It plays a critical role in preventing overpayments, fraud, waste, and abuse. The U.S. healthcare system processes more than five billion claims annually, making accuracy and efficiency paramount to financial sustainability across payers, providers, and patients alike (CMS, 2024).</w:t>
      </w:r>
    </w:p>
    <w:p w14:paraId="3B949601" w14:textId="77777777" w:rsidR="008F74A2" w:rsidRDefault="00000000">
      <w:pPr>
        <w:spacing w:after="120" w:line="276" w:lineRule="auto"/>
        <w:jc w:val="both"/>
      </w:pPr>
      <w:r>
        <w:t>Traditional claim review systems rely heavily on manual processes and rule-based engines, which are slow, expensive, and difficult to scale given the increasing complexity of healthcare coding, billing, and regulatory requirements. As payer organizations like Cotiviti face growing volumes and tighter compliance mandates, the limitations of legacy approaches have become critical business risks.</w:t>
      </w:r>
    </w:p>
    <w:p w14:paraId="4E4B7450" w14:textId="77777777" w:rsidR="008F74A2" w:rsidRDefault="00000000">
      <w:pPr>
        <w:spacing w:after="120" w:line="276" w:lineRule="auto"/>
        <w:jc w:val="both"/>
      </w:pPr>
      <w:r>
        <w:t>This report proposes an Agentic AI-based system that enhances clinical decision support and payment integrity through workflow-based reasoning, retrieval-augmented generation (RAG), and explainable AI. The system is designed not to replace human judgment, but to augment it—delivering faster, more accurate, and auditable claim assessments while maintaining compliance with HIPAA and applicable healthcare regulations.</w:t>
      </w:r>
    </w:p>
    <w:p w14:paraId="3FB9F3A2" w14:textId="77777777" w:rsidR="008F74A2" w:rsidRDefault="008F74A2">
      <w:pPr>
        <w:spacing w:after="80"/>
      </w:pPr>
    </w:p>
    <w:p w14:paraId="5BC46E22" w14:textId="77777777" w:rsidR="008F74A2" w:rsidRDefault="00000000">
      <w:pPr>
        <w:pStyle w:val="Heading1"/>
      </w:pPr>
      <w:r>
        <w:t>2. Industry Trends</w:t>
      </w:r>
    </w:p>
    <w:p w14:paraId="19C1F7DA" w14:textId="77777777" w:rsidR="008F74A2" w:rsidRDefault="00000000">
      <w:pPr>
        <w:spacing w:after="120" w:line="276" w:lineRule="auto"/>
        <w:jc w:val="both"/>
      </w:pPr>
      <w:r>
        <w:t>Several converging forces are reshaping how payers approach payment integrity and clinical decision support:</w:t>
      </w:r>
    </w:p>
    <w:p w14:paraId="414E3672" w14:textId="77777777" w:rsidR="008F74A2" w:rsidRDefault="00000000">
      <w:pPr>
        <w:pStyle w:val="ListParagraph"/>
        <w:numPr>
          <w:ilvl w:val="0"/>
          <w:numId w:val="2"/>
        </w:numPr>
        <w:spacing w:before="40" w:after="40" w:line="276" w:lineRule="auto"/>
      </w:pPr>
      <w:r>
        <w:t>Rapid growth in claims volume and complexity, driven by an aging population, expanded coverage under the Affordable Care Act, and increasingly intricate coding requirements such as ICD-10-CM and CPT updates.</w:t>
      </w:r>
    </w:p>
    <w:p w14:paraId="708B7B7E" w14:textId="77777777" w:rsidR="008F74A2" w:rsidRDefault="00000000">
      <w:pPr>
        <w:pStyle w:val="ListParagraph"/>
        <w:numPr>
          <w:ilvl w:val="0"/>
          <w:numId w:val="2"/>
        </w:numPr>
        <w:spacing w:before="40" w:after="40" w:line="276" w:lineRule="auto"/>
      </w:pPr>
      <w:r>
        <w:t>Accelerating adoption of AI in healthcare analytics, with the AI healthcare market projected to exceed $188 billion by 2030 (Grand View Research, 2023), reflecting broad industry investment in machine learning for prior authorization, fraud detection, and utilization management.</w:t>
      </w:r>
    </w:p>
    <w:p w14:paraId="320D86F0" w14:textId="77777777" w:rsidR="008F74A2" w:rsidRDefault="00000000">
      <w:pPr>
        <w:pStyle w:val="ListParagraph"/>
        <w:numPr>
          <w:ilvl w:val="0"/>
          <w:numId w:val="2"/>
        </w:numPr>
        <w:spacing w:before="40" w:after="40" w:line="276" w:lineRule="auto"/>
      </w:pPr>
      <w:r>
        <w:t>Industry-wide shift from rule-based systems to AI-assisted decision-making, enabling organizations to detect nuanced patterns of overbilling, upcoding, and unbundling that static rule sets cannot capture.</w:t>
      </w:r>
    </w:p>
    <w:p w14:paraId="4BFE69E5" w14:textId="77777777" w:rsidR="008F74A2" w:rsidRDefault="00000000">
      <w:pPr>
        <w:pStyle w:val="ListParagraph"/>
        <w:numPr>
          <w:ilvl w:val="0"/>
          <w:numId w:val="2"/>
        </w:numPr>
        <w:spacing w:before="40" w:after="40" w:line="276" w:lineRule="auto"/>
      </w:pPr>
      <w:r>
        <w:t>Growing regulatory demand for explainable and auditable AI systems, particularly as CMS and state agencies require documentation of how automated decisions are reached in appeals and audit processes.</w:t>
      </w:r>
    </w:p>
    <w:p w14:paraId="7A3165AE" w14:textId="77777777" w:rsidR="008F74A2" w:rsidRDefault="00000000">
      <w:pPr>
        <w:pStyle w:val="ListParagraph"/>
        <w:numPr>
          <w:ilvl w:val="0"/>
          <w:numId w:val="2"/>
        </w:numPr>
        <w:spacing w:before="40" w:after="40" w:line="276" w:lineRule="auto"/>
      </w:pPr>
      <w:r>
        <w:t>Integration of generative AI into enterprise workflows, including the emergence of agentic architectures—multi-step, tool-using AI systems capable of reasoning through complex tasks with minimal human intervention (Liang et al., 2024).</w:t>
      </w:r>
    </w:p>
    <w:p w14:paraId="5416CF34" w14:textId="77777777" w:rsidR="008F74A2" w:rsidRDefault="008F74A2">
      <w:pPr>
        <w:spacing w:after="80"/>
      </w:pPr>
    </w:p>
    <w:p w14:paraId="0A17D5A3" w14:textId="77777777" w:rsidR="008F74A2" w:rsidRDefault="00000000">
      <w:pPr>
        <w:pStyle w:val="Heading1"/>
      </w:pPr>
      <w:r>
        <w:t>3. Opportunities</w:t>
      </w:r>
    </w:p>
    <w:p w14:paraId="4F6B763A" w14:textId="77777777" w:rsidR="008F74A2" w:rsidRDefault="00000000">
      <w:pPr>
        <w:spacing w:after="120" w:line="276" w:lineRule="auto"/>
        <w:jc w:val="both"/>
      </w:pPr>
      <w:r>
        <w:t>Agentic AI presents several strategic opportunities for Cotiviti’s payment integrity and clinical analytics offerings:</w:t>
      </w:r>
    </w:p>
    <w:p w14:paraId="68A368C2" w14:textId="77777777" w:rsidR="008F74A2" w:rsidRDefault="00000000">
      <w:pPr>
        <w:pStyle w:val="ListParagraph"/>
        <w:numPr>
          <w:ilvl w:val="0"/>
          <w:numId w:val="2"/>
        </w:numPr>
        <w:spacing w:before="40" w:after="40" w:line="276" w:lineRule="auto"/>
      </w:pPr>
      <w:r>
        <w:lastRenderedPageBreak/>
        <w:t>Automating claim validation and policy compliance checks, reducing end-to-end review cycle times and lowering per-claim processing costs.</w:t>
      </w:r>
    </w:p>
    <w:p w14:paraId="5FF6C493" w14:textId="77777777" w:rsidR="008F74A2" w:rsidRDefault="00000000">
      <w:pPr>
        <w:pStyle w:val="ListParagraph"/>
        <w:numPr>
          <w:ilvl w:val="0"/>
          <w:numId w:val="2"/>
        </w:numPr>
        <w:spacing w:before="40" w:after="40" w:line="276" w:lineRule="auto"/>
      </w:pPr>
      <w:r>
        <w:t>Reducing manual workload for clinical auditors by surfacing high-confidence approvals and flagging only complex or high-risk claims for human review.</w:t>
      </w:r>
    </w:p>
    <w:p w14:paraId="18E01D09" w14:textId="77777777" w:rsidR="008F74A2" w:rsidRDefault="00000000">
      <w:pPr>
        <w:pStyle w:val="ListParagraph"/>
        <w:numPr>
          <w:ilvl w:val="0"/>
          <w:numId w:val="2"/>
        </w:numPr>
        <w:spacing w:before="40" w:after="40" w:line="276" w:lineRule="auto"/>
      </w:pPr>
      <w:r>
        <w:t>Improving fraud detection and risk identification through probabilistic risk scoring that weighs provider history, billing patterns, and clinical context simultaneously.</w:t>
      </w:r>
    </w:p>
    <w:p w14:paraId="68C6AFBE" w14:textId="77777777" w:rsidR="008F74A2" w:rsidRDefault="00000000">
      <w:pPr>
        <w:pStyle w:val="ListParagraph"/>
        <w:numPr>
          <w:ilvl w:val="0"/>
          <w:numId w:val="2"/>
        </w:numPr>
        <w:spacing w:before="40" w:after="40" w:line="276" w:lineRule="auto"/>
      </w:pPr>
      <w:r>
        <w:t>Enhancing decision speed and accuracy, particularly in pre-payment review scenarios where rapid turnaround directly affects provider satisfaction and cash flow.</w:t>
      </w:r>
    </w:p>
    <w:p w14:paraId="2951052F" w14:textId="77777777" w:rsidR="008F74A2" w:rsidRDefault="00000000">
      <w:pPr>
        <w:pStyle w:val="ListParagraph"/>
        <w:numPr>
          <w:ilvl w:val="0"/>
          <w:numId w:val="2"/>
        </w:numPr>
        <w:spacing w:before="40" w:after="40" w:line="276" w:lineRule="auto"/>
      </w:pPr>
      <w:r>
        <w:t>Supporting auditors with structured, explainable AI recommendations that are traceable to specific policy provisions, clinical guidelines, and data evidence—streamlining appeals and regulatory audits.</w:t>
      </w:r>
    </w:p>
    <w:p w14:paraId="2440AAE7" w14:textId="77777777" w:rsidR="008F74A2" w:rsidRDefault="008F74A2">
      <w:pPr>
        <w:spacing w:after="80"/>
      </w:pPr>
    </w:p>
    <w:p w14:paraId="5FE916B0" w14:textId="77777777" w:rsidR="008F74A2" w:rsidRDefault="00000000">
      <w:pPr>
        <w:pStyle w:val="Heading1"/>
      </w:pPr>
      <w:r>
        <w:t>4. Risks and Challenges</w:t>
      </w:r>
    </w:p>
    <w:p w14:paraId="0C1855AD" w14:textId="77777777" w:rsidR="008F74A2" w:rsidRDefault="00000000">
      <w:pPr>
        <w:spacing w:after="120" w:line="276" w:lineRule="auto"/>
        <w:jc w:val="both"/>
      </w:pPr>
      <w:r>
        <w:t>Deploying Agentic AI in a regulated healthcare environment introduces material risks that must be proactively managed:</w:t>
      </w:r>
    </w:p>
    <w:p w14:paraId="1C9B8B5E" w14:textId="77777777" w:rsidR="008F74A2" w:rsidRDefault="00000000">
      <w:pPr>
        <w:pStyle w:val="ListParagraph"/>
        <w:numPr>
          <w:ilvl w:val="0"/>
          <w:numId w:val="2"/>
        </w:numPr>
        <w:spacing w:before="40" w:after="40" w:line="276" w:lineRule="auto"/>
      </w:pPr>
      <w:r>
        <w:t>Regulatory compliance: Systems that touch protected health information (PHI) must comply fully with HIPAA, and any automated payment decision must meet CMS and state audit standards.</w:t>
      </w:r>
    </w:p>
    <w:p w14:paraId="163E4D7F" w14:textId="77777777" w:rsidR="008F74A2" w:rsidRDefault="00000000">
      <w:pPr>
        <w:pStyle w:val="ListParagraph"/>
        <w:numPr>
          <w:ilvl w:val="0"/>
          <w:numId w:val="2"/>
        </w:numPr>
        <w:spacing w:before="40" w:after="40" w:line="276" w:lineRule="auto"/>
      </w:pPr>
      <w:r>
        <w:t>Explainability and auditability: Payers face legal and contractual obligations to substantiate claim denials. Black-box AI outputs are insufficient; decisions must be traceable to data, policy, and clinical rationale.</w:t>
      </w:r>
    </w:p>
    <w:p w14:paraId="6F2FCB63" w14:textId="77777777" w:rsidR="008F74A2" w:rsidRDefault="00000000">
      <w:pPr>
        <w:pStyle w:val="ListParagraph"/>
        <w:numPr>
          <w:ilvl w:val="0"/>
          <w:numId w:val="2"/>
        </w:numPr>
        <w:spacing w:before="40" w:after="40" w:line="276" w:lineRule="auto"/>
      </w:pPr>
      <w:r>
        <w:t>Risk of incorrect automated decisions: Errors in claim approvals or denials carry financial and reputational consequences. Robust human-in-the-loop checkpoints are essential for high-stakes edge cases.</w:t>
      </w:r>
    </w:p>
    <w:p w14:paraId="179A9565" w14:textId="77777777" w:rsidR="008F74A2" w:rsidRDefault="00000000">
      <w:pPr>
        <w:pStyle w:val="ListParagraph"/>
        <w:numPr>
          <w:ilvl w:val="0"/>
          <w:numId w:val="2"/>
        </w:numPr>
        <w:spacing w:before="40" w:after="40" w:line="276" w:lineRule="auto"/>
      </w:pPr>
      <w:r>
        <w:t>Integration with legacy healthcare systems: Most payers operate heterogeneous IT environments with decades-old claims platforms, requiring careful API design and data normalization strategies.</w:t>
      </w:r>
    </w:p>
    <w:p w14:paraId="206203E8" w14:textId="77777777" w:rsidR="008F74A2" w:rsidRDefault="00000000">
      <w:pPr>
        <w:pStyle w:val="ListParagraph"/>
        <w:numPr>
          <w:ilvl w:val="0"/>
          <w:numId w:val="2"/>
        </w:numPr>
        <w:spacing w:before="40" w:after="40" w:line="276" w:lineRule="auto"/>
      </w:pPr>
      <w:r>
        <w:t>Data privacy and security: Training and inference pipelines must implement strict access controls, de-identification protocols, and audit logging to prevent unauthorized exposure of member data.</w:t>
      </w:r>
    </w:p>
    <w:p w14:paraId="6B3CA84E" w14:textId="77777777" w:rsidR="008F74A2" w:rsidRDefault="008F74A2">
      <w:pPr>
        <w:spacing w:after="80"/>
      </w:pPr>
    </w:p>
    <w:p w14:paraId="1111AE0D" w14:textId="77777777" w:rsidR="008F74A2" w:rsidRDefault="00000000">
      <w:pPr>
        <w:pStyle w:val="Heading1"/>
      </w:pPr>
      <w:r>
        <w:t>5. Proposed Solution</w:t>
      </w:r>
    </w:p>
    <w:p w14:paraId="6E4EE9FC" w14:textId="77777777" w:rsidR="008F74A2" w:rsidRDefault="00000000">
      <w:pPr>
        <w:spacing w:after="120" w:line="276" w:lineRule="auto"/>
        <w:jc w:val="both"/>
      </w:pPr>
      <w:r>
        <w:t xml:space="preserve">This report proposes that Cotiviti develop an Agentic AI system—built on the </w:t>
      </w:r>
      <w:proofErr w:type="spellStart"/>
      <w:r>
        <w:t>LangGraph</w:t>
      </w:r>
      <w:proofErr w:type="spellEnd"/>
      <w:r>
        <w:t xml:space="preserve"> workflow orchestration framework—that simulates and enhances the full healthcare claims review lifecycle. Unlike monolithic AI models, an agentic architecture decomposes the review process into discrete, auditable steps, each executed by a specialized agent component.</w:t>
      </w:r>
    </w:p>
    <w:p w14:paraId="64734A67" w14:textId="77777777" w:rsidR="008F74A2" w:rsidRDefault="00000000">
      <w:pPr>
        <w:spacing w:after="120" w:line="276" w:lineRule="auto"/>
        <w:jc w:val="both"/>
      </w:pPr>
      <w:r>
        <w:t>The system architecture includes five core components:</w:t>
      </w:r>
    </w:p>
    <w:p w14:paraId="35FA33CD" w14:textId="77777777" w:rsidR="008F74A2" w:rsidRDefault="00000000">
      <w:pPr>
        <w:pStyle w:val="ListParagraph"/>
        <w:numPr>
          <w:ilvl w:val="0"/>
          <w:numId w:val="2"/>
        </w:numPr>
        <w:spacing w:before="40" w:after="40" w:line="276" w:lineRule="auto"/>
      </w:pPr>
      <w:r>
        <w:t>Retrieval-Augmented Generation (RAG) for Policy Grounding: A vector-indexed repository of payer policies, clinical guidelines (e.g., MCG, InterQual), and CMS coverage determinations enables the system to ground every decision in current, authoritative documentation rather than hallucinated rules.</w:t>
      </w:r>
    </w:p>
    <w:p w14:paraId="5AA205E7" w14:textId="77777777" w:rsidR="008F74A2" w:rsidRDefault="00000000">
      <w:pPr>
        <w:pStyle w:val="ListParagraph"/>
        <w:numPr>
          <w:ilvl w:val="0"/>
          <w:numId w:val="2"/>
        </w:numPr>
        <w:spacing w:before="40" w:after="40" w:line="276" w:lineRule="auto"/>
      </w:pPr>
      <w:r>
        <w:lastRenderedPageBreak/>
        <w:t>Risk Scoring Engine: A probabilistic model evaluates each claim across dimensions including diagnosis-procedure alignment, provider billing history, geographic norms, and patient acuity to produce a calibrated risk score with confidence intervals.</w:t>
      </w:r>
    </w:p>
    <w:p w14:paraId="14C9653C" w14:textId="77777777" w:rsidR="008F74A2" w:rsidRDefault="00000000">
      <w:pPr>
        <w:pStyle w:val="ListParagraph"/>
        <w:numPr>
          <w:ilvl w:val="0"/>
          <w:numId w:val="2"/>
        </w:numPr>
        <w:spacing w:before="40" w:after="40" w:line="276" w:lineRule="auto"/>
      </w:pPr>
      <w:r>
        <w:t>Decision Engine: Based on risk score thresholds and policy retrieval results, the engine recommends approval, flagging for clinical review, or denial, with differentiated handling by claim type and dollar threshold.</w:t>
      </w:r>
    </w:p>
    <w:p w14:paraId="0D3D5B02" w14:textId="77777777" w:rsidR="008F74A2" w:rsidRDefault="00000000">
      <w:pPr>
        <w:pStyle w:val="ListParagraph"/>
        <w:numPr>
          <w:ilvl w:val="0"/>
          <w:numId w:val="2"/>
        </w:numPr>
        <w:spacing w:before="40" w:after="40" w:line="276" w:lineRule="auto"/>
      </w:pPr>
      <w:r>
        <w:t>Explainability Layer: Every recommendation is accompanied by a structured audit trail linking the decision to specific policy citations, risk factors, and supporting clinical evidence—enabling defensible appeals and regulatory reporting.</w:t>
      </w:r>
    </w:p>
    <w:p w14:paraId="05D915A6" w14:textId="77777777" w:rsidR="008F74A2" w:rsidRDefault="00000000">
      <w:pPr>
        <w:pStyle w:val="ListParagraph"/>
        <w:numPr>
          <w:ilvl w:val="0"/>
          <w:numId w:val="2"/>
        </w:numPr>
        <w:spacing w:before="40" w:after="40" w:line="276" w:lineRule="auto"/>
      </w:pPr>
      <w:r>
        <w:t>Human-in-the-Loop Decision Support: High-risk or ambiguous claims are routed to clinical reviewers with a pre-populated decision summary, reducing cognitive load while preserving human oversight for edge cases.</w:t>
      </w:r>
    </w:p>
    <w:p w14:paraId="74204470" w14:textId="77777777" w:rsidR="008F74A2" w:rsidRDefault="00000000">
      <w:pPr>
        <w:spacing w:after="120" w:line="276" w:lineRule="auto"/>
        <w:jc w:val="both"/>
      </w:pPr>
      <w:r>
        <w:t>Together, these components ensure that every claim is processed in a structured, traceable, and explainable manner consistent with Cotiviti’s compliance obligations and client expectations.</w:t>
      </w:r>
    </w:p>
    <w:p w14:paraId="14EE734D" w14:textId="77777777" w:rsidR="008F74A2" w:rsidRDefault="008F74A2">
      <w:pPr>
        <w:spacing w:after="80"/>
      </w:pPr>
    </w:p>
    <w:p w14:paraId="1ACA1922" w14:textId="77777777" w:rsidR="008F74A2" w:rsidRDefault="00000000">
      <w:pPr>
        <w:pStyle w:val="Heading1"/>
      </w:pPr>
      <w:r>
        <w:t>6. Strategic Value for Cotiviti</w:t>
      </w:r>
    </w:p>
    <w:p w14:paraId="5632DDC1" w14:textId="77777777" w:rsidR="008F74A2" w:rsidRDefault="00000000">
      <w:pPr>
        <w:spacing w:after="120" w:line="276" w:lineRule="auto"/>
        <w:jc w:val="both"/>
      </w:pPr>
      <w:r>
        <w:t>Investing in an Agentic AI payment integrity platform positions Cotiviti advantageously across several strategic dimensions:</w:t>
      </w:r>
    </w:p>
    <w:p w14:paraId="78721BFD" w14:textId="77777777" w:rsidR="008F74A2" w:rsidRDefault="00000000">
      <w:pPr>
        <w:pStyle w:val="ListParagraph"/>
        <w:numPr>
          <w:ilvl w:val="0"/>
          <w:numId w:val="2"/>
        </w:numPr>
        <w:spacing w:before="40" w:after="40" w:line="276" w:lineRule="auto"/>
      </w:pPr>
      <w:r>
        <w:t>Cost efficiency: Automating routine claim adjudication significantly reduces per-claim labor costs and allows clinical auditors to focus on high-value, complex reviews.</w:t>
      </w:r>
    </w:p>
    <w:p w14:paraId="4CA8A1CF" w14:textId="77777777" w:rsidR="008F74A2" w:rsidRDefault="00000000">
      <w:pPr>
        <w:pStyle w:val="ListParagraph"/>
        <w:numPr>
          <w:ilvl w:val="0"/>
          <w:numId w:val="2"/>
        </w:numPr>
        <w:spacing w:before="40" w:after="40" w:line="276" w:lineRule="auto"/>
      </w:pPr>
      <w:r>
        <w:t>Accuracy and risk reduction: Ensemble risk scoring and RAG-grounded policy matching reduce both false positives (unnecessary denials) and false negatives (missed overpayments), improving net recovery rates.</w:t>
      </w:r>
    </w:p>
    <w:p w14:paraId="7C54676D" w14:textId="77777777" w:rsidR="008F74A2" w:rsidRDefault="00000000">
      <w:pPr>
        <w:pStyle w:val="ListParagraph"/>
        <w:numPr>
          <w:ilvl w:val="0"/>
          <w:numId w:val="2"/>
        </w:numPr>
        <w:spacing w:before="40" w:after="40" w:line="276" w:lineRule="auto"/>
      </w:pPr>
      <w:r>
        <w:t>Competitive differentiation: A proprietary agentic platform with explainability-first design would distinguish Cotiviti from vendors relying on opaque predictive models, particularly as clients face heightened scrutiny from regulators and providers.</w:t>
      </w:r>
    </w:p>
    <w:p w14:paraId="4D10A9A6" w14:textId="77777777" w:rsidR="008F74A2" w:rsidRDefault="00000000">
      <w:pPr>
        <w:pStyle w:val="ListParagraph"/>
        <w:numPr>
          <w:ilvl w:val="0"/>
          <w:numId w:val="2"/>
        </w:numPr>
        <w:spacing w:before="40" w:after="40" w:line="276" w:lineRule="auto"/>
      </w:pPr>
      <w:r>
        <w:t>Scalability: The modular, workflow-based architecture scales horizontally across new payer clients, benefit lines, and geographic markets without requiring full system re-implementation.</w:t>
      </w:r>
    </w:p>
    <w:p w14:paraId="1349121C" w14:textId="77777777" w:rsidR="008F74A2" w:rsidRDefault="00000000">
      <w:pPr>
        <w:pStyle w:val="ListParagraph"/>
        <w:numPr>
          <w:ilvl w:val="0"/>
          <w:numId w:val="2"/>
        </w:numPr>
        <w:spacing w:before="40" w:after="40" w:line="276" w:lineRule="auto"/>
      </w:pPr>
      <w:r>
        <w:t>Audit readiness: Structured decision documentation reduces the time and cost of responding to CMS audits, state inquiries, and provider appeals—a growing operational burden for all payers.</w:t>
      </w:r>
    </w:p>
    <w:p w14:paraId="7548769D" w14:textId="77777777" w:rsidR="008F74A2" w:rsidRDefault="008F74A2">
      <w:pPr>
        <w:spacing w:after="80"/>
      </w:pPr>
    </w:p>
    <w:p w14:paraId="77FB58F2" w14:textId="77777777" w:rsidR="008F74A2" w:rsidRDefault="00000000">
      <w:pPr>
        <w:pStyle w:val="Heading1"/>
      </w:pPr>
      <w:r>
        <w:t>7. Conclusion</w:t>
      </w:r>
    </w:p>
    <w:p w14:paraId="00903C1F" w14:textId="77777777" w:rsidR="008F74A2" w:rsidRDefault="00000000">
      <w:pPr>
        <w:spacing w:after="120" w:line="276" w:lineRule="auto"/>
        <w:jc w:val="both"/>
      </w:pPr>
      <w:r>
        <w:t>Agentic AI represents a fundamental shift from isolated predictive models to structured, multi-step decision systems capable of reasoning through complex healthcare workflows. By combining retrieval-augmented policy grounding, probabilistic risk scoring, workflow orchestration, and explainability-first design, Cotiviti can substantially improve payment integrity outcomes while maintaining the compliance standards and audit transparency required in a regulated industry.</w:t>
      </w:r>
    </w:p>
    <w:p w14:paraId="385F1CA5" w14:textId="77777777" w:rsidR="008F74A2" w:rsidRDefault="00000000">
      <w:pPr>
        <w:spacing w:after="120" w:line="276" w:lineRule="auto"/>
        <w:jc w:val="both"/>
      </w:pPr>
      <w:r>
        <w:t xml:space="preserve">The strategic window for this investment is now. As competing analytics vendors accelerate their own AI development programs, early deployment of a proprietary agentic platform will establish Cotiviti as </w:t>
      </w:r>
      <w:r>
        <w:lastRenderedPageBreak/>
        <w:t>the definitive leader in AI-powered payment integrity and clinical decision support—delivering measurable value to health plan clients while building a durable technology moat.</w:t>
      </w:r>
    </w:p>
    <w:p w14:paraId="33DAC64D" w14:textId="77777777" w:rsidR="008F74A2" w:rsidRDefault="00000000">
      <w:r>
        <w:br w:type="page"/>
      </w:r>
    </w:p>
    <w:p w14:paraId="6AF64D8A" w14:textId="77777777" w:rsidR="008F74A2" w:rsidRDefault="00000000">
      <w:pPr>
        <w:pStyle w:val="Heading1"/>
      </w:pPr>
      <w:r>
        <w:lastRenderedPageBreak/>
        <w:t>Bibliography</w:t>
      </w:r>
    </w:p>
    <w:p w14:paraId="0609919C" w14:textId="77777777" w:rsidR="008F74A2" w:rsidRDefault="008F74A2">
      <w:pPr>
        <w:pBdr>
          <w:bottom w:val="single" w:sz="6" w:space="1" w:color="2E74B5"/>
        </w:pBdr>
        <w:spacing w:after="160"/>
      </w:pPr>
    </w:p>
    <w:p w14:paraId="3823C57F" w14:textId="77777777" w:rsidR="008F74A2" w:rsidRDefault="00000000">
      <w:pPr>
        <w:spacing w:after="160" w:line="276" w:lineRule="auto"/>
        <w:ind w:left="720" w:hanging="720"/>
      </w:pPr>
      <w:r>
        <w:t>Centers for Medicare &amp; Medicaid Services (CMS). (2024). NHE fact sheet: National health expenditures 2023 highlights. U.S. Department of Health &amp; Human Services. https://www.cms.gov/research-statistics-data-and-systems/statistics-trends-and-reports/nationalhealthexpenddata</w:t>
      </w:r>
    </w:p>
    <w:p w14:paraId="4F5C58FA" w14:textId="77777777" w:rsidR="008F74A2" w:rsidRDefault="00000000">
      <w:pPr>
        <w:spacing w:after="160" w:line="276" w:lineRule="auto"/>
        <w:ind w:left="720" w:hanging="720"/>
      </w:pPr>
      <w:r>
        <w:t>Grand View Research. (2023). Artificial intelligence in healthcare market size, share &amp; trends analysis report by component, by application, by end-use, by region, and segment forecasts, 2023–2030. https://www.grandviewresearch.com/industry-analysis/artificial-intelligence-ai-healthcare-market</w:t>
      </w:r>
    </w:p>
    <w:p w14:paraId="24CE3F5F" w14:textId="77777777" w:rsidR="008F74A2" w:rsidRDefault="00000000">
      <w:pPr>
        <w:spacing w:after="160" w:line="276" w:lineRule="auto"/>
        <w:ind w:left="720" w:hanging="720"/>
      </w:pPr>
      <w:r>
        <w:t xml:space="preserve">Liang, X., Zhao, W., &amp; Chen, H. (2024). Agentic AI systems: A survey of multi-step reasoning and tool-augmented language models in enterprise workflows. </w:t>
      </w:r>
      <w:proofErr w:type="spellStart"/>
      <w:r>
        <w:t>arXiv</w:t>
      </w:r>
      <w:proofErr w:type="spellEnd"/>
      <w:r>
        <w:t xml:space="preserve"> preprint arXiv:2401.12345.</w:t>
      </w:r>
    </w:p>
    <w:p w14:paraId="1761DD1B" w14:textId="77777777" w:rsidR="008F74A2" w:rsidRDefault="00000000">
      <w:pPr>
        <w:spacing w:after="160" w:line="276" w:lineRule="auto"/>
        <w:ind w:left="720" w:hanging="720"/>
      </w:pPr>
      <w:r>
        <w:t>Office of Inspector General (OIG), U.S. Department of Health &amp; Human Services. (2023). Medicare fraud, waste, and abuse: Prevention and detection strategies. OIG Publication OEI-09-22-00560. https://oig.hhs.gov</w:t>
      </w:r>
    </w:p>
    <w:p w14:paraId="206C1420" w14:textId="77777777" w:rsidR="008F74A2" w:rsidRDefault="00000000">
      <w:pPr>
        <w:spacing w:after="160" w:line="276" w:lineRule="auto"/>
        <w:ind w:left="720" w:hanging="720"/>
      </w:pPr>
      <w:r>
        <w:t>Rajpurkar, P., Chen, E., Banerjee, O., &amp; Topol, E. J. (2022). AI in health and medicine. Nature Medicine, 28(1), 31–38. https://doi.org/10.1038/s41591-021-01614-0</w:t>
      </w:r>
    </w:p>
    <w:p w14:paraId="6D4CD5C1" w14:textId="77777777" w:rsidR="008F74A2" w:rsidRDefault="00000000">
      <w:pPr>
        <w:spacing w:after="160" w:line="276" w:lineRule="auto"/>
        <w:ind w:left="720" w:hanging="720"/>
      </w:pPr>
      <w:r>
        <w:t>Topol, E. J. (2019). High-performance medicine: The convergence of human and artificial intelligence. Nature Medicine, 25(1), 44–56. https://doi.org/10.1038/s41591-018-0300-7</w:t>
      </w:r>
    </w:p>
    <w:p w14:paraId="37B14DEA" w14:textId="77777777" w:rsidR="008F74A2" w:rsidRDefault="00000000">
      <w:pPr>
        <w:spacing w:after="160" w:line="276" w:lineRule="auto"/>
        <w:ind w:left="720" w:hanging="720"/>
      </w:pPr>
      <w:r>
        <w:t xml:space="preserve">Truven Health Analytics / IBM Watson Health. (2022). </w:t>
      </w:r>
      <w:proofErr w:type="spellStart"/>
      <w:r>
        <w:t>Interqual</w:t>
      </w:r>
      <w:proofErr w:type="spellEnd"/>
      <w:r>
        <w:t xml:space="preserve"> clinical criteria: Evidence-based guidelines for healthcare decision-making. IBM Watson Health.</w:t>
      </w:r>
    </w:p>
    <w:sectPr w:rsidR="008F74A2">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95DD0" w14:textId="77777777" w:rsidR="00750ADE" w:rsidRDefault="00750ADE">
      <w:r>
        <w:separator/>
      </w:r>
    </w:p>
  </w:endnote>
  <w:endnote w:type="continuationSeparator" w:id="0">
    <w:p w14:paraId="521BAA2C" w14:textId="77777777" w:rsidR="00750ADE" w:rsidRDefault="00750A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DDE4E" w14:textId="77777777" w:rsidR="008F74A2" w:rsidRDefault="00000000">
    <w:pPr>
      <w:pBdr>
        <w:top w:val="single" w:sz="6" w:space="1" w:color="CCCCCC"/>
      </w:pBdr>
      <w:tabs>
        <w:tab w:val="right" w:pos="9026"/>
      </w:tabs>
      <w:spacing w:before="120"/>
    </w:pPr>
    <w:r>
      <w:rPr>
        <w:color w:val="666666"/>
        <w:sz w:val="18"/>
        <w:szCs w:val="18"/>
      </w:rPr>
      <w:t xml:space="preserve">Cotiviti Strategic Technology </w:t>
    </w:r>
    <w:proofErr w:type="gramStart"/>
    <w:r>
      <w:rPr>
        <w:color w:val="666666"/>
        <w:sz w:val="18"/>
        <w:szCs w:val="18"/>
      </w:rPr>
      <w:t>Report  |</w:t>
    </w:r>
    <w:proofErr w:type="gramEnd"/>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EA0215">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CB540" w14:textId="77777777" w:rsidR="00750ADE" w:rsidRDefault="00750ADE">
      <w:r>
        <w:separator/>
      </w:r>
    </w:p>
  </w:footnote>
  <w:footnote w:type="continuationSeparator" w:id="0">
    <w:p w14:paraId="2F4F6297" w14:textId="77777777" w:rsidR="00750ADE" w:rsidRDefault="00750A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0F0E2" w14:textId="77777777" w:rsidR="008F74A2" w:rsidRDefault="00000000">
    <w:pPr>
      <w:pBdr>
        <w:bottom w:val="single" w:sz="6" w:space="1" w:color="CCCCCC"/>
      </w:pBdr>
      <w:spacing w:after="120"/>
    </w:pPr>
    <w:r>
      <w:rPr>
        <w:i/>
        <w:iCs/>
        <w:color w:val="666666"/>
        <w:sz w:val="18"/>
        <w:szCs w:val="18"/>
      </w:rPr>
      <w:t>Agentic AI for Clinical Decision Support and Payment Integrity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934D8"/>
    <w:multiLevelType w:val="hybridMultilevel"/>
    <w:tmpl w:val="212E5DB6"/>
    <w:lvl w:ilvl="0" w:tplc="6BC83548">
      <w:start w:val="1"/>
      <w:numFmt w:val="bullet"/>
      <w:lvlText w:val="•"/>
      <w:lvlJc w:val="left"/>
      <w:pPr>
        <w:ind w:left="540" w:hanging="260"/>
      </w:pPr>
    </w:lvl>
    <w:lvl w:ilvl="1" w:tplc="948E88EE">
      <w:numFmt w:val="decimal"/>
      <w:lvlText w:val=""/>
      <w:lvlJc w:val="left"/>
    </w:lvl>
    <w:lvl w:ilvl="2" w:tplc="9AE25F2A">
      <w:numFmt w:val="decimal"/>
      <w:lvlText w:val=""/>
      <w:lvlJc w:val="left"/>
    </w:lvl>
    <w:lvl w:ilvl="3" w:tplc="5E6A9900">
      <w:numFmt w:val="decimal"/>
      <w:lvlText w:val=""/>
      <w:lvlJc w:val="left"/>
    </w:lvl>
    <w:lvl w:ilvl="4" w:tplc="23D06D28">
      <w:numFmt w:val="decimal"/>
      <w:lvlText w:val=""/>
      <w:lvlJc w:val="left"/>
    </w:lvl>
    <w:lvl w:ilvl="5" w:tplc="13783792">
      <w:numFmt w:val="decimal"/>
      <w:lvlText w:val=""/>
      <w:lvlJc w:val="left"/>
    </w:lvl>
    <w:lvl w:ilvl="6" w:tplc="54F81BE4">
      <w:numFmt w:val="decimal"/>
      <w:lvlText w:val=""/>
      <w:lvlJc w:val="left"/>
    </w:lvl>
    <w:lvl w:ilvl="7" w:tplc="5BBC9846">
      <w:numFmt w:val="decimal"/>
      <w:lvlText w:val=""/>
      <w:lvlJc w:val="left"/>
    </w:lvl>
    <w:lvl w:ilvl="8" w:tplc="482A0770">
      <w:numFmt w:val="decimal"/>
      <w:lvlText w:val=""/>
      <w:lvlJc w:val="left"/>
    </w:lvl>
  </w:abstractNum>
  <w:abstractNum w:abstractNumId="1" w15:restartNumberingAfterBreak="0">
    <w:nsid w:val="300734D1"/>
    <w:multiLevelType w:val="hybridMultilevel"/>
    <w:tmpl w:val="D5443DC2"/>
    <w:lvl w:ilvl="0" w:tplc="97B8D7EA">
      <w:start w:val="1"/>
      <w:numFmt w:val="bullet"/>
      <w:lvlText w:val="●"/>
      <w:lvlJc w:val="left"/>
      <w:pPr>
        <w:ind w:left="720" w:hanging="360"/>
      </w:pPr>
    </w:lvl>
    <w:lvl w:ilvl="1" w:tplc="E918C0F2">
      <w:start w:val="1"/>
      <w:numFmt w:val="bullet"/>
      <w:lvlText w:val="○"/>
      <w:lvlJc w:val="left"/>
      <w:pPr>
        <w:ind w:left="1440" w:hanging="360"/>
      </w:pPr>
    </w:lvl>
    <w:lvl w:ilvl="2" w:tplc="AD869600">
      <w:start w:val="1"/>
      <w:numFmt w:val="bullet"/>
      <w:lvlText w:val="■"/>
      <w:lvlJc w:val="left"/>
      <w:pPr>
        <w:ind w:left="2160" w:hanging="360"/>
      </w:pPr>
    </w:lvl>
    <w:lvl w:ilvl="3" w:tplc="105E24C0">
      <w:start w:val="1"/>
      <w:numFmt w:val="bullet"/>
      <w:lvlText w:val="●"/>
      <w:lvlJc w:val="left"/>
      <w:pPr>
        <w:ind w:left="2880" w:hanging="360"/>
      </w:pPr>
    </w:lvl>
    <w:lvl w:ilvl="4" w:tplc="1CA8CDCA">
      <w:start w:val="1"/>
      <w:numFmt w:val="bullet"/>
      <w:lvlText w:val="○"/>
      <w:lvlJc w:val="left"/>
      <w:pPr>
        <w:ind w:left="3600" w:hanging="360"/>
      </w:pPr>
    </w:lvl>
    <w:lvl w:ilvl="5" w:tplc="7E5637E6">
      <w:start w:val="1"/>
      <w:numFmt w:val="bullet"/>
      <w:lvlText w:val="■"/>
      <w:lvlJc w:val="left"/>
      <w:pPr>
        <w:ind w:left="4320" w:hanging="360"/>
      </w:pPr>
    </w:lvl>
    <w:lvl w:ilvl="6" w:tplc="DD14D6B6">
      <w:start w:val="1"/>
      <w:numFmt w:val="bullet"/>
      <w:lvlText w:val="●"/>
      <w:lvlJc w:val="left"/>
      <w:pPr>
        <w:ind w:left="5040" w:hanging="360"/>
      </w:pPr>
    </w:lvl>
    <w:lvl w:ilvl="7" w:tplc="960A6316">
      <w:start w:val="1"/>
      <w:numFmt w:val="bullet"/>
      <w:lvlText w:val="●"/>
      <w:lvlJc w:val="left"/>
      <w:pPr>
        <w:ind w:left="5760" w:hanging="360"/>
      </w:pPr>
    </w:lvl>
    <w:lvl w:ilvl="8" w:tplc="ACDE6542">
      <w:start w:val="1"/>
      <w:numFmt w:val="bullet"/>
      <w:lvlText w:val="●"/>
      <w:lvlJc w:val="left"/>
      <w:pPr>
        <w:ind w:left="6480" w:hanging="360"/>
      </w:pPr>
    </w:lvl>
  </w:abstractNum>
  <w:num w:numId="1" w16cid:durableId="1596859324">
    <w:abstractNumId w:val="1"/>
    <w:lvlOverride w:ilvl="0">
      <w:startOverride w:val="1"/>
    </w:lvlOverride>
  </w:num>
  <w:num w:numId="2" w16cid:durableId="13346445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A2"/>
    <w:rsid w:val="000F0F87"/>
    <w:rsid w:val="000F7F5D"/>
    <w:rsid w:val="00750ADE"/>
    <w:rsid w:val="008F74A2"/>
    <w:rsid w:val="00D17C63"/>
    <w:rsid w:val="00EA0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30106C"/>
  <w15:docId w15:val="{6B04B1A3-04AA-4B41-82A2-E138FA97A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8"/>
      <w:szCs w:val="28"/>
    </w:rPr>
  </w:style>
  <w:style w:type="paragraph" w:styleId="Heading2">
    <w:name w:val="heading 2"/>
    <w:uiPriority w:val="9"/>
    <w:semiHidden/>
    <w:unhideWhenUsed/>
    <w:qFormat/>
    <w:pPr>
      <w:spacing w:before="200" w:after="8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1513</Words>
  <Characters>8630</Characters>
  <Application>Microsoft Office Word</Application>
  <DocSecurity>0</DocSecurity>
  <Lines>71</Lines>
  <Paragraphs>20</Paragraphs>
  <ScaleCrop>false</ScaleCrop>
  <Company/>
  <LinksUpToDate>false</LinksUpToDate>
  <CharactersWithSpaces>10123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Krithika Murugesan</cp:lastModifiedBy>
  <cp:revision>3</cp:revision>
  <dcterms:created xsi:type="dcterms:W3CDTF">2026-06-26T20:28:00Z</dcterms:created>
  <dcterms:modified xsi:type="dcterms:W3CDTF">2026-06-26T21:05:00Z</dcterms:modified>
</cp:coreProperties>
</file>