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01671423"/>
        <w:docPartObj>
          <w:docPartGallery w:val="Cover Pages"/>
          <w:docPartUnique/>
        </w:docPartObj>
      </w:sdtPr>
      <w:sdtEndPr>
        <w:rPr>
          <w:color w:val="4472C4" w:themeColor="accent1"/>
          <w:sz w:val="64"/>
          <w:szCs w:val="64"/>
        </w:rPr>
      </w:sdtEndPr>
      <w:sdtContent>
        <w:p w14:paraId="5CB39B31" w14:textId="0DB34DAA" w:rsidR="00636DAB" w:rsidRDefault="00636DAB" w:rsidP="00005426">
          <w:pPr>
            <w:spacing w:line="360" w:lineRule="auto"/>
          </w:pPr>
          <w:r>
            <w:rPr>
              <w:noProof/>
            </w:rPr>
            <mc:AlternateContent>
              <mc:Choice Requires="wpg">
                <w:drawing>
                  <wp:anchor distT="0" distB="0" distL="114300" distR="114300" simplePos="0" relativeHeight="251659264" behindDoc="1" locked="0" layoutInCell="1" allowOverlap="1" wp14:anchorId="71559205" wp14:editId="7ACFC73E">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ECF1B5B" w14:textId="3C486A34" w:rsidR="00716DC0" w:rsidRDefault="00716DC0">
                                      <w:pPr>
                                        <w:pStyle w:val="NoSpacing"/>
                                        <w:spacing w:before="120"/>
                                        <w:jc w:val="center"/>
                                        <w:rPr>
                                          <w:color w:val="FFFFFF" w:themeColor="background1"/>
                                        </w:rPr>
                                      </w:pPr>
                                      <w:r>
                                        <w:rPr>
                                          <w:color w:val="FFFFFF" w:themeColor="background1"/>
                                        </w:rPr>
                                        <w:t>Jayaraman, Krithika (jayaraka)</w:t>
                                      </w:r>
                                    </w:p>
                                  </w:sdtContent>
                                </w:sdt>
                                <w:p w14:paraId="2A594A07" w14:textId="17012DC5" w:rsidR="00716DC0" w:rsidRDefault="00D006E5">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716DC0">
                                        <w:rPr>
                                          <w:caps/>
                                          <w:color w:val="FFFFFF" w:themeColor="background1"/>
                                        </w:rPr>
                                        <w:t xml:space="preserve">     </w:t>
                                      </w:r>
                                    </w:sdtContent>
                                  </w:sdt>
                                  <w:r w:rsidR="00716DC0">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716DC0">
                                        <w:rPr>
                                          <w:color w:val="FFFFFF" w:themeColor="background1"/>
                                        </w:rPr>
                                        <w:t>jayaraka@mail.uc.edu</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E79AB76" w14:textId="18AB9743" w:rsidR="00716DC0" w:rsidRDefault="00716DC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Rental property cashflow analysis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1559205"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ECF1B5B" w14:textId="3C486A34" w:rsidR="00716DC0" w:rsidRDefault="00716DC0">
                                <w:pPr>
                                  <w:pStyle w:val="NoSpacing"/>
                                  <w:spacing w:before="120"/>
                                  <w:jc w:val="center"/>
                                  <w:rPr>
                                    <w:color w:val="FFFFFF" w:themeColor="background1"/>
                                  </w:rPr>
                                </w:pPr>
                                <w:r>
                                  <w:rPr>
                                    <w:color w:val="FFFFFF" w:themeColor="background1"/>
                                  </w:rPr>
                                  <w:t>Jayaraman, Krithika (jayaraka)</w:t>
                                </w:r>
                              </w:p>
                            </w:sdtContent>
                          </w:sdt>
                          <w:p w14:paraId="2A594A07" w14:textId="17012DC5" w:rsidR="00716DC0" w:rsidRDefault="00D006E5">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716DC0">
                                  <w:rPr>
                                    <w:caps/>
                                    <w:color w:val="FFFFFF" w:themeColor="background1"/>
                                  </w:rPr>
                                  <w:t xml:space="preserve">     </w:t>
                                </w:r>
                              </w:sdtContent>
                            </w:sdt>
                            <w:r w:rsidR="00716DC0">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716DC0">
                                  <w:rPr>
                                    <w:color w:val="FFFFFF" w:themeColor="background1"/>
                                  </w:rPr>
                                  <w:t>jayaraka@mail.uc.edu</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E79AB76" w14:textId="18AB9743" w:rsidR="00716DC0" w:rsidRDefault="00716DC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Rental property cashflow analysis</w:t>
                                </w:r>
                              </w:p>
                            </w:sdtContent>
                          </w:sdt>
                        </w:txbxContent>
                      </v:textbox>
                    </v:shape>
                    <w10:wrap anchorx="page" anchory="page"/>
                  </v:group>
                </w:pict>
              </mc:Fallback>
            </mc:AlternateContent>
          </w:r>
        </w:p>
        <w:p w14:paraId="6CBF1C9C" w14:textId="101B986D" w:rsidR="00636DAB" w:rsidRDefault="00636DAB" w:rsidP="00005426">
          <w:pPr>
            <w:spacing w:line="360" w:lineRule="auto"/>
            <w:rPr>
              <w:color w:val="4472C4" w:themeColor="accent1"/>
              <w:sz w:val="64"/>
              <w:szCs w:val="64"/>
            </w:rPr>
          </w:pPr>
          <w:r>
            <w:rPr>
              <w:color w:val="4472C4" w:themeColor="accent1"/>
              <w:sz w:val="64"/>
              <w:szCs w:val="64"/>
            </w:rPr>
            <w:br w:type="page"/>
          </w:r>
        </w:p>
      </w:sdtContent>
    </w:sdt>
    <w:p w14:paraId="563EB5BE" w14:textId="515D61A5" w:rsidR="00716DC0" w:rsidRDefault="00636DAB" w:rsidP="00005426">
      <w:pPr>
        <w:pStyle w:val="Heading1"/>
        <w:spacing w:line="360" w:lineRule="auto"/>
      </w:pPr>
      <w:r>
        <w:lastRenderedPageBreak/>
        <w:t>Abstract</w:t>
      </w:r>
    </w:p>
    <w:p w14:paraId="0677D5BB" w14:textId="176BDDD1" w:rsidR="00636DAB" w:rsidRDefault="00636DAB" w:rsidP="00005426">
      <w:pPr>
        <w:spacing w:line="360" w:lineRule="auto"/>
      </w:pPr>
      <w:r>
        <w:t>Real estate offers a sticky investment opportunity that is dynamic to economic cycles. The purpose of this case study is t</w:t>
      </w:r>
      <w:r w:rsidR="00F030D1">
        <w:t xml:space="preserve">o determine the </w:t>
      </w:r>
      <w:r>
        <w:t>Net Present Value</w:t>
      </w:r>
      <w:r w:rsidR="00A17414">
        <w:t xml:space="preserve"> </w:t>
      </w:r>
      <w:r>
        <w:t xml:space="preserve">(NPV) of </w:t>
      </w:r>
      <w:r w:rsidR="00FD69AF">
        <w:t xml:space="preserve">making </w:t>
      </w:r>
      <w:r>
        <w:t xml:space="preserve">an investment in </w:t>
      </w:r>
      <w:r w:rsidR="00B20D8B">
        <w:t>a H</w:t>
      </w:r>
      <w:r w:rsidR="00FD69AF">
        <w:t xml:space="preserve">ome and </w:t>
      </w:r>
      <w:r>
        <w:t>rent</w:t>
      </w:r>
      <w:r w:rsidR="00FD69AF">
        <w:t>ing</w:t>
      </w:r>
      <w:r>
        <w:t xml:space="preserve"> </w:t>
      </w:r>
      <w:r w:rsidR="00FD69AF">
        <w:t xml:space="preserve">the </w:t>
      </w:r>
      <w:r>
        <w:t>property</w:t>
      </w:r>
      <w:r w:rsidR="00527F5A">
        <w:t xml:space="preserve"> to determine if it’s a financially attractive opportunity</w:t>
      </w:r>
      <w:r>
        <w:t>.</w:t>
      </w:r>
    </w:p>
    <w:p w14:paraId="17A291B8" w14:textId="07963679" w:rsidR="00636DAB" w:rsidRDefault="00636DAB" w:rsidP="00005426">
      <w:pPr>
        <w:pStyle w:val="Heading1"/>
        <w:spacing w:line="360" w:lineRule="auto"/>
      </w:pPr>
      <w:r>
        <w:t>Scenario</w:t>
      </w:r>
    </w:p>
    <w:p w14:paraId="65B09046" w14:textId="77777777" w:rsidR="00FC41A5" w:rsidRDefault="00636DAB" w:rsidP="00005426">
      <w:pPr>
        <w:spacing w:line="360" w:lineRule="auto"/>
      </w:pPr>
      <w:r>
        <w:t>I live with my husband in Bothell, Washington and we are planning to buy a property nearby</w:t>
      </w:r>
      <w:r w:rsidR="00EF7A9F">
        <w:t xml:space="preserve"> and rent it out</w:t>
      </w:r>
      <w:r>
        <w:t xml:space="preserve">. </w:t>
      </w:r>
      <w:r w:rsidR="00FC41A5">
        <w:t xml:space="preserve">We have </w:t>
      </w:r>
      <w:r w:rsidR="00FC41A5" w:rsidRPr="00E70B16">
        <w:rPr>
          <w:b/>
          <w:bCs/>
        </w:rPr>
        <w:t>two properties</w:t>
      </w:r>
      <w:r w:rsidR="00FC41A5">
        <w:t xml:space="preserve"> on our mind of different prices and features. We would like to compare their Net Present Values at the end of our mortgage to see which one has higher probability of being a good Return on Investment. We are not considering to re-sell the property at the end of our mortgage. </w:t>
      </w:r>
    </w:p>
    <w:p w14:paraId="28B46F17" w14:textId="3EBB7B5B" w:rsidR="00636DAB" w:rsidRDefault="00FC41A5" w:rsidP="00005426">
      <w:pPr>
        <w:spacing w:line="360" w:lineRule="auto"/>
      </w:pPr>
      <w:r>
        <w:t xml:space="preserve">We want to purchase one of the following two properties. </w:t>
      </w:r>
      <w:r w:rsidR="00636DAB">
        <w:t>Our plans for the investment are described below.</w:t>
      </w:r>
    </w:p>
    <w:p w14:paraId="4BC2726A" w14:textId="0259F79F" w:rsidR="00636DAB" w:rsidRDefault="00636DAB" w:rsidP="00005426">
      <w:pPr>
        <w:pStyle w:val="Heading2"/>
        <w:spacing w:line="360" w:lineRule="auto"/>
      </w:pPr>
      <w:r>
        <w:t>Property</w:t>
      </w:r>
      <w:r w:rsidR="00FC41A5">
        <w:t xml:space="preserve"> 1</w:t>
      </w:r>
    </w:p>
    <w:p w14:paraId="129D5549" w14:textId="1E834C17" w:rsidR="00EF7A9F" w:rsidRDefault="00EF7A9F" w:rsidP="00005426">
      <w:pPr>
        <w:spacing w:line="360" w:lineRule="auto"/>
      </w:pPr>
      <w:r>
        <w:t xml:space="preserve">Here’s the link to the </w:t>
      </w:r>
      <w:hyperlink r:id="rId9" w:anchor="property-details" w:history="1">
        <w:r w:rsidRPr="00EF7A9F">
          <w:rPr>
            <w:rStyle w:val="Hyperlink"/>
          </w:rPr>
          <w:t>property listing</w:t>
        </w:r>
      </w:hyperlink>
      <w:r>
        <w:t xml:space="preserve">. </w:t>
      </w:r>
    </w:p>
    <w:p w14:paraId="3DC919D2" w14:textId="5E1D7365" w:rsidR="00EF7A9F" w:rsidRDefault="00EF7A9F" w:rsidP="00005426">
      <w:pPr>
        <w:spacing w:line="360" w:lineRule="auto"/>
      </w:pPr>
      <w:r>
        <w:t>Given below are high-level details.</w:t>
      </w:r>
    </w:p>
    <w:tbl>
      <w:tblPr>
        <w:tblStyle w:val="TableGrid"/>
        <w:tblW w:w="0" w:type="auto"/>
        <w:tblLook w:val="04A0" w:firstRow="1" w:lastRow="0" w:firstColumn="1" w:lastColumn="0" w:noHBand="0" w:noVBand="1"/>
      </w:tblPr>
      <w:tblGrid>
        <w:gridCol w:w="4675"/>
        <w:gridCol w:w="4675"/>
      </w:tblGrid>
      <w:tr w:rsidR="00EF7A9F" w14:paraId="34576B72" w14:textId="77777777" w:rsidTr="00B50CEF">
        <w:trPr>
          <w:trHeight w:val="432"/>
        </w:trPr>
        <w:tc>
          <w:tcPr>
            <w:tcW w:w="4675" w:type="dxa"/>
            <w:shd w:val="clear" w:color="auto" w:fill="D9E2F3" w:themeFill="accent1" w:themeFillTint="33"/>
          </w:tcPr>
          <w:p w14:paraId="5FC09203" w14:textId="75DEFDAC" w:rsidR="00EF7A9F" w:rsidRPr="00F030D1" w:rsidRDefault="00EF7A9F" w:rsidP="00005426">
            <w:pPr>
              <w:spacing w:line="360" w:lineRule="auto"/>
              <w:rPr>
                <w:b/>
                <w:bCs/>
              </w:rPr>
            </w:pPr>
            <w:r w:rsidRPr="00F030D1">
              <w:rPr>
                <w:b/>
                <w:bCs/>
              </w:rPr>
              <w:t>Type</w:t>
            </w:r>
          </w:p>
        </w:tc>
        <w:tc>
          <w:tcPr>
            <w:tcW w:w="4675" w:type="dxa"/>
          </w:tcPr>
          <w:p w14:paraId="79AE71FA" w14:textId="06A93E5A" w:rsidR="00EF7A9F" w:rsidRDefault="00EF7A9F" w:rsidP="00005426">
            <w:pPr>
              <w:spacing w:line="360" w:lineRule="auto"/>
            </w:pPr>
            <w:r>
              <w:t>5 bed 3 bath single family residential home</w:t>
            </w:r>
          </w:p>
        </w:tc>
      </w:tr>
      <w:tr w:rsidR="00EF7A9F" w14:paraId="0879271B" w14:textId="77777777" w:rsidTr="00B50CEF">
        <w:trPr>
          <w:trHeight w:val="432"/>
        </w:trPr>
        <w:tc>
          <w:tcPr>
            <w:tcW w:w="4675" w:type="dxa"/>
            <w:shd w:val="clear" w:color="auto" w:fill="D9E2F3" w:themeFill="accent1" w:themeFillTint="33"/>
          </w:tcPr>
          <w:p w14:paraId="18C1D659" w14:textId="3EAE4169" w:rsidR="00EF7A9F" w:rsidRPr="00F030D1" w:rsidRDefault="00EF7A9F" w:rsidP="00005426">
            <w:pPr>
              <w:spacing w:line="360" w:lineRule="auto"/>
              <w:rPr>
                <w:b/>
                <w:bCs/>
              </w:rPr>
            </w:pPr>
            <w:r w:rsidRPr="00F030D1">
              <w:rPr>
                <w:b/>
                <w:bCs/>
              </w:rPr>
              <w:t>Location</w:t>
            </w:r>
          </w:p>
        </w:tc>
        <w:tc>
          <w:tcPr>
            <w:tcW w:w="4675" w:type="dxa"/>
          </w:tcPr>
          <w:p w14:paraId="5F48D751" w14:textId="5E77FE02" w:rsidR="00EF7A9F" w:rsidRDefault="00EF7A9F" w:rsidP="00005426">
            <w:pPr>
              <w:spacing w:line="360" w:lineRule="auto"/>
            </w:pPr>
            <w:r w:rsidRPr="00EF7A9F">
              <w:t>302</w:t>
            </w:r>
            <w:r>
              <w:t xml:space="preserve">, </w:t>
            </w:r>
            <w:r w:rsidRPr="00EF7A9F">
              <w:t>172ND Pl SE</w:t>
            </w:r>
            <w:r>
              <w:t xml:space="preserve">, </w:t>
            </w:r>
            <w:r w:rsidRPr="00EF7A9F">
              <w:t>Bothell, WA 98012</w:t>
            </w:r>
          </w:p>
        </w:tc>
      </w:tr>
      <w:tr w:rsidR="00EF7A9F" w14:paraId="5891DD13" w14:textId="77777777" w:rsidTr="00B50CEF">
        <w:trPr>
          <w:trHeight w:val="432"/>
        </w:trPr>
        <w:tc>
          <w:tcPr>
            <w:tcW w:w="4675" w:type="dxa"/>
            <w:shd w:val="clear" w:color="auto" w:fill="D9E2F3" w:themeFill="accent1" w:themeFillTint="33"/>
          </w:tcPr>
          <w:p w14:paraId="2ADDE0C5" w14:textId="75A9FB52" w:rsidR="00EF7A9F" w:rsidRPr="00F030D1" w:rsidRDefault="00EF7A9F" w:rsidP="00005426">
            <w:pPr>
              <w:spacing w:line="360" w:lineRule="auto"/>
              <w:rPr>
                <w:b/>
                <w:bCs/>
              </w:rPr>
            </w:pPr>
            <w:r w:rsidRPr="00F030D1">
              <w:rPr>
                <w:b/>
                <w:bCs/>
              </w:rPr>
              <w:t>List price</w:t>
            </w:r>
          </w:p>
        </w:tc>
        <w:tc>
          <w:tcPr>
            <w:tcW w:w="4675" w:type="dxa"/>
          </w:tcPr>
          <w:p w14:paraId="1D04B49E" w14:textId="1A8A5B2F" w:rsidR="00EF7A9F" w:rsidRDefault="00EF7A9F" w:rsidP="00005426">
            <w:pPr>
              <w:spacing w:line="360" w:lineRule="auto"/>
            </w:pPr>
            <w:r>
              <w:t>$</w:t>
            </w:r>
            <w:r w:rsidR="00E51860">
              <w:t xml:space="preserve"> </w:t>
            </w:r>
            <w:r>
              <w:t>642,999</w:t>
            </w:r>
          </w:p>
        </w:tc>
      </w:tr>
      <w:tr w:rsidR="00024C3C" w14:paraId="132267CD" w14:textId="77777777" w:rsidTr="00B50CEF">
        <w:trPr>
          <w:trHeight w:val="432"/>
        </w:trPr>
        <w:tc>
          <w:tcPr>
            <w:tcW w:w="4675" w:type="dxa"/>
            <w:shd w:val="clear" w:color="auto" w:fill="D9E2F3" w:themeFill="accent1" w:themeFillTint="33"/>
          </w:tcPr>
          <w:p w14:paraId="4DBFADE3" w14:textId="02C3892B" w:rsidR="00024C3C" w:rsidRPr="00F030D1" w:rsidRDefault="00024C3C" w:rsidP="00005426">
            <w:pPr>
              <w:spacing w:line="360" w:lineRule="auto"/>
              <w:rPr>
                <w:b/>
                <w:bCs/>
              </w:rPr>
            </w:pPr>
            <w:r w:rsidRPr="00F030D1">
              <w:rPr>
                <w:b/>
                <w:bCs/>
              </w:rPr>
              <w:t>Square footage</w:t>
            </w:r>
          </w:p>
        </w:tc>
        <w:tc>
          <w:tcPr>
            <w:tcW w:w="4675" w:type="dxa"/>
          </w:tcPr>
          <w:p w14:paraId="4D7EC397" w14:textId="0E6939DF" w:rsidR="00024C3C" w:rsidRDefault="00024C3C" w:rsidP="00005426">
            <w:pPr>
              <w:spacing w:line="360" w:lineRule="auto"/>
            </w:pPr>
            <w:r>
              <w:t>2500 sq.st</w:t>
            </w:r>
          </w:p>
        </w:tc>
      </w:tr>
      <w:tr w:rsidR="00FC41A5" w14:paraId="03015496" w14:textId="77777777" w:rsidTr="00B50CEF">
        <w:trPr>
          <w:trHeight w:val="432"/>
        </w:trPr>
        <w:tc>
          <w:tcPr>
            <w:tcW w:w="4675" w:type="dxa"/>
            <w:shd w:val="clear" w:color="auto" w:fill="D9E2F3" w:themeFill="accent1" w:themeFillTint="33"/>
          </w:tcPr>
          <w:p w14:paraId="636D576E" w14:textId="737E72D1" w:rsidR="00FC41A5" w:rsidRPr="00F030D1" w:rsidRDefault="00FC41A5" w:rsidP="00005426">
            <w:pPr>
              <w:spacing w:line="360" w:lineRule="auto"/>
              <w:rPr>
                <w:b/>
                <w:bCs/>
              </w:rPr>
            </w:pPr>
            <w:r>
              <w:rPr>
                <w:b/>
                <w:bCs/>
              </w:rPr>
              <w:t>Land Value (as quoted by Redfin)</w:t>
            </w:r>
          </w:p>
        </w:tc>
        <w:tc>
          <w:tcPr>
            <w:tcW w:w="4675" w:type="dxa"/>
          </w:tcPr>
          <w:p w14:paraId="74BFF405" w14:textId="479AF9CB" w:rsidR="00FC41A5" w:rsidRDefault="00FC41A5" w:rsidP="00005426">
            <w:pPr>
              <w:spacing w:line="360" w:lineRule="auto"/>
            </w:pPr>
            <w:r w:rsidRPr="00FC41A5">
              <w:t>$247,000</w:t>
            </w:r>
          </w:p>
        </w:tc>
      </w:tr>
      <w:tr w:rsidR="00EF7A9F" w14:paraId="5593B416" w14:textId="77777777" w:rsidTr="00B50CEF">
        <w:trPr>
          <w:trHeight w:val="432"/>
        </w:trPr>
        <w:tc>
          <w:tcPr>
            <w:tcW w:w="4675" w:type="dxa"/>
            <w:shd w:val="clear" w:color="auto" w:fill="D9E2F3" w:themeFill="accent1" w:themeFillTint="33"/>
          </w:tcPr>
          <w:p w14:paraId="7E7BE5C1" w14:textId="3B5A93C5" w:rsidR="00EF7A9F" w:rsidRPr="00F030D1" w:rsidRDefault="00EF7A9F" w:rsidP="00005426">
            <w:pPr>
              <w:spacing w:line="360" w:lineRule="auto"/>
              <w:rPr>
                <w:b/>
                <w:bCs/>
              </w:rPr>
            </w:pPr>
            <w:r w:rsidRPr="00F030D1">
              <w:rPr>
                <w:b/>
                <w:bCs/>
              </w:rPr>
              <w:t>Down-payment</w:t>
            </w:r>
          </w:p>
        </w:tc>
        <w:tc>
          <w:tcPr>
            <w:tcW w:w="4675" w:type="dxa"/>
          </w:tcPr>
          <w:p w14:paraId="722A2328" w14:textId="7A989468" w:rsidR="00EF7A9F" w:rsidRDefault="00EF7A9F" w:rsidP="00005426">
            <w:pPr>
              <w:spacing w:line="360" w:lineRule="auto"/>
            </w:pPr>
            <w:r>
              <w:t>20% of purchase price</w:t>
            </w:r>
          </w:p>
        </w:tc>
      </w:tr>
      <w:tr w:rsidR="00EF7A9F" w14:paraId="11431687" w14:textId="77777777" w:rsidTr="00B50CEF">
        <w:trPr>
          <w:trHeight w:val="440"/>
        </w:trPr>
        <w:tc>
          <w:tcPr>
            <w:tcW w:w="4675" w:type="dxa"/>
            <w:shd w:val="clear" w:color="auto" w:fill="D9E2F3" w:themeFill="accent1" w:themeFillTint="33"/>
          </w:tcPr>
          <w:p w14:paraId="701CFBB3" w14:textId="55619843" w:rsidR="00EF7A9F" w:rsidRPr="00F030D1" w:rsidRDefault="00EF7A9F" w:rsidP="00005426">
            <w:pPr>
              <w:spacing w:line="360" w:lineRule="auto"/>
              <w:rPr>
                <w:b/>
                <w:bCs/>
              </w:rPr>
            </w:pPr>
            <w:r w:rsidRPr="00F030D1">
              <w:rPr>
                <w:b/>
                <w:bCs/>
              </w:rPr>
              <w:t>Current interest rate (</w:t>
            </w:r>
            <w:r w:rsidR="004011B3">
              <w:rPr>
                <w:b/>
                <w:bCs/>
              </w:rPr>
              <w:t xml:space="preserve">Source: </w:t>
            </w:r>
            <w:hyperlink r:id="rId10" w:history="1">
              <w:r w:rsidR="004011B3" w:rsidRPr="004011B3">
                <w:rPr>
                  <w:rStyle w:val="Hyperlink"/>
                  <w:b/>
                  <w:bCs/>
                </w:rPr>
                <w:t>here</w:t>
              </w:r>
            </w:hyperlink>
            <w:r w:rsidR="00024C3C" w:rsidRPr="00F030D1">
              <w:rPr>
                <w:b/>
                <w:bCs/>
              </w:rPr>
              <w:t>)</w:t>
            </w:r>
          </w:p>
        </w:tc>
        <w:tc>
          <w:tcPr>
            <w:tcW w:w="4675" w:type="dxa"/>
          </w:tcPr>
          <w:p w14:paraId="22F0F711" w14:textId="56D408F7" w:rsidR="00FC41A5" w:rsidRDefault="00FC41A5" w:rsidP="00005426">
            <w:pPr>
              <w:spacing w:line="360" w:lineRule="auto"/>
            </w:pPr>
            <w:r>
              <w:t>3.</w:t>
            </w:r>
            <w:r w:rsidR="00B24ACB">
              <w:t>26</w:t>
            </w:r>
            <w:r>
              <w:t>% for 30-year mortgage</w:t>
            </w:r>
          </w:p>
        </w:tc>
      </w:tr>
      <w:tr w:rsidR="00024C3C" w14:paraId="6C333F0E" w14:textId="77777777" w:rsidTr="00B50CEF">
        <w:trPr>
          <w:trHeight w:val="432"/>
        </w:trPr>
        <w:tc>
          <w:tcPr>
            <w:tcW w:w="4675" w:type="dxa"/>
            <w:shd w:val="clear" w:color="auto" w:fill="D9E2F3" w:themeFill="accent1" w:themeFillTint="33"/>
          </w:tcPr>
          <w:p w14:paraId="082E9E80" w14:textId="678AF3DA" w:rsidR="00024C3C" w:rsidRPr="00F030D1" w:rsidRDefault="00024C3C" w:rsidP="00005426">
            <w:pPr>
              <w:spacing w:line="360" w:lineRule="auto"/>
              <w:rPr>
                <w:b/>
                <w:bCs/>
              </w:rPr>
            </w:pPr>
            <w:r w:rsidRPr="00F030D1">
              <w:rPr>
                <w:b/>
                <w:bCs/>
              </w:rPr>
              <w:t xml:space="preserve">Closing cost </w:t>
            </w:r>
          </w:p>
        </w:tc>
        <w:tc>
          <w:tcPr>
            <w:tcW w:w="4675" w:type="dxa"/>
          </w:tcPr>
          <w:p w14:paraId="7F8353D0" w14:textId="47A663C1" w:rsidR="00024C3C" w:rsidRDefault="00024C3C" w:rsidP="00005426">
            <w:pPr>
              <w:spacing w:line="360" w:lineRule="auto"/>
            </w:pPr>
            <w:r>
              <w:t>2%</w:t>
            </w:r>
            <w:r w:rsidR="00F030D1">
              <w:t xml:space="preserve"> to 5% </w:t>
            </w:r>
            <w:r>
              <w:t>of property purchase value</w:t>
            </w:r>
          </w:p>
        </w:tc>
      </w:tr>
      <w:tr w:rsidR="00024C3C" w14:paraId="6122D802" w14:textId="77777777" w:rsidTr="00B50CEF">
        <w:trPr>
          <w:trHeight w:val="432"/>
        </w:trPr>
        <w:tc>
          <w:tcPr>
            <w:tcW w:w="4675" w:type="dxa"/>
            <w:shd w:val="clear" w:color="auto" w:fill="D9E2F3" w:themeFill="accent1" w:themeFillTint="33"/>
          </w:tcPr>
          <w:p w14:paraId="0FFF73FA" w14:textId="4EF5752B" w:rsidR="00024C3C" w:rsidRPr="00F030D1" w:rsidRDefault="00024C3C" w:rsidP="00005426">
            <w:pPr>
              <w:spacing w:line="360" w:lineRule="auto"/>
              <w:rPr>
                <w:b/>
                <w:bCs/>
              </w:rPr>
            </w:pPr>
            <w:r w:rsidRPr="00F030D1">
              <w:rPr>
                <w:b/>
                <w:bCs/>
              </w:rPr>
              <w:t xml:space="preserve">Vacancy rate (Source: </w:t>
            </w:r>
            <w:hyperlink r:id="rId11" w:history="1">
              <w:r w:rsidRPr="00F030D1">
                <w:rPr>
                  <w:rStyle w:val="Hyperlink"/>
                  <w:b/>
                  <w:bCs/>
                </w:rPr>
                <w:t>here</w:t>
              </w:r>
            </w:hyperlink>
            <w:r w:rsidRPr="00F030D1">
              <w:rPr>
                <w:b/>
                <w:bCs/>
              </w:rPr>
              <w:t>)</w:t>
            </w:r>
          </w:p>
        </w:tc>
        <w:tc>
          <w:tcPr>
            <w:tcW w:w="4675" w:type="dxa"/>
          </w:tcPr>
          <w:p w14:paraId="5610E4B5" w14:textId="02080012" w:rsidR="00024C3C" w:rsidRDefault="00CB442F" w:rsidP="00005426">
            <w:pPr>
              <w:spacing w:line="360" w:lineRule="auto"/>
            </w:pPr>
            <w:r>
              <w:t>5</w:t>
            </w:r>
            <w:r w:rsidR="00024C3C">
              <w:t>% per year</w:t>
            </w:r>
            <w:r>
              <w:t xml:space="preserve"> for West Coast (assumed based on the average of the vacancy rates in 2018 and 2019)</w:t>
            </w:r>
          </w:p>
        </w:tc>
      </w:tr>
      <w:tr w:rsidR="00024C3C" w14:paraId="707D1581" w14:textId="77777777" w:rsidTr="00B50CEF">
        <w:trPr>
          <w:trHeight w:val="432"/>
        </w:trPr>
        <w:tc>
          <w:tcPr>
            <w:tcW w:w="4675" w:type="dxa"/>
            <w:shd w:val="clear" w:color="auto" w:fill="D9E2F3" w:themeFill="accent1" w:themeFillTint="33"/>
          </w:tcPr>
          <w:p w14:paraId="70CC0B1E" w14:textId="2EE8DC5A" w:rsidR="00024C3C" w:rsidRPr="00F030D1" w:rsidRDefault="00024C3C" w:rsidP="00005426">
            <w:pPr>
              <w:spacing w:line="360" w:lineRule="auto"/>
              <w:rPr>
                <w:b/>
                <w:bCs/>
              </w:rPr>
            </w:pPr>
            <w:r w:rsidRPr="00F030D1">
              <w:rPr>
                <w:b/>
                <w:bCs/>
              </w:rPr>
              <w:t xml:space="preserve">Depreciation rate (Source: </w:t>
            </w:r>
            <w:hyperlink r:id="rId12" w:history="1">
              <w:r w:rsidRPr="00F030D1">
                <w:rPr>
                  <w:rStyle w:val="Hyperlink"/>
                  <w:b/>
                  <w:bCs/>
                </w:rPr>
                <w:t>here</w:t>
              </w:r>
            </w:hyperlink>
            <w:r w:rsidRPr="00F030D1">
              <w:rPr>
                <w:b/>
                <w:bCs/>
              </w:rPr>
              <w:t>)</w:t>
            </w:r>
          </w:p>
        </w:tc>
        <w:tc>
          <w:tcPr>
            <w:tcW w:w="4675" w:type="dxa"/>
          </w:tcPr>
          <w:p w14:paraId="5ED37003" w14:textId="730F11EF" w:rsidR="00024C3C" w:rsidRDefault="00024C3C" w:rsidP="00005426">
            <w:pPr>
              <w:spacing w:line="360" w:lineRule="auto"/>
            </w:pPr>
            <w:r>
              <w:t>3.636% per year</w:t>
            </w:r>
          </w:p>
        </w:tc>
      </w:tr>
      <w:tr w:rsidR="00024C3C" w14:paraId="13E7BBD5" w14:textId="77777777" w:rsidTr="00B50CEF">
        <w:trPr>
          <w:trHeight w:val="432"/>
        </w:trPr>
        <w:tc>
          <w:tcPr>
            <w:tcW w:w="4675" w:type="dxa"/>
            <w:shd w:val="clear" w:color="auto" w:fill="D9E2F3" w:themeFill="accent1" w:themeFillTint="33"/>
          </w:tcPr>
          <w:p w14:paraId="2FA183EF" w14:textId="1FC7F69F" w:rsidR="00024C3C" w:rsidRPr="00F030D1" w:rsidRDefault="00024C3C" w:rsidP="00005426">
            <w:pPr>
              <w:spacing w:line="360" w:lineRule="auto"/>
              <w:rPr>
                <w:b/>
                <w:bCs/>
              </w:rPr>
            </w:pPr>
            <w:r w:rsidRPr="00F030D1">
              <w:rPr>
                <w:b/>
                <w:bCs/>
              </w:rPr>
              <w:lastRenderedPageBreak/>
              <w:t>Rental estimate as predicted by Redfin</w:t>
            </w:r>
            <w:r w:rsidR="00DC58AC">
              <w:rPr>
                <w:b/>
                <w:bCs/>
              </w:rPr>
              <w:t xml:space="preserve"> (Source: </w:t>
            </w:r>
            <w:hyperlink r:id="rId13" w:anchor="property-details" w:history="1">
              <w:r w:rsidR="00DC58AC" w:rsidRPr="00DC58AC">
                <w:rPr>
                  <w:rStyle w:val="Hyperlink"/>
                  <w:b/>
                  <w:bCs/>
                </w:rPr>
                <w:t>here</w:t>
              </w:r>
            </w:hyperlink>
            <w:r w:rsidR="00DC58AC">
              <w:rPr>
                <w:b/>
                <w:bCs/>
              </w:rPr>
              <w:t>)</w:t>
            </w:r>
          </w:p>
        </w:tc>
        <w:tc>
          <w:tcPr>
            <w:tcW w:w="4675" w:type="dxa"/>
          </w:tcPr>
          <w:p w14:paraId="624F366C" w14:textId="39883DEF" w:rsidR="00024C3C" w:rsidRDefault="00FC41A5" w:rsidP="00005426">
            <w:pPr>
              <w:spacing w:line="360" w:lineRule="auto"/>
            </w:pPr>
            <w:r w:rsidRPr="00FC41A5">
              <w:t>$2,909 - $3,558 / mo</w:t>
            </w:r>
            <w:r>
              <w:t>nth</w:t>
            </w:r>
          </w:p>
        </w:tc>
      </w:tr>
    </w:tbl>
    <w:p w14:paraId="3ECD5F85" w14:textId="3F3B1490" w:rsidR="00B50CEF" w:rsidRDefault="00B50CEF" w:rsidP="00005426">
      <w:pPr>
        <w:spacing w:line="360" w:lineRule="auto"/>
        <w:rPr>
          <w:b/>
          <w:bCs/>
        </w:rPr>
      </w:pPr>
    </w:p>
    <w:p w14:paraId="5890C183" w14:textId="57CF8308" w:rsidR="00FC41A5" w:rsidRDefault="00FC41A5" w:rsidP="00005426">
      <w:pPr>
        <w:pStyle w:val="Heading1"/>
        <w:spacing w:line="360" w:lineRule="auto"/>
      </w:pPr>
      <w:r>
        <w:t>Property 2</w:t>
      </w:r>
    </w:p>
    <w:p w14:paraId="3CEE5D50" w14:textId="332F8E1C" w:rsidR="00FC41A5" w:rsidRDefault="00FC41A5" w:rsidP="00005426">
      <w:pPr>
        <w:spacing w:line="360" w:lineRule="auto"/>
      </w:pPr>
      <w:r>
        <w:t xml:space="preserve">Here’s the link to the </w:t>
      </w:r>
      <w:hyperlink r:id="rId14" w:history="1">
        <w:r w:rsidRPr="00EF7A9F">
          <w:rPr>
            <w:rStyle w:val="Hyperlink"/>
          </w:rPr>
          <w:t>property lis</w:t>
        </w:r>
        <w:r w:rsidRPr="00EF7A9F">
          <w:rPr>
            <w:rStyle w:val="Hyperlink"/>
          </w:rPr>
          <w:t>ting</w:t>
        </w:r>
      </w:hyperlink>
      <w:r>
        <w:t xml:space="preserve">. </w:t>
      </w:r>
    </w:p>
    <w:p w14:paraId="1F7EA898" w14:textId="77777777" w:rsidR="00FC41A5" w:rsidRDefault="00FC41A5" w:rsidP="00005426">
      <w:pPr>
        <w:spacing w:line="360" w:lineRule="auto"/>
      </w:pPr>
      <w:r>
        <w:t>Given below are high-level details.</w:t>
      </w:r>
    </w:p>
    <w:tbl>
      <w:tblPr>
        <w:tblStyle w:val="TableGrid"/>
        <w:tblW w:w="0" w:type="auto"/>
        <w:tblLook w:val="04A0" w:firstRow="1" w:lastRow="0" w:firstColumn="1" w:lastColumn="0" w:noHBand="0" w:noVBand="1"/>
      </w:tblPr>
      <w:tblGrid>
        <w:gridCol w:w="4675"/>
        <w:gridCol w:w="4675"/>
      </w:tblGrid>
      <w:tr w:rsidR="00FC41A5" w14:paraId="7E8C2AA1" w14:textId="77777777" w:rsidTr="00716DC0">
        <w:trPr>
          <w:trHeight w:val="432"/>
        </w:trPr>
        <w:tc>
          <w:tcPr>
            <w:tcW w:w="4675" w:type="dxa"/>
            <w:shd w:val="clear" w:color="auto" w:fill="D9E2F3" w:themeFill="accent1" w:themeFillTint="33"/>
          </w:tcPr>
          <w:p w14:paraId="5916A396" w14:textId="77777777" w:rsidR="00FC41A5" w:rsidRPr="00F030D1" w:rsidRDefault="00FC41A5" w:rsidP="00005426">
            <w:pPr>
              <w:spacing w:line="360" w:lineRule="auto"/>
              <w:rPr>
                <w:b/>
                <w:bCs/>
              </w:rPr>
            </w:pPr>
            <w:r w:rsidRPr="00F030D1">
              <w:rPr>
                <w:b/>
                <w:bCs/>
              </w:rPr>
              <w:t>Type</w:t>
            </w:r>
          </w:p>
        </w:tc>
        <w:tc>
          <w:tcPr>
            <w:tcW w:w="4675" w:type="dxa"/>
          </w:tcPr>
          <w:p w14:paraId="548E9F90" w14:textId="1FD18710" w:rsidR="00FC41A5" w:rsidRDefault="00FC41A5" w:rsidP="00005426">
            <w:pPr>
              <w:spacing w:line="360" w:lineRule="auto"/>
            </w:pPr>
            <w:r>
              <w:t>3 bed 3 bath multi</w:t>
            </w:r>
            <w:r w:rsidR="00716DC0">
              <w:t>-</w:t>
            </w:r>
            <w:r>
              <w:t xml:space="preserve">family residential </w:t>
            </w:r>
            <w:r w:rsidR="00CB442F">
              <w:t>town</w:t>
            </w:r>
            <w:r>
              <w:t>home</w:t>
            </w:r>
          </w:p>
        </w:tc>
      </w:tr>
      <w:tr w:rsidR="00FC41A5" w14:paraId="0D894798" w14:textId="77777777" w:rsidTr="00716DC0">
        <w:trPr>
          <w:trHeight w:val="432"/>
        </w:trPr>
        <w:tc>
          <w:tcPr>
            <w:tcW w:w="4675" w:type="dxa"/>
            <w:shd w:val="clear" w:color="auto" w:fill="D9E2F3" w:themeFill="accent1" w:themeFillTint="33"/>
          </w:tcPr>
          <w:p w14:paraId="624C6217" w14:textId="77777777" w:rsidR="00FC41A5" w:rsidRPr="00F030D1" w:rsidRDefault="00FC41A5" w:rsidP="00005426">
            <w:pPr>
              <w:spacing w:line="360" w:lineRule="auto"/>
              <w:rPr>
                <w:b/>
                <w:bCs/>
              </w:rPr>
            </w:pPr>
            <w:r w:rsidRPr="00F030D1">
              <w:rPr>
                <w:b/>
                <w:bCs/>
              </w:rPr>
              <w:t>Location</w:t>
            </w:r>
          </w:p>
        </w:tc>
        <w:tc>
          <w:tcPr>
            <w:tcW w:w="4675" w:type="dxa"/>
          </w:tcPr>
          <w:p w14:paraId="275BF316" w14:textId="6F1F11DA" w:rsidR="00FC41A5" w:rsidRDefault="004011B3" w:rsidP="00005426">
            <w:pPr>
              <w:spacing w:line="360" w:lineRule="auto"/>
            </w:pPr>
            <w:r w:rsidRPr="004011B3">
              <w:t>14715 B-4 Admiralty Way</w:t>
            </w:r>
            <w:r>
              <w:t xml:space="preserve">, </w:t>
            </w:r>
            <w:r w:rsidRPr="004011B3">
              <w:t>Lynnwood, WA 98087</w:t>
            </w:r>
          </w:p>
        </w:tc>
      </w:tr>
      <w:tr w:rsidR="00FC41A5" w14:paraId="3F4A0EFC" w14:textId="77777777" w:rsidTr="00716DC0">
        <w:trPr>
          <w:trHeight w:val="432"/>
        </w:trPr>
        <w:tc>
          <w:tcPr>
            <w:tcW w:w="4675" w:type="dxa"/>
            <w:shd w:val="clear" w:color="auto" w:fill="D9E2F3" w:themeFill="accent1" w:themeFillTint="33"/>
          </w:tcPr>
          <w:p w14:paraId="668C5953" w14:textId="77777777" w:rsidR="00FC41A5" w:rsidRPr="00F030D1" w:rsidRDefault="00FC41A5" w:rsidP="00005426">
            <w:pPr>
              <w:spacing w:line="360" w:lineRule="auto"/>
              <w:rPr>
                <w:b/>
                <w:bCs/>
              </w:rPr>
            </w:pPr>
            <w:r w:rsidRPr="00F030D1">
              <w:rPr>
                <w:b/>
                <w:bCs/>
              </w:rPr>
              <w:t>List price</w:t>
            </w:r>
          </w:p>
        </w:tc>
        <w:tc>
          <w:tcPr>
            <w:tcW w:w="4675" w:type="dxa"/>
          </w:tcPr>
          <w:p w14:paraId="314BAD74" w14:textId="7DE459A5" w:rsidR="00FC41A5" w:rsidRDefault="00FC41A5" w:rsidP="00005426">
            <w:pPr>
              <w:spacing w:line="360" w:lineRule="auto"/>
            </w:pPr>
            <w:r>
              <w:t xml:space="preserve">$ </w:t>
            </w:r>
            <w:r w:rsidR="004011B3">
              <w:t>499,990</w:t>
            </w:r>
          </w:p>
        </w:tc>
      </w:tr>
      <w:tr w:rsidR="00FC41A5" w14:paraId="7A0BAC47" w14:textId="77777777" w:rsidTr="00716DC0">
        <w:trPr>
          <w:trHeight w:val="432"/>
        </w:trPr>
        <w:tc>
          <w:tcPr>
            <w:tcW w:w="4675" w:type="dxa"/>
            <w:shd w:val="clear" w:color="auto" w:fill="D9E2F3" w:themeFill="accent1" w:themeFillTint="33"/>
          </w:tcPr>
          <w:p w14:paraId="172DBD34" w14:textId="77777777" w:rsidR="00FC41A5" w:rsidRPr="00F030D1" w:rsidRDefault="00FC41A5" w:rsidP="00005426">
            <w:pPr>
              <w:spacing w:line="360" w:lineRule="auto"/>
              <w:rPr>
                <w:b/>
                <w:bCs/>
              </w:rPr>
            </w:pPr>
            <w:r w:rsidRPr="00F030D1">
              <w:rPr>
                <w:b/>
                <w:bCs/>
              </w:rPr>
              <w:t>Square footage</w:t>
            </w:r>
          </w:p>
        </w:tc>
        <w:tc>
          <w:tcPr>
            <w:tcW w:w="4675" w:type="dxa"/>
          </w:tcPr>
          <w:p w14:paraId="50C03DB2" w14:textId="06471E11" w:rsidR="00FC41A5" w:rsidRDefault="004011B3" w:rsidP="00005426">
            <w:pPr>
              <w:spacing w:line="360" w:lineRule="auto"/>
            </w:pPr>
            <w:r>
              <w:t>1645</w:t>
            </w:r>
            <w:r w:rsidR="00FC41A5">
              <w:t xml:space="preserve"> sq.st</w:t>
            </w:r>
          </w:p>
        </w:tc>
      </w:tr>
      <w:tr w:rsidR="00FC41A5" w14:paraId="7F08D845" w14:textId="77777777" w:rsidTr="00716DC0">
        <w:trPr>
          <w:trHeight w:val="432"/>
        </w:trPr>
        <w:tc>
          <w:tcPr>
            <w:tcW w:w="4675" w:type="dxa"/>
            <w:shd w:val="clear" w:color="auto" w:fill="D9E2F3" w:themeFill="accent1" w:themeFillTint="33"/>
          </w:tcPr>
          <w:p w14:paraId="2CDD1F19" w14:textId="77777777" w:rsidR="00FC41A5" w:rsidRPr="00F030D1" w:rsidRDefault="00FC41A5" w:rsidP="00005426">
            <w:pPr>
              <w:spacing w:line="360" w:lineRule="auto"/>
              <w:rPr>
                <w:b/>
                <w:bCs/>
              </w:rPr>
            </w:pPr>
            <w:r>
              <w:rPr>
                <w:b/>
                <w:bCs/>
              </w:rPr>
              <w:t>Land Value (as quoted by Redfin)</w:t>
            </w:r>
          </w:p>
        </w:tc>
        <w:tc>
          <w:tcPr>
            <w:tcW w:w="4675" w:type="dxa"/>
          </w:tcPr>
          <w:p w14:paraId="39FECCF0" w14:textId="6E76F225" w:rsidR="00FC41A5" w:rsidRDefault="004011B3" w:rsidP="00005426">
            <w:pPr>
              <w:spacing w:line="360" w:lineRule="auto"/>
            </w:pPr>
            <w:r>
              <w:t>NA</w:t>
            </w:r>
          </w:p>
        </w:tc>
      </w:tr>
      <w:tr w:rsidR="00FC41A5" w14:paraId="69BC6C70" w14:textId="77777777" w:rsidTr="00716DC0">
        <w:trPr>
          <w:trHeight w:val="432"/>
        </w:trPr>
        <w:tc>
          <w:tcPr>
            <w:tcW w:w="4675" w:type="dxa"/>
            <w:shd w:val="clear" w:color="auto" w:fill="D9E2F3" w:themeFill="accent1" w:themeFillTint="33"/>
          </w:tcPr>
          <w:p w14:paraId="115DBB0B" w14:textId="77777777" w:rsidR="00FC41A5" w:rsidRPr="00F030D1" w:rsidRDefault="00FC41A5" w:rsidP="00005426">
            <w:pPr>
              <w:spacing w:line="360" w:lineRule="auto"/>
              <w:rPr>
                <w:b/>
                <w:bCs/>
              </w:rPr>
            </w:pPr>
            <w:r w:rsidRPr="00F030D1">
              <w:rPr>
                <w:b/>
                <w:bCs/>
              </w:rPr>
              <w:t>Down-payment</w:t>
            </w:r>
          </w:p>
        </w:tc>
        <w:tc>
          <w:tcPr>
            <w:tcW w:w="4675" w:type="dxa"/>
          </w:tcPr>
          <w:p w14:paraId="53DD3EBB" w14:textId="77777777" w:rsidR="00FC41A5" w:rsidRDefault="00FC41A5" w:rsidP="00005426">
            <w:pPr>
              <w:spacing w:line="360" w:lineRule="auto"/>
            </w:pPr>
            <w:r>
              <w:t>20% of purchase price</w:t>
            </w:r>
          </w:p>
        </w:tc>
      </w:tr>
      <w:tr w:rsidR="00FC41A5" w14:paraId="39C6AEEE" w14:textId="77777777" w:rsidTr="00716DC0">
        <w:trPr>
          <w:trHeight w:val="440"/>
        </w:trPr>
        <w:tc>
          <w:tcPr>
            <w:tcW w:w="4675" w:type="dxa"/>
            <w:shd w:val="clear" w:color="auto" w:fill="D9E2F3" w:themeFill="accent1" w:themeFillTint="33"/>
          </w:tcPr>
          <w:p w14:paraId="7C990317" w14:textId="1DE65CEA" w:rsidR="00FC41A5" w:rsidRPr="00F030D1" w:rsidRDefault="00FC41A5" w:rsidP="00005426">
            <w:pPr>
              <w:spacing w:line="360" w:lineRule="auto"/>
              <w:rPr>
                <w:b/>
                <w:bCs/>
              </w:rPr>
            </w:pPr>
            <w:r w:rsidRPr="00F030D1">
              <w:rPr>
                <w:b/>
                <w:bCs/>
              </w:rPr>
              <w:t xml:space="preserve">Current interest rate (as quoted </w:t>
            </w:r>
            <w:r w:rsidR="00B24ACB">
              <w:rPr>
                <w:b/>
                <w:bCs/>
              </w:rPr>
              <w:t xml:space="preserve">in </w:t>
            </w:r>
            <w:hyperlink r:id="rId15" w:history="1">
              <w:r w:rsidR="00B24ACB" w:rsidRPr="00B24ACB">
                <w:rPr>
                  <w:rStyle w:val="Hyperlink"/>
                  <w:b/>
                  <w:bCs/>
                </w:rPr>
                <w:t>bankrate.com</w:t>
              </w:r>
            </w:hyperlink>
            <w:r w:rsidRPr="00F030D1">
              <w:rPr>
                <w:b/>
                <w:bCs/>
              </w:rPr>
              <w:t>)</w:t>
            </w:r>
          </w:p>
        </w:tc>
        <w:tc>
          <w:tcPr>
            <w:tcW w:w="4675" w:type="dxa"/>
          </w:tcPr>
          <w:p w14:paraId="6617CAA9" w14:textId="29F2D749" w:rsidR="00FC41A5" w:rsidRDefault="00B24ACB" w:rsidP="00005426">
            <w:pPr>
              <w:spacing w:line="360" w:lineRule="auto"/>
            </w:pPr>
            <w:r>
              <w:t xml:space="preserve">3.06% for 30-year mortgage </w:t>
            </w:r>
          </w:p>
        </w:tc>
      </w:tr>
      <w:tr w:rsidR="00FC41A5" w14:paraId="68816D8A" w14:textId="77777777" w:rsidTr="00716DC0">
        <w:trPr>
          <w:trHeight w:val="432"/>
        </w:trPr>
        <w:tc>
          <w:tcPr>
            <w:tcW w:w="4675" w:type="dxa"/>
            <w:shd w:val="clear" w:color="auto" w:fill="D9E2F3" w:themeFill="accent1" w:themeFillTint="33"/>
          </w:tcPr>
          <w:p w14:paraId="1631ABC4" w14:textId="77777777" w:rsidR="00FC41A5" w:rsidRPr="00F030D1" w:rsidRDefault="00FC41A5" w:rsidP="00005426">
            <w:pPr>
              <w:spacing w:line="360" w:lineRule="auto"/>
              <w:rPr>
                <w:b/>
                <w:bCs/>
              </w:rPr>
            </w:pPr>
            <w:r w:rsidRPr="00F030D1">
              <w:rPr>
                <w:b/>
                <w:bCs/>
              </w:rPr>
              <w:t xml:space="preserve">Closing cost </w:t>
            </w:r>
          </w:p>
        </w:tc>
        <w:tc>
          <w:tcPr>
            <w:tcW w:w="4675" w:type="dxa"/>
          </w:tcPr>
          <w:p w14:paraId="0A9746BD" w14:textId="77777777" w:rsidR="00FC41A5" w:rsidRDefault="00FC41A5" w:rsidP="00005426">
            <w:pPr>
              <w:spacing w:line="360" w:lineRule="auto"/>
            </w:pPr>
            <w:r>
              <w:t>2% to 5% of property purchase value</w:t>
            </w:r>
          </w:p>
        </w:tc>
      </w:tr>
      <w:tr w:rsidR="00FC41A5" w14:paraId="3E0D4671" w14:textId="77777777" w:rsidTr="00716DC0">
        <w:trPr>
          <w:trHeight w:val="432"/>
        </w:trPr>
        <w:tc>
          <w:tcPr>
            <w:tcW w:w="4675" w:type="dxa"/>
            <w:shd w:val="clear" w:color="auto" w:fill="D9E2F3" w:themeFill="accent1" w:themeFillTint="33"/>
          </w:tcPr>
          <w:p w14:paraId="48543FC4" w14:textId="77777777" w:rsidR="00FC41A5" w:rsidRPr="00F030D1" w:rsidRDefault="00FC41A5" w:rsidP="00005426">
            <w:pPr>
              <w:spacing w:line="360" w:lineRule="auto"/>
              <w:rPr>
                <w:b/>
                <w:bCs/>
              </w:rPr>
            </w:pPr>
            <w:r w:rsidRPr="00F030D1">
              <w:rPr>
                <w:b/>
                <w:bCs/>
              </w:rPr>
              <w:t xml:space="preserve">Vacancy rate (Source: </w:t>
            </w:r>
            <w:hyperlink r:id="rId16" w:history="1">
              <w:r w:rsidRPr="00F030D1">
                <w:rPr>
                  <w:rStyle w:val="Hyperlink"/>
                  <w:b/>
                  <w:bCs/>
                </w:rPr>
                <w:t>here</w:t>
              </w:r>
            </w:hyperlink>
            <w:r w:rsidRPr="00F030D1">
              <w:rPr>
                <w:b/>
                <w:bCs/>
              </w:rPr>
              <w:t>)</w:t>
            </w:r>
          </w:p>
        </w:tc>
        <w:tc>
          <w:tcPr>
            <w:tcW w:w="4675" w:type="dxa"/>
          </w:tcPr>
          <w:p w14:paraId="631F2CF9" w14:textId="4E26ED2A" w:rsidR="00FC41A5" w:rsidRDefault="00CB442F" w:rsidP="00005426">
            <w:pPr>
              <w:spacing w:line="360" w:lineRule="auto"/>
            </w:pPr>
            <w:r>
              <w:t>5% per year for West Coast (assumed based on the average of the vacancy rates in 2018 and 2019)</w:t>
            </w:r>
          </w:p>
        </w:tc>
      </w:tr>
      <w:tr w:rsidR="00FC41A5" w14:paraId="79E0C211" w14:textId="77777777" w:rsidTr="00716DC0">
        <w:trPr>
          <w:trHeight w:val="432"/>
        </w:trPr>
        <w:tc>
          <w:tcPr>
            <w:tcW w:w="4675" w:type="dxa"/>
            <w:shd w:val="clear" w:color="auto" w:fill="D9E2F3" w:themeFill="accent1" w:themeFillTint="33"/>
          </w:tcPr>
          <w:p w14:paraId="1E542BCE" w14:textId="77777777" w:rsidR="00FC41A5" w:rsidRPr="00F030D1" w:rsidRDefault="00FC41A5" w:rsidP="00005426">
            <w:pPr>
              <w:spacing w:line="360" w:lineRule="auto"/>
              <w:rPr>
                <w:b/>
                <w:bCs/>
              </w:rPr>
            </w:pPr>
            <w:r w:rsidRPr="00F030D1">
              <w:rPr>
                <w:b/>
                <w:bCs/>
              </w:rPr>
              <w:t xml:space="preserve">Depreciation rate (Source: </w:t>
            </w:r>
            <w:hyperlink r:id="rId17" w:history="1">
              <w:r w:rsidRPr="00F030D1">
                <w:rPr>
                  <w:rStyle w:val="Hyperlink"/>
                  <w:b/>
                  <w:bCs/>
                </w:rPr>
                <w:t>here</w:t>
              </w:r>
            </w:hyperlink>
            <w:r w:rsidRPr="00F030D1">
              <w:rPr>
                <w:b/>
                <w:bCs/>
              </w:rPr>
              <w:t>)</w:t>
            </w:r>
          </w:p>
        </w:tc>
        <w:tc>
          <w:tcPr>
            <w:tcW w:w="4675" w:type="dxa"/>
          </w:tcPr>
          <w:p w14:paraId="1E212DA5" w14:textId="77777777" w:rsidR="00FC41A5" w:rsidRDefault="00FC41A5" w:rsidP="00005426">
            <w:pPr>
              <w:spacing w:line="360" w:lineRule="auto"/>
            </w:pPr>
            <w:r>
              <w:t>3.636% per year</w:t>
            </w:r>
          </w:p>
        </w:tc>
      </w:tr>
      <w:tr w:rsidR="00FC41A5" w14:paraId="217B87EF" w14:textId="77777777" w:rsidTr="00716DC0">
        <w:trPr>
          <w:trHeight w:val="432"/>
        </w:trPr>
        <w:tc>
          <w:tcPr>
            <w:tcW w:w="4675" w:type="dxa"/>
            <w:shd w:val="clear" w:color="auto" w:fill="D9E2F3" w:themeFill="accent1" w:themeFillTint="33"/>
          </w:tcPr>
          <w:p w14:paraId="3E82100B" w14:textId="463391BA" w:rsidR="00FC41A5" w:rsidRPr="00F030D1" w:rsidRDefault="00FC41A5" w:rsidP="00005426">
            <w:pPr>
              <w:spacing w:line="360" w:lineRule="auto"/>
              <w:rPr>
                <w:b/>
                <w:bCs/>
              </w:rPr>
            </w:pPr>
            <w:r w:rsidRPr="00F030D1">
              <w:rPr>
                <w:b/>
                <w:bCs/>
              </w:rPr>
              <w:t>Rental estimate as predicted by Redfin</w:t>
            </w:r>
            <w:r w:rsidR="00DC58AC">
              <w:rPr>
                <w:b/>
                <w:bCs/>
              </w:rPr>
              <w:t xml:space="preserve"> </w:t>
            </w:r>
            <w:r w:rsidR="00DC58AC">
              <w:rPr>
                <w:b/>
                <w:bCs/>
              </w:rPr>
              <w:t xml:space="preserve">(Source: </w:t>
            </w:r>
            <w:hyperlink r:id="rId18" w:history="1">
              <w:r w:rsidR="00DC58AC" w:rsidRPr="00DC58AC">
                <w:rPr>
                  <w:rStyle w:val="Hyperlink"/>
                  <w:b/>
                  <w:bCs/>
                </w:rPr>
                <w:t>here</w:t>
              </w:r>
            </w:hyperlink>
            <w:r w:rsidR="00DC58AC">
              <w:rPr>
                <w:b/>
                <w:bCs/>
              </w:rPr>
              <w:t>)</w:t>
            </w:r>
          </w:p>
        </w:tc>
        <w:tc>
          <w:tcPr>
            <w:tcW w:w="4675" w:type="dxa"/>
          </w:tcPr>
          <w:p w14:paraId="1EAE583B" w14:textId="3FCF3EAD" w:rsidR="00FC41A5" w:rsidRDefault="00FC41A5" w:rsidP="00005426">
            <w:pPr>
              <w:spacing w:line="360" w:lineRule="auto"/>
            </w:pPr>
            <w:r w:rsidRPr="00FC41A5">
              <w:t>$2</w:t>
            </w:r>
            <w:r w:rsidR="00C223FD">
              <w:t>,068</w:t>
            </w:r>
            <w:r w:rsidRPr="00FC41A5">
              <w:t xml:space="preserve"> - $</w:t>
            </w:r>
            <w:r w:rsidR="00C223FD">
              <w:t>2,509</w:t>
            </w:r>
            <w:r w:rsidR="00C223FD" w:rsidRPr="00FC41A5">
              <w:t xml:space="preserve"> </w:t>
            </w:r>
            <w:r w:rsidRPr="00FC41A5">
              <w:t>/ mo</w:t>
            </w:r>
            <w:r>
              <w:t>nth</w:t>
            </w:r>
          </w:p>
        </w:tc>
      </w:tr>
    </w:tbl>
    <w:p w14:paraId="10E5B6F4" w14:textId="57A85620" w:rsidR="00FC41A5" w:rsidRDefault="00FC41A5" w:rsidP="00005426">
      <w:pPr>
        <w:spacing w:line="360" w:lineRule="auto"/>
      </w:pPr>
    </w:p>
    <w:p w14:paraId="2481DD3C" w14:textId="5CBD540E" w:rsidR="00024C3C" w:rsidRDefault="00024C3C" w:rsidP="00005426">
      <w:pPr>
        <w:spacing w:line="360" w:lineRule="auto"/>
      </w:pPr>
      <w:r>
        <w:t xml:space="preserve">Our plan </w:t>
      </w:r>
      <w:r w:rsidR="00715CB5">
        <w:t xml:space="preserve">and expectations </w:t>
      </w:r>
      <w:r>
        <w:t>for the property purchase.</w:t>
      </w:r>
    </w:p>
    <w:tbl>
      <w:tblPr>
        <w:tblStyle w:val="TableGrid"/>
        <w:tblW w:w="0" w:type="auto"/>
        <w:tblLook w:val="04A0" w:firstRow="1" w:lastRow="0" w:firstColumn="1" w:lastColumn="0" w:noHBand="0" w:noVBand="1"/>
      </w:tblPr>
      <w:tblGrid>
        <w:gridCol w:w="4675"/>
        <w:gridCol w:w="4675"/>
      </w:tblGrid>
      <w:tr w:rsidR="00024C3C" w14:paraId="7E73C6D4" w14:textId="77777777" w:rsidTr="00B50CEF">
        <w:trPr>
          <w:trHeight w:val="432"/>
        </w:trPr>
        <w:tc>
          <w:tcPr>
            <w:tcW w:w="4675" w:type="dxa"/>
            <w:shd w:val="clear" w:color="auto" w:fill="D9E2F3" w:themeFill="accent1" w:themeFillTint="33"/>
          </w:tcPr>
          <w:p w14:paraId="27D96292" w14:textId="604C0CA8" w:rsidR="00024C3C" w:rsidRPr="00F030D1" w:rsidRDefault="00024C3C" w:rsidP="00005426">
            <w:pPr>
              <w:spacing w:line="360" w:lineRule="auto"/>
              <w:rPr>
                <w:b/>
                <w:bCs/>
              </w:rPr>
            </w:pPr>
            <w:r w:rsidRPr="00F030D1">
              <w:rPr>
                <w:b/>
                <w:bCs/>
              </w:rPr>
              <w:t>Down-payment from savings</w:t>
            </w:r>
          </w:p>
        </w:tc>
        <w:tc>
          <w:tcPr>
            <w:tcW w:w="4675" w:type="dxa"/>
          </w:tcPr>
          <w:p w14:paraId="0F3A3643" w14:textId="77777777" w:rsidR="00E70B16" w:rsidRDefault="00024C3C" w:rsidP="00005426">
            <w:pPr>
              <w:spacing w:line="360" w:lineRule="auto"/>
            </w:pPr>
            <w:r>
              <w:t xml:space="preserve">20% of purchase price </w:t>
            </w:r>
          </w:p>
          <w:p w14:paraId="48A0490F" w14:textId="036FEB7C" w:rsidR="00024C3C" w:rsidRDefault="00E70B16" w:rsidP="00005426">
            <w:pPr>
              <w:spacing w:line="360" w:lineRule="auto"/>
              <w:rPr>
                <w:rFonts w:ascii="Calibri" w:hAnsi="Calibri" w:cs="Calibri"/>
                <w:color w:val="000000"/>
              </w:rPr>
            </w:pPr>
            <w:r>
              <w:t xml:space="preserve">For Property 1, Down-payment = </w:t>
            </w:r>
            <w:r w:rsidR="00024C3C">
              <w:rPr>
                <w:rFonts w:ascii="Calibri" w:hAnsi="Calibri" w:cs="Calibri"/>
                <w:color w:val="000000"/>
              </w:rPr>
              <w:t>$ 128,600</w:t>
            </w:r>
            <w:r>
              <w:rPr>
                <w:rFonts w:ascii="Calibri" w:hAnsi="Calibri" w:cs="Calibri"/>
                <w:color w:val="000000"/>
              </w:rPr>
              <w:t xml:space="preserve"> </w:t>
            </w:r>
          </w:p>
          <w:p w14:paraId="59A7339C" w14:textId="77A99636" w:rsidR="00E70B16" w:rsidRDefault="00E70B16" w:rsidP="00005426">
            <w:pPr>
              <w:spacing w:line="360" w:lineRule="auto"/>
            </w:pPr>
            <w:r>
              <w:t>For Property 2, Down-Payment = $ 99,998</w:t>
            </w:r>
          </w:p>
        </w:tc>
      </w:tr>
      <w:tr w:rsidR="00024C3C" w14:paraId="4AC4796D" w14:textId="77777777" w:rsidTr="00B50CEF">
        <w:trPr>
          <w:trHeight w:val="432"/>
        </w:trPr>
        <w:tc>
          <w:tcPr>
            <w:tcW w:w="4675" w:type="dxa"/>
            <w:shd w:val="clear" w:color="auto" w:fill="D9E2F3" w:themeFill="accent1" w:themeFillTint="33"/>
          </w:tcPr>
          <w:p w14:paraId="3A9FA715" w14:textId="3582DF07" w:rsidR="00024C3C" w:rsidRPr="00F030D1" w:rsidRDefault="00024C3C" w:rsidP="00005426">
            <w:pPr>
              <w:spacing w:line="360" w:lineRule="auto"/>
              <w:rPr>
                <w:b/>
                <w:bCs/>
              </w:rPr>
            </w:pPr>
            <w:r w:rsidRPr="00F030D1">
              <w:rPr>
                <w:b/>
                <w:bCs/>
              </w:rPr>
              <w:t>Preferred mortgage payment duration</w:t>
            </w:r>
          </w:p>
        </w:tc>
        <w:tc>
          <w:tcPr>
            <w:tcW w:w="4675" w:type="dxa"/>
          </w:tcPr>
          <w:p w14:paraId="19D9920B" w14:textId="30E27E48" w:rsidR="00024C3C" w:rsidRDefault="00FC41A5" w:rsidP="00005426">
            <w:pPr>
              <w:spacing w:line="360" w:lineRule="auto"/>
            </w:pPr>
            <w:r>
              <w:t>30 years</w:t>
            </w:r>
          </w:p>
        </w:tc>
      </w:tr>
      <w:tr w:rsidR="00024C3C" w14:paraId="28CC8087" w14:textId="77777777" w:rsidTr="00B50CEF">
        <w:trPr>
          <w:trHeight w:val="432"/>
        </w:trPr>
        <w:tc>
          <w:tcPr>
            <w:tcW w:w="4675" w:type="dxa"/>
            <w:shd w:val="clear" w:color="auto" w:fill="D9E2F3" w:themeFill="accent1" w:themeFillTint="33"/>
          </w:tcPr>
          <w:p w14:paraId="6E7324BC" w14:textId="7E18FFCD" w:rsidR="00024C3C" w:rsidRPr="00F030D1" w:rsidRDefault="00024C3C" w:rsidP="00005426">
            <w:pPr>
              <w:spacing w:line="360" w:lineRule="auto"/>
              <w:rPr>
                <w:b/>
                <w:bCs/>
              </w:rPr>
            </w:pPr>
            <w:r w:rsidRPr="00F030D1">
              <w:rPr>
                <w:b/>
                <w:bCs/>
              </w:rPr>
              <w:lastRenderedPageBreak/>
              <w:t>Expected Monthly rent</w:t>
            </w:r>
          </w:p>
        </w:tc>
        <w:tc>
          <w:tcPr>
            <w:tcW w:w="4675" w:type="dxa"/>
          </w:tcPr>
          <w:p w14:paraId="1A219B94" w14:textId="74947BF7" w:rsidR="00024C3C" w:rsidRDefault="00E51860" w:rsidP="00005426">
            <w:pPr>
              <w:spacing w:line="360" w:lineRule="auto"/>
            </w:pPr>
            <w:r>
              <w:t xml:space="preserve">Average </w:t>
            </w:r>
            <w:r w:rsidR="00161A71">
              <w:t xml:space="preserve">approximation </w:t>
            </w:r>
            <w:r>
              <w:t>of the estimate predicted by Redfin</w:t>
            </w:r>
            <w:r w:rsidR="00E77DE4">
              <w:t xml:space="preserve"> (Source :</w:t>
            </w:r>
            <w:r w:rsidR="009319D4">
              <w:t xml:space="preserve"> </w:t>
            </w:r>
            <w:hyperlink r:id="rId19" w:anchor="property-details" w:history="1">
              <w:r w:rsidR="009319D4" w:rsidRPr="00DC58AC">
                <w:rPr>
                  <w:rStyle w:val="Hyperlink"/>
                  <w:b/>
                  <w:bCs/>
                </w:rPr>
                <w:t>here</w:t>
              </w:r>
            </w:hyperlink>
            <w:r w:rsidR="00E77DE4">
              <w:t xml:space="preserve"> </w:t>
            </w:r>
            <w:r w:rsidR="009319D4">
              <w:t xml:space="preserve"> and </w:t>
            </w:r>
            <w:hyperlink r:id="rId20" w:history="1">
              <w:r w:rsidR="00064E81" w:rsidRPr="00DC58AC">
                <w:rPr>
                  <w:rStyle w:val="Hyperlink"/>
                  <w:b/>
                  <w:bCs/>
                </w:rPr>
                <w:t>here</w:t>
              </w:r>
            </w:hyperlink>
            <w:r w:rsidR="00E77DE4">
              <w:t xml:space="preserve">) </w:t>
            </w:r>
          </w:p>
          <w:p w14:paraId="40FB486E" w14:textId="77777777" w:rsidR="00E51860" w:rsidRDefault="00C223FD" w:rsidP="00005426">
            <w:pPr>
              <w:spacing w:line="360" w:lineRule="auto"/>
            </w:pPr>
            <w:r w:rsidRPr="00C223FD">
              <w:rPr>
                <w:b/>
                <w:bCs/>
              </w:rPr>
              <w:t>Property 1:</w:t>
            </w:r>
            <w:r>
              <w:t xml:space="preserve"> </w:t>
            </w:r>
            <w:r w:rsidR="00E51860">
              <w:t>$ 32</w:t>
            </w:r>
            <w:r w:rsidR="00161A71">
              <w:t>00</w:t>
            </w:r>
          </w:p>
          <w:p w14:paraId="52552DD7" w14:textId="19DD348A" w:rsidR="00C223FD" w:rsidRDefault="00C223FD" w:rsidP="00005426">
            <w:pPr>
              <w:spacing w:line="360" w:lineRule="auto"/>
            </w:pPr>
            <w:r w:rsidRPr="00C223FD">
              <w:rPr>
                <w:b/>
                <w:bCs/>
              </w:rPr>
              <w:t>Property 2:</w:t>
            </w:r>
            <w:r>
              <w:t xml:space="preserve"> $ 2</w:t>
            </w:r>
            <w:r w:rsidR="00A3366C">
              <w:t>300</w:t>
            </w:r>
          </w:p>
        </w:tc>
      </w:tr>
      <w:tr w:rsidR="00024C3C" w14:paraId="09089CBA" w14:textId="77777777" w:rsidTr="00B50CEF">
        <w:trPr>
          <w:trHeight w:val="432"/>
        </w:trPr>
        <w:tc>
          <w:tcPr>
            <w:tcW w:w="4675" w:type="dxa"/>
            <w:shd w:val="clear" w:color="auto" w:fill="D9E2F3" w:themeFill="accent1" w:themeFillTint="33"/>
          </w:tcPr>
          <w:p w14:paraId="486B7257" w14:textId="062E897F" w:rsidR="00024C3C" w:rsidRPr="00F030D1" w:rsidRDefault="00E51860" w:rsidP="00005426">
            <w:pPr>
              <w:spacing w:line="360" w:lineRule="auto"/>
              <w:rPr>
                <w:b/>
                <w:bCs/>
              </w:rPr>
            </w:pPr>
            <w:r w:rsidRPr="00F030D1">
              <w:rPr>
                <w:b/>
                <w:bCs/>
              </w:rPr>
              <w:t xml:space="preserve">Expected Rate of return after </w:t>
            </w:r>
            <w:r w:rsidR="00E70B16">
              <w:rPr>
                <w:b/>
                <w:bCs/>
              </w:rPr>
              <w:t>30</w:t>
            </w:r>
            <w:r w:rsidRPr="00F030D1">
              <w:rPr>
                <w:b/>
                <w:bCs/>
              </w:rPr>
              <w:t xml:space="preserve"> years</w:t>
            </w:r>
          </w:p>
        </w:tc>
        <w:tc>
          <w:tcPr>
            <w:tcW w:w="4675" w:type="dxa"/>
          </w:tcPr>
          <w:p w14:paraId="5D0E4F64" w14:textId="2408FFCE" w:rsidR="00024C3C" w:rsidRDefault="00C223FD" w:rsidP="00005426">
            <w:pPr>
              <w:spacing w:line="360" w:lineRule="auto"/>
            </w:pPr>
            <w:r>
              <w:t>At least 1</w:t>
            </w:r>
            <w:r w:rsidR="00463AC4">
              <w:t>2</w:t>
            </w:r>
            <w:r>
              <w:t>%</w:t>
            </w:r>
          </w:p>
        </w:tc>
      </w:tr>
      <w:tr w:rsidR="00E51860" w14:paraId="3BD80B61" w14:textId="77777777" w:rsidTr="00B50CEF">
        <w:trPr>
          <w:trHeight w:val="432"/>
        </w:trPr>
        <w:tc>
          <w:tcPr>
            <w:tcW w:w="4675" w:type="dxa"/>
            <w:shd w:val="clear" w:color="auto" w:fill="D9E2F3" w:themeFill="accent1" w:themeFillTint="33"/>
          </w:tcPr>
          <w:p w14:paraId="5B899FBF" w14:textId="521FE269" w:rsidR="00E51860" w:rsidRPr="00F030D1" w:rsidRDefault="00E51860" w:rsidP="00005426">
            <w:pPr>
              <w:spacing w:line="360" w:lineRule="auto"/>
              <w:rPr>
                <w:b/>
                <w:bCs/>
              </w:rPr>
            </w:pPr>
            <w:r w:rsidRPr="00F030D1">
              <w:rPr>
                <w:b/>
                <w:bCs/>
              </w:rPr>
              <w:t>Discount rate</w:t>
            </w:r>
          </w:p>
        </w:tc>
        <w:tc>
          <w:tcPr>
            <w:tcW w:w="4675" w:type="dxa"/>
          </w:tcPr>
          <w:p w14:paraId="49C23E2C" w14:textId="6A3FF3EE" w:rsidR="00E51860" w:rsidRDefault="00C223FD" w:rsidP="00005426">
            <w:pPr>
              <w:spacing w:line="360" w:lineRule="auto"/>
            </w:pPr>
            <w:r>
              <w:t>1</w:t>
            </w:r>
            <w:r w:rsidR="00463AC4">
              <w:t>2</w:t>
            </w:r>
            <w:r w:rsidR="00E51860">
              <w:t>%</w:t>
            </w:r>
            <w:r>
              <w:t xml:space="preserve"> </w:t>
            </w:r>
            <w:r w:rsidR="00F030D1">
              <w:t>(same as expected rate of return)</w:t>
            </w:r>
          </w:p>
        </w:tc>
      </w:tr>
      <w:tr w:rsidR="000C023A" w14:paraId="5FCBCD95" w14:textId="77777777" w:rsidTr="00B50CEF">
        <w:trPr>
          <w:trHeight w:val="432"/>
        </w:trPr>
        <w:tc>
          <w:tcPr>
            <w:tcW w:w="4675" w:type="dxa"/>
            <w:shd w:val="clear" w:color="auto" w:fill="D9E2F3" w:themeFill="accent1" w:themeFillTint="33"/>
          </w:tcPr>
          <w:p w14:paraId="1439FEAB" w14:textId="62D6895E" w:rsidR="000C023A" w:rsidRPr="00F030D1" w:rsidRDefault="000C023A" w:rsidP="00005426">
            <w:pPr>
              <w:spacing w:line="360" w:lineRule="auto"/>
              <w:rPr>
                <w:b/>
                <w:bCs/>
              </w:rPr>
            </w:pPr>
            <w:r>
              <w:rPr>
                <w:b/>
                <w:bCs/>
              </w:rPr>
              <w:t>Upfront re-modelling cost</w:t>
            </w:r>
          </w:p>
        </w:tc>
        <w:tc>
          <w:tcPr>
            <w:tcW w:w="4675" w:type="dxa"/>
          </w:tcPr>
          <w:p w14:paraId="1DE03C16" w14:textId="2793C0F0" w:rsidR="000C023A" w:rsidRDefault="00C223FD" w:rsidP="00005426">
            <w:pPr>
              <w:spacing w:line="360" w:lineRule="auto"/>
            </w:pPr>
            <w:r>
              <w:t>For Property 1: $5,000</w:t>
            </w:r>
          </w:p>
          <w:p w14:paraId="6A5D7FA4" w14:textId="4009B972" w:rsidR="00C223FD" w:rsidRDefault="00C223FD" w:rsidP="00005426">
            <w:pPr>
              <w:spacing w:line="360" w:lineRule="auto"/>
            </w:pPr>
            <w:r>
              <w:t>For Property 2: NA as the property is newly built in 2019.</w:t>
            </w:r>
          </w:p>
          <w:p w14:paraId="0FEBB001" w14:textId="2D728836" w:rsidR="00C223FD" w:rsidRDefault="00C223FD" w:rsidP="00005426">
            <w:pPr>
              <w:spacing w:line="360" w:lineRule="auto"/>
            </w:pPr>
          </w:p>
        </w:tc>
      </w:tr>
    </w:tbl>
    <w:p w14:paraId="74D0F658" w14:textId="501C1F62" w:rsidR="00024C3C" w:rsidRDefault="00024C3C" w:rsidP="00005426">
      <w:pPr>
        <w:spacing w:line="360" w:lineRule="auto"/>
      </w:pPr>
    </w:p>
    <w:p w14:paraId="55404B89" w14:textId="587AAA0A" w:rsidR="00C53120" w:rsidRDefault="00C53120" w:rsidP="00005426">
      <w:pPr>
        <w:pStyle w:val="Heading1"/>
        <w:spacing w:line="360" w:lineRule="auto"/>
      </w:pPr>
      <w:r>
        <w:t>Assumptions</w:t>
      </w:r>
    </w:p>
    <w:p w14:paraId="74DA188C" w14:textId="4D1F9D40" w:rsidR="00C53120" w:rsidRDefault="00C53120" w:rsidP="00005426">
      <w:pPr>
        <w:pStyle w:val="ListParagraph"/>
        <w:numPr>
          <w:ilvl w:val="0"/>
          <w:numId w:val="4"/>
        </w:numPr>
        <w:spacing w:line="360" w:lineRule="auto"/>
      </w:pPr>
      <w:r>
        <w:t xml:space="preserve">We assume that the resident will pay utilities (including water, sewer, trash) and </w:t>
      </w:r>
      <w:r w:rsidR="00E70B16">
        <w:t xml:space="preserve">for </w:t>
      </w:r>
      <w:r>
        <w:t>other minor replacements like bulbs</w:t>
      </w:r>
      <w:r w:rsidR="00CB442F">
        <w:t>.</w:t>
      </w:r>
    </w:p>
    <w:p w14:paraId="7AC7CD29" w14:textId="51E99A94" w:rsidR="00C53120" w:rsidRPr="00C53120" w:rsidRDefault="00C223FD" w:rsidP="00005426">
      <w:pPr>
        <w:pStyle w:val="ListParagraph"/>
        <w:numPr>
          <w:ilvl w:val="0"/>
          <w:numId w:val="4"/>
        </w:numPr>
        <w:spacing w:line="360" w:lineRule="auto"/>
      </w:pPr>
      <w:r>
        <w:t>Based on the info in</w:t>
      </w:r>
      <w:hyperlink r:id="rId21" w:history="1">
        <w:r w:rsidRPr="00C223FD">
          <w:rPr>
            <w:rStyle w:val="Hyperlink"/>
          </w:rPr>
          <w:t xml:space="preserve"> Motley Fool</w:t>
        </w:r>
      </w:hyperlink>
      <w:r>
        <w:t>, we assume that we negotiated to the seller(s) of both the homes for a ‘Seller concession’ rate of at least 2%.</w:t>
      </w:r>
    </w:p>
    <w:p w14:paraId="05622D02" w14:textId="14FE8C9B" w:rsidR="00715CB5" w:rsidRDefault="001C1F00" w:rsidP="00005426">
      <w:pPr>
        <w:pStyle w:val="Heading2"/>
        <w:spacing w:line="360" w:lineRule="auto"/>
      </w:pPr>
      <w:r>
        <w:t>Key factors</w:t>
      </w:r>
    </w:p>
    <w:p w14:paraId="0464DCD2" w14:textId="2A728F71" w:rsidR="008A0E7D" w:rsidRDefault="008A0E7D" w:rsidP="00005426">
      <w:pPr>
        <w:pStyle w:val="Heading2"/>
        <w:spacing w:line="360" w:lineRule="auto"/>
      </w:pPr>
      <w:r w:rsidRPr="008A0E7D">
        <w:t>Annual Expected Rent increase rate</w:t>
      </w:r>
    </w:p>
    <w:p w14:paraId="701BC6A1" w14:textId="0ED5F834" w:rsidR="001C1F00" w:rsidRDefault="001C1F00" w:rsidP="00005426">
      <w:pPr>
        <w:spacing w:line="360" w:lineRule="auto"/>
      </w:pPr>
      <w:r>
        <w:t xml:space="preserve">Annual expected rent increase rate is taken as </w:t>
      </w:r>
      <w:r w:rsidR="00CB442F">
        <w:t>5% for these properties</w:t>
      </w:r>
      <w:r w:rsidR="00E70B16">
        <w:t xml:space="preserve"> initially</w:t>
      </w:r>
      <w:r>
        <w:t>. This judgement was made based on the following information about the city.</w:t>
      </w:r>
    </w:p>
    <w:p w14:paraId="4648EA2C" w14:textId="2AE32FA3" w:rsidR="00787EF6" w:rsidRDefault="001C1F00" w:rsidP="00005426">
      <w:pPr>
        <w:pStyle w:val="ListParagraph"/>
        <w:numPr>
          <w:ilvl w:val="0"/>
          <w:numId w:val="1"/>
        </w:numPr>
        <w:spacing w:line="360" w:lineRule="auto"/>
      </w:pPr>
      <w:r>
        <w:t xml:space="preserve">With more and more companies and corporate expansions in Seattle, Bothell is one of the most </w:t>
      </w:r>
      <w:r w:rsidR="008A0E7D">
        <w:t>sought-after</w:t>
      </w:r>
      <w:r>
        <w:t xml:space="preserve"> </w:t>
      </w:r>
      <w:r w:rsidR="00B50CEF">
        <w:t>places</w:t>
      </w:r>
      <w:r>
        <w:t xml:space="preserve"> after Bellevue and Redmond. With rents skyrocketing at Redmond and Bellevue (which are close to important corporates such as Microsoft and Amazon), families have started shifting towards Bothell.</w:t>
      </w:r>
    </w:p>
    <w:p w14:paraId="76038232" w14:textId="78465ACC" w:rsidR="008A0E7D" w:rsidRPr="00251D29" w:rsidRDefault="001C1F00" w:rsidP="00005426">
      <w:pPr>
        <w:pStyle w:val="ListParagraph"/>
        <w:numPr>
          <w:ilvl w:val="0"/>
          <w:numId w:val="1"/>
        </w:numPr>
        <w:spacing w:line="360" w:lineRule="auto"/>
      </w:pPr>
      <w:r>
        <w:lastRenderedPageBreak/>
        <w:t xml:space="preserve">According to recent statistics, the rent growth rate for Bothell </w:t>
      </w:r>
      <w:r w:rsidR="00F030D1">
        <w:t>has been</w:t>
      </w:r>
      <w:r>
        <w:t xml:space="preserve"> around 5% </w:t>
      </w:r>
      <w:r w:rsidR="00787EF6">
        <w:t>since 2019.</w:t>
      </w:r>
      <w:r w:rsidR="00F030D1" w:rsidRPr="00B50CEF">
        <w:rPr>
          <w:rStyle w:val="FootnoteReference"/>
          <w:b/>
          <w:bCs/>
          <w:color w:val="0000FF"/>
          <w:sz w:val="32"/>
          <w:szCs w:val="32"/>
        </w:rPr>
        <w:footnoteReference w:id="1"/>
      </w:r>
      <w:r w:rsidR="00787EF6" w:rsidRPr="00B50CEF">
        <w:rPr>
          <w:sz w:val="32"/>
          <w:szCs w:val="32"/>
        </w:rPr>
        <w:t xml:space="preserve"> </w:t>
      </w:r>
      <w:r w:rsidR="00787EF6">
        <w:t>Also the Y-o-Y increase of rent for Seattle has been 4%</w:t>
      </w:r>
      <w:r w:rsidR="00B50CEF" w:rsidRPr="00B50CEF">
        <w:rPr>
          <w:rStyle w:val="FootnoteReference"/>
          <w:b/>
          <w:bCs/>
          <w:color w:val="0000FF"/>
          <w:sz w:val="28"/>
          <w:szCs w:val="28"/>
        </w:rPr>
        <w:footnoteReference w:id="2"/>
      </w:r>
      <w:r w:rsidR="00787EF6">
        <w:t>. To account for uncertainty due to any sudden economic crashes (such as recession due to corona)</w:t>
      </w:r>
      <w:r w:rsidR="00C0527B">
        <w:t xml:space="preserve"> and possible future increase when the market starts flourishing</w:t>
      </w:r>
      <w:r w:rsidR="00787EF6" w:rsidRPr="00251D29">
        <w:t>, we take a</w:t>
      </w:r>
      <w:r w:rsidR="00F030D1" w:rsidRPr="00251D29">
        <w:t xml:space="preserve"> value at random in the </w:t>
      </w:r>
      <w:r w:rsidR="00787EF6" w:rsidRPr="00251D29">
        <w:t xml:space="preserve">range 3% to </w:t>
      </w:r>
      <w:r w:rsidR="00C0527B" w:rsidRPr="00251D29">
        <w:t>7</w:t>
      </w:r>
      <w:r w:rsidR="00787EF6" w:rsidRPr="00251D29">
        <w:t>%</w:t>
      </w:r>
      <w:r w:rsidR="00CB442F" w:rsidRPr="00251D29">
        <w:t xml:space="preserve"> during sensitiv</w:t>
      </w:r>
      <w:r w:rsidR="00730DFB">
        <w:t>ity</w:t>
      </w:r>
      <w:r w:rsidR="00CB442F" w:rsidRPr="00251D29">
        <w:t xml:space="preserve"> Analysis</w:t>
      </w:r>
      <w:r w:rsidR="008A0E7D" w:rsidRPr="00251D29">
        <w:t>.</w:t>
      </w:r>
    </w:p>
    <w:p w14:paraId="324E0430" w14:textId="6A022297" w:rsidR="008A0E7D" w:rsidRDefault="008A0E7D" w:rsidP="00005426">
      <w:pPr>
        <w:pStyle w:val="Heading2"/>
        <w:spacing w:line="360" w:lineRule="auto"/>
      </w:pPr>
      <w:r>
        <w:t>Mortgage Calculation</w:t>
      </w:r>
    </w:p>
    <w:p w14:paraId="691E15E5" w14:textId="70FF7A20" w:rsidR="008A0E7D" w:rsidRDefault="00F40A6C" w:rsidP="00005426">
      <w:pPr>
        <w:spacing w:line="360" w:lineRule="auto"/>
      </w:pPr>
      <w:r>
        <w:t xml:space="preserve">Mortgage calculation has been done using the Excel </w:t>
      </w:r>
      <w:r w:rsidR="00F030D1">
        <w:t xml:space="preserve">function </w:t>
      </w:r>
      <w:r>
        <w:t>PMT().</w:t>
      </w:r>
    </w:p>
    <w:p w14:paraId="77059375" w14:textId="08AF896E" w:rsidR="00F40A6C" w:rsidRPr="00F40A6C" w:rsidRDefault="00F40A6C" w:rsidP="00005426">
      <w:pPr>
        <w:spacing w:line="360" w:lineRule="auto"/>
        <w:rPr>
          <w:rFonts w:eastAsiaTheme="minorEastAsia"/>
        </w:rPr>
      </w:pPr>
      <m:oMathPara>
        <m:oMath>
          <m:r>
            <w:rPr>
              <w:rFonts w:ascii="Cambria Math" w:hAnsi="Cambria Math"/>
            </w:rPr>
            <m:t>=PMT</m:t>
          </m:r>
          <m:d>
            <m:dPr>
              <m:ctrlPr>
                <w:rPr>
                  <w:rFonts w:ascii="Cambria Math" w:hAnsi="Cambria Math"/>
                  <w:i/>
                </w:rPr>
              </m:ctrlPr>
            </m:dPr>
            <m:e>
              <m:f>
                <m:fPr>
                  <m:ctrlPr>
                    <w:rPr>
                      <w:rFonts w:ascii="Cambria Math" w:hAnsi="Cambria Math"/>
                      <w:i/>
                    </w:rPr>
                  </m:ctrlPr>
                </m:fPr>
                <m:num>
                  <m:r>
                    <w:rPr>
                      <w:rFonts w:ascii="Cambria Math" w:hAnsi="Cambria Math"/>
                    </w:rPr>
                    <m:t>rate</m:t>
                  </m:r>
                </m:num>
                <m:den>
                  <m:r>
                    <w:rPr>
                      <w:rFonts w:ascii="Cambria Math" w:hAnsi="Cambria Math"/>
                    </w:rPr>
                    <m:t>12</m:t>
                  </m:r>
                </m:den>
              </m:f>
              <m:r>
                <w:rPr>
                  <w:rFonts w:ascii="Cambria Math" w:hAnsi="Cambria Math"/>
                </w:rPr>
                <m:t>, term*12, -</m:t>
              </m:r>
              <m:d>
                <m:dPr>
                  <m:ctrlPr>
                    <w:rPr>
                      <w:rFonts w:ascii="Cambria Math" w:hAnsi="Cambria Math"/>
                      <w:i/>
                    </w:rPr>
                  </m:ctrlPr>
                </m:dPr>
                <m:e>
                  <m:r>
                    <w:rPr>
                      <w:rFonts w:ascii="Cambria Math" w:hAnsi="Cambria Math"/>
                    </w:rPr>
                    <m:t>loan amount</m:t>
                  </m:r>
                </m:e>
              </m:d>
            </m:e>
          </m:d>
        </m:oMath>
      </m:oMathPara>
    </w:p>
    <w:p w14:paraId="5137E36D" w14:textId="17D92E34" w:rsidR="00F40A6C" w:rsidRDefault="00F40A6C" w:rsidP="00005426">
      <w:pPr>
        <w:spacing w:line="360" w:lineRule="auto"/>
        <w:rPr>
          <w:rFonts w:eastAsiaTheme="minorEastAsia"/>
        </w:rPr>
      </w:pPr>
      <w:r>
        <w:rPr>
          <w:rFonts w:eastAsiaTheme="minorEastAsia"/>
        </w:rPr>
        <w:t xml:space="preserve">Monthly mortgage is assumed to include Homeowner’s insurance and Property tax. </w:t>
      </w:r>
    </w:p>
    <w:p w14:paraId="4E8F5E22" w14:textId="7CCD3C74" w:rsidR="00CB442F" w:rsidRDefault="00CB442F" w:rsidP="00005426">
      <w:pPr>
        <w:pStyle w:val="Heading2"/>
        <w:spacing w:line="360" w:lineRule="auto"/>
        <w:rPr>
          <w:rFonts w:eastAsiaTheme="minorEastAsia"/>
        </w:rPr>
      </w:pPr>
      <w:r>
        <w:rPr>
          <w:rFonts w:eastAsiaTheme="minorEastAsia"/>
        </w:rPr>
        <w:t>Property 1</w:t>
      </w:r>
    </w:p>
    <w:p w14:paraId="0658AA33" w14:textId="6ACB1C96" w:rsidR="00CE27B0" w:rsidRDefault="00CE27B0" w:rsidP="00005426">
      <w:pPr>
        <w:spacing w:line="360" w:lineRule="auto"/>
        <w:rPr>
          <w:rFonts w:eastAsiaTheme="minorEastAsia"/>
        </w:rPr>
      </w:pPr>
      <w:r>
        <w:rPr>
          <w:rFonts w:eastAsiaTheme="minorEastAsia"/>
        </w:rPr>
        <w:t xml:space="preserve">Numbers have been taken from the estimates provided by </w:t>
      </w:r>
      <w:hyperlink r:id="rId22" w:anchor="property-details" w:history="1">
        <w:r w:rsidRPr="00CE27B0">
          <w:rPr>
            <w:rStyle w:val="Hyperlink"/>
            <w:rFonts w:eastAsiaTheme="minorEastAsia"/>
          </w:rPr>
          <w:t>Redfin</w:t>
        </w:r>
      </w:hyperlink>
      <w:r>
        <w:rPr>
          <w:rFonts w:eastAsiaTheme="minorEastAsia"/>
        </w:rPr>
        <w:t>.</w:t>
      </w:r>
    </w:p>
    <w:p w14:paraId="4BAD7844" w14:textId="55CDE21B" w:rsidR="00F40A6C" w:rsidRDefault="00F40A6C" w:rsidP="00005426">
      <w:pPr>
        <w:spacing w:line="360" w:lineRule="auto"/>
        <w:rPr>
          <w:rFonts w:eastAsiaTheme="minorEastAsia"/>
        </w:rPr>
      </w:pPr>
      <w:r>
        <w:rPr>
          <w:rFonts w:eastAsiaTheme="minorEastAsia"/>
        </w:rPr>
        <w:t>Homeowner’s insurance cost per month = $</w:t>
      </w:r>
      <w:r w:rsidR="00CE27B0">
        <w:rPr>
          <w:rFonts w:eastAsiaTheme="minorEastAsia"/>
        </w:rPr>
        <w:t>118</w:t>
      </w:r>
      <w:r>
        <w:rPr>
          <w:rFonts w:eastAsiaTheme="minorEastAsia"/>
        </w:rPr>
        <w:t xml:space="preserve"> per month</w:t>
      </w:r>
    </w:p>
    <w:p w14:paraId="37A317D8" w14:textId="125C0072" w:rsidR="00CE27B0" w:rsidRDefault="00F40A6C" w:rsidP="00005426">
      <w:pPr>
        <w:spacing w:line="360" w:lineRule="auto"/>
        <w:rPr>
          <w:rFonts w:eastAsiaTheme="minorEastAsia"/>
        </w:rPr>
      </w:pPr>
      <w:r>
        <w:rPr>
          <w:rFonts w:eastAsiaTheme="minorEastAsia"/>
        </w:rPr>
        <w:t>Property tax per year = $</w:t>
      </w:r>
      <w:r w:rsidR="00CB442F">
        <w:rPr>
          <w:rFonts w:eastAsiaTheme="minorEastAsia"/>
        </w:rPr>
        <w:t>5</w:t>
      </w:r>
      <w:r w:rsidR="00CE27B0">
        <w:rPr>
          <w:rFonts w:eastAsiaTheme="minorEastAsia"/>
        </w:rPr>
        <w:t>22</w:t>
      </w:r>
      <w:r>
        <w:rPr>
          <w:rFonts w:eastAsiaTheme="minorEastAsia"/>
        </w:rPr>
        <w:t xml:space="preserve"> per</w:t>
      </w:r>
      <w:r w:rsidR="00CE27B0">
        <w:rPr>
          <w:rFonts w:eastAsiaTheme="minorEastAsia"/>
        </w:rPr>
        <w:t xml:space="preserve"> month</w:t>
      </w:r>
      <w:r w:rsidR="00CB442F">
        <w:rPr>
          <w:rFonts w:eastAsiaTheme="minorEastAsia"/>
        </w:rPr>
        <w:t>.</w:t>
      </w:r>
    </w:p>
    <w:p w14:paraId="03D8BF57" w14:textId="6732C71F" w:rsidR="00CB442F" w:rsidRDefault="00CB442F" w:rsidP="00005426">
      <w:pPr>
        <w:pStyle w:val="Heading2"/>
        <w:spacing w:line="360" w:lineRule="auto"/>
        <w:rPr>
          <w:rFonts w:eastAsiaTheme="minorEastAsia"/>
        </w:rPr>
      </w:pPr>
      <w:r>
        <w:rPr>
          <w:rFonts w:eastAsiaTheme="minorEastAsia"/>
        </w:rPr>
        <w:t>Property 2</w:t>
      </w:r>
    </w:p>
    <w:p w14:paraId="0B75BAEA" w14:textId="772A3B49" w:rsidR="00CE27B0" w:rsidRDefault="00CE27B0" w:rsidP="00005426">
      <w:pPr>
        <w:spacing w:line="360" w:lineRule="auto"/>
        <w:rPr>
          <w:rFonts w:eastAsiaTheme="minorEastAsia"/>
        </w:rPr>
      </w:pPr>
      <w:r>
        <w:rPr>
          <w:rFonts w:eastAsiaTheme="minorEastAsia"/>
        </w:rPr>
        <w:t xml:space="preserve">Numbers have been taken from the estimates provided by </w:t>
      </w:r>
      <w:hyperlink r:id="rId23" w:anchor="property-details" w:history="1">
        <w:r w:rsidRPr="00CE27B0">
          <w:rPr>
            <w:rStyle w:val="Hyperlink"/>
            <w:rFonts w:eastAsiaTheme="minorEastAsia"/>
          </w:rPr>
          <w:t>Redfin</w:t>
        </w:r>
      </w:hyperlink>
      <w:r>
        <w:rPr>
          <w:rFonts w:eastAsiaTheme="minorEastAsia"/>
        </w:rPr>
        <w:t>.</w:t>
      </w:r>
    </w:p>
    <w:p w14:paraId="31A8606C" w14:textId="045ADD14" w:rsidR="00CB442F" w:rsidRDefault="00CB442F" w:rsidP="00005426">
      <w:pPr>
        <w:spacing w:line="360" w:lineRule="auto"/>
        <w:rPr>
          <w:rFonts w:eastAsiaTheme="minorEastAsia"/>
        </w:rPr>
      </w:pPr>
      <w:r>
        <w:rPr>
          <w:rFonts w:eastAsiaTheme="minorEastAsia"/>
        </w:rPr>
        <w:t>Homeowner’s insurance cost per month = $</w:t>
      </w:r>
      <w:r w:rsidR="00CE27B0">
        <w:rPr>
          <w:rFonts w:eastAsiaTheme="minorEastAsia"/>
        </w:rPr>
        <w:t>92</w:t>
      </w:r>
      <w:r>
        <w:rPr>
          <w:rFonts w:eastAsiaTheme="minorEastAsia"/>
        </w:rPr>
        <w:t xml:space="preserve"> per month</w:t>
      </w:r>
    </w:p>
    <w:p w14:paraId="2B9593DF" w14:textId="5672562C" w:rsidR="00CB442F" w:rsidRPr="00F40A6C" w:rsidRDefault="00CB442F" w:rsidP="00005426">
      <w:pPr>
        <w:spacing w:line="360" w:lineRule="auto"/>
        <w:rPr>
          <w:rFonts w:eastAsiaTheme="minorEastAsia"/>
        </w:rPr>
      </w:pPr>
      <w:r>
        <w:rPr>
          <w:rFonts w:eastAsiaTheme="minorEastAsia"/>
        </w:rPr>
        <w:t>Property tax per year = $</w:t>
      </w:r>
      <w:r w:rsidR="00CE27B0">
        <w:rPr>
          <w:rFonts w:eastAsiaTheme="minorEastAsia"/>
        </w:rPr>
        <w:t>33</w:t>
      </w:r>
      <w:r>
        <w:rPr>
          <w:rFonts w:eastAsiaTheme="minorEastAsia"/>
        </w:rPr>
        <w:t xml:space="preserve"> per </w:t>
      </w:r>
      <w:r w:rsidR="00CE27B0">
        <w:rPr>
          <w:rFonts w:eastAsiaTheme="minorEastAsia"/>
        </w:rPr>
        <w:t>month</w:t>
      </w:r>
      <w:r>
        <w:rPr>
          <w:rFonts w:eastAsiaTheme="minorEastAsia"/>
        </w:rPr>
        <w:t>.</w:t>
      </w:r>
    </w:p>
    <w:p w14:paraId="35483DFF" w14:textId="6F42BE21" w:rsidR="008A0E7D" w:rsidRDefault="00F40A6C" w:rsidP="00005426">
      <w:pPr>
        <w:pStyle w:val="Heading2"/>
        <w:spacing w:line="360" w:lineRule="auto"/>
      </w:pPr>
      <w:r>
        <w:t>Maintenance cost</w:t>
      </w:r>
    </w:p>
    <w:p w14:paraId="6E84F27E" w14:textId="44822CD8" w:rsidR="00F40A6C" w:rsidRPr="00B50CEF" w:rsidRDefault="00F40A6C" w:rsidP="00005426">
      <w:pPr>
        <w:spacing w:line="360" w:lineRule="auto"/>
        <w:rPr>
          <w:b/>
          <w:bCs/>
          <w:color w:val="0000FF"/>
        </w:rPr>
      </w:pPr>
      <w:r>
        <w:t>The estimates for maintenance cost have been derived based on the two commonly prevalent rules.</w:t>
      </w:r>
      <w:r w:rsidR="00B50CEF" w:rsidRPr="00B50CEF">
        <w:rPr>
          <w:rStyle w:val="FootnoteReference"/>
          <w:b/>
          <w:bCs/>
          <w:color w:val="0000FF"/>
          <w:sz w:val="28"/>
          <w:szCs w:val="28"/>
        </w:rPr>
        <w:footnoteReference w:id="3"/>
      </w:r>
    </w:p>
    <w:p w14:paraId="12027B8F" w14:textId="32712694" w:rsidR="00F40A6C" w:rsidRDefault="00F40A6C" w:rsidP="00005426">
      <w:pPr>
        <w:spacing w:line="360" w:lineRule="auto"/>
      </w:pPr>
      <w:r w:rsidRPr="00F030D1">
        <w:rPr>
          <w:b/>
          <w:bCs/>
        </w:rPr>
        <w:t>1% rule:</w:t>
      </w:r>
      <w:r>
        <w:t xml:space="preserve"> Maintenance cost is assumed </w:t>
      </w:r>
      <w:r w:rsidR="00F030D1">
        <w:t xml:space="preserve">as </w:t>
      </w:r>
      <w:r>
        <w:t>1% of the purchase price</w:t>
      </w:r>
    </w:p>
    <w:p w14:paraId="4FFA76F8" w14:textId="39E1C306" w:rsidR="00F40A6C" w:rsidRDefault="00F40A6C" w:rsidP="00005426">
      <w:pPr>
        <w:spacing w:line="360" w:lineRule="auto"/>
      </w:pPr>
      <w:r w:rsidRPr="00F030D1">
        <w:rPr>
          <w:b/>
          <w:bCs/>
        </w:rPr>
        <w:lastRenderedPageBreak/>
        <w:t>Sq. ft rule:</w:t>
      </w:r>
      <w:r>
        <w:t xml:space="preserve"> Maintenance cost assumed as $1 per square foot of the property.</w:t>
      </w:r>
    </w:p>
    <w:p w14:paraId="6EA3FE95" w14:textId="40BDF0A8" w:rsidR="00F87EAD" w:rsidRDefault="00F87EAD" w:rsidP="00005426">
      <w:pPr>
        <w:spacing w:line="360" w:lineRule="auto"/>
      </w:pPr>
      <w:r>
        <w:t>Let’s see what our assumptions are for both the properties individually.</w:t>
      </w:r>
    </w:p>
    <w:p w14:paraId="7ADF8549" w14:textId="784F2AD7" w:rsidR="00F87EAD" w:rsidRDefault="00F87EAD" w:rsidP="00005426">
      <w:pPr>
        <w:pStyle w:val="Heading3"/>
        <w:spacing w:line="360" w:lineRule="auto"/>
      </w:pPr>
      <w:r>
        <w:t>Property 1</w:t>
      </w:r>
    </w:p>
    <w:p w14:paraId="1D3341B3" w14:textId="13F56EA7" w:rsidR="00F87EAD" w:rsidRDefault="00F87EAD" w:rsidP="00005426">
      <w:pPr>
        <w:spacing w:line="360" w:lineRule="auto"/>
      </w:pPr>
      <w:r>
        <w:t xml:space="preserve">Since this property is old, we initially set aside an amount for ‘Re-modelling’. Hence, for the first five years after purchase, we assume the maintenance expense follows the Sq. Ft rule. </w:t>
      </w:r>
    </w:p>
    <w:p w14:paraId="49A2C8CB" w14:textId="5B5BD0D3" w:rsidR="00F87EAD" w:rsidRDefault="00F87EAD" w:rsidP="00005426">
      <w:pPr>
        <w:spacing w:line="360" w:lineRule="auto"/>
      </w:pPr>
      <w:r>
        <w:t>From Year 6 until Year 10, we assume that the Maintenance cost to be the average of the 1% rule and Sq. Ft rule and a 10% possible increase</w:t>
      </w:r>
      <w:r w:rsidR="00482EBC">
        <w:t xml:space="preserve"> in miscellaneous maintenance cost due to factors such as weather, age of the </w:t>
      </w:r>
      <w:r w:rsidR="00743523">
        <w:t>building, etc.</w:t>
      </w:r>
      <w:r w:rsidR="00482EBC" w:rsidRPr="00D20005">
        <w:rPr>
          <w:rStyle w:val="FootnoteReference"/>
          <w:b/>
          <w:color w:val="0033CC"/>
          <w:sz w:val="28"/>
        </w:rPr>
        <w:footnoteReference w:id="4"/>
      </w:r>
      <w:r w:rsidR="00482EBC">
        <w:t xml:space="preserve">  </w:t>
      </w:r>
    </w:p>
    <w:p w14:paraId="55342833" w14:textId="3DEFDB31" w:rsidR="00482EBC" w:rsidRDefault="00482EBC" w:rsidP="00005426">
      <w:pPr>
        <w:spacing w:line="360" w:lineRule="auto"/>
      </w:pPr>
      <w:r>
        <w:t xml:space="preserve">From Year 11 through Year 30, we assume that Maintenance cost increases </w:t>
      </w:r>
      <w:r w:rsidR="00E70B16">
        <w:t xml:space="preserve">between </w:t>
      </w:r>
      <w:r>
        <w:t xml:space="preserve">2% </w:t>
      </w:r>
      <w:r w:rsidR="00E70B16">
        <w:t xml:space="preserve">and 4% </w:t>
      </w:r>
      <w:r>
        <w:t xml:space="preserve">owing to any major repairs like plumbing, appliance repair, painting, carpet </w:t>
      </w:r>
      <w:r w:rsidR="00756028">
        <w:t>replacement,</w:t>
      </w:r>
      <w:r>
        <w:t xml:space="preserve"> etc.  </w:t>
      </w:r>
    </w:p>
    <w:p w14:paraId="120D9A00" w14:textId="74358C93" w:rsidR="00F40A6C" w:rsidRDefault="00F40A6C" w:rsidP="00005426">
      <w:pPr>
        <w:spacing w:line="360" w:lineRule="auto"/>
      </w:pPr>
      <w:r>
        <w:t xml:space="preserve">Based on the above rules, we </w:t>
      </w:r>
      <w:r w:rsidR="00482EBC">
        <w:t>have summarized the maintenance cost for Property 1 to fall into one of the above categories.</w:t>
      </w:r>
    </w:p>
    <w:tbl>
      <w:tblPr>
        <w:tblStyle w:val="TableGrid"/>
        <w:tblW w:w="0" w:type="auto"/>
        <w:tblLook w:val="04A0" w:firstRow="1" w:lastRow="0" w:firstColumn="1" w:lastColumn="0" w:noHBand="0" w:noVBand="1"/>
      </w:tblPr>
      <w:tblGrid>
        <w:gridCol w:w="3055"/>
        <w:gridCol w:w="6295"/>
      </w:tblGrid>
      <w:tr w:rsidR="00482EBC" w14:paraId="6F703897" w14:textId="77777777" w:rsidTr="00482EBC">
        <w:tc>
          <w:tcPr>
            <w:tcW w:w="3055" w:type="dxa"/>
            <w:shd w:val="clear" w:color="auto" w:fill="D9E2F3" w:themeFill="accent1" w:themeFillTint="33"/>
          </w:tcPr>
          <w:p w14:paraId="647579A5" w14:textId="016A2FE9" w:rsidR="00482EBC" w:rsidRPr="00482EBC" w:rsidRDefault="00482EBC" w:rsidP="00005426">
            <w:pPr>
              <w:spacing w:line="360" w:lineRule="auto"/>
              <w:rPr>
                <w:b/>
                <w:bCs/>
              </w:rPr>
            </w:pPr>
            <w:r w:rsidRPr="00482EBC">
              <w:rPr>
                <w:b/>
                <w:bCs/>
              </w:rPr>
              <w:t>Year 1 to Year 5 after purchase</w:t>
            </w:r>
          </w:p>
        </w:tc>
        <w:tc>
          <w:tcPr>
            <w:tcW w:w="6295" w:type="dxa"/>
          </w:tcPr>
          <w:p w14:paraId="0C420C94" w14:textId="77777777" w:rsidR="00482EBC" w:rsidRDefault="00482EBC" w:rsidP="00005426">
            <w:pPr>
              <w:spacing w:line="360" w:lineRule="auto"/>
            </w:pPr>
            <w:r>
              <w:t>Maintenance cost follows Sq. Ft rule</w:t>
            </w:r>
          </w:p>
          <w:p w14:paraId="09C897B2" w14:textId="7F7E6DD2" w:rsidR="00482EBC" w:rsidRDefault="00482EBC" w:rsidP="00005426">
            <w:pPr>
              <w:spacing w:line="360" w:lineRule="auto"/>
            </w:pPr>
            <w:r>
              <w:t>Cost = $ 2,500</w:t>
            </w:r>
          </w:p>
        </w:tc>
      </w:tr>
      <w:tr w:rsidR="00482EBC" w14:paraId="301BDC69" w14:textId="77777777" w:rsidTr="00482EBC">
        <w:tc>
          <w:tcPr>
            <w:tcW w:w="3055" w:type="dxa"/>
            <w:shd w:val="clear" w:color="auto" w:fill="D9E2F3" w:themeFill="accent1" w:themeFillTint="33"/>
          </w:tcPr>
          <w:p w14:paraId="3F37EA26" w14:textId="7D4B5BE5" w:rsidR="00482EBC" w:rsidRPr="00482EBC" w:rsidRDefault="00482EBC" w:rsidP="00005426">
            <w:pPr>
              <w:spacing w:line="360" w:lineRule="auto"/>
              <w:rPr>
                <w:b/>
                <w:bCs/>
              </w:rPr>
            </w:pPr>
            <w:r w:rsidRPr="00482EBC">
              <w:rPr>
                <w:b/>
                <w:bCs/>
              </w:rPr>
              <w:t>Year 6 through Year 10</w:t>
            </w:r>
          </w:p>
        </w:tc>
        <w:tc>
          <w:tcPr>
            <w:tcW w:w="6295" w:type="dxa"/>
          </w:tcPr>
          <w:p w14:paraId="0BA82B73" w14:textId="77777777" w:rsidR="00482EBC" w:rsidRDefault="00482EBC" w:rsidP="00005426">
            <w:pPr>
              <w:spacing w:line="360" w:lineRule="auto"/>
            </w:pPr>
            <w:r>
              <w:t xml:space="preserve">Maintenance cost </w:t>
            </w:r>
          </w:p>
          <w:p w14:paraId="4D528197" w14:textId="63E3D038" w:rsidR="00482EBC" w:rsidRDefault="00482EBC" w:rsidP="00005426">
            <w:pPr>
              <w:spacing w:line="360" w:lineRule="auto"/>
            </w:pPr>
            <w:r>
              <w:t>= AVERAGE</w:t>
            </w:r>
            <w:r w:rsidR="00F20299">
              <w:t xml:space="preserve"> </w:t>
            </w:r>
            <w:r>
              <w:t>(1% rule, Sq. Ft rule) + (1 + 10%)</w:t>
            </w:r>
          </w:p>
          <w:p w14:paraId="5F1E7FDB" w14:textId="7D8152A9" w:rsidR="00482EBC" w:rsidRDefault="00482EBC" w:rsidP="00005426">
            <w:pPr>
              <w:spacing w:line="360" w:lineRule="auto"/>
            </w:pPr>
            <w:r>
              <w:t>= $4,911.50</w:t>
            </w:r>
          </w:p>
        </w:tc>
      </w:tr>
      <w:tr w:rsidR="00482EBC" w14:paraId="4EC88982" w14:textId="77777777" w:rsidTr="00482EBC">
        <w:tc>
          <w:tcPr>
            <w:tcW w:w="3055" w:type="dxa"/>
            <w:shd w:val="clear" w:color="auto" w:fill="D9E2F3" w:themeFill="accent1" w:themeFillTint="33"/>
          </w:tcPr>
          <w:p w14:paraId="37E3788B" w14:textId="637CC553" w:rsidR="00482EBC" w:rsidRPr="00482EBC" w:rsidRDefault="00482EBC" w:rsidP="00005426">
            <w:pPr>
              <w:spacing w:line="360" w:lineRule="auto"/>
              <w:rPr>
                <w:b/>
                <w:bCs/>
              </w:rPr>
            </w:pPr>
            <w:r w:rsidRPr="00482EBC">
              <w:rPr>
                <w:b/>
                <w:bCs/>
              </w:rPr>
              <w:t>Year 11 through Year 30</w:t>
            </w:r>
          </w:p>
        </w:tc>
        <w:tc>
          <w:tcPr>
            <w:tcW w:w="6295" w:type="dxa"/>
          </w:tcPr>
          <w:p w14:paraId="2C944284" w14:textId="787826AA" w:rsidR="00482EBC" w:rsidRDefault="00482EBC" w:rsidP="00005426">
            <w:pPr>
              <w:spacing w:line="360" w:lineRule="auto"/>
            </w:pPr>
            <w:r>
              <w:t xml:space="preserve">Maintenance cost rate of increase between </w:t>
            </w:r>
            <w:r w:rsidR="00254EED">
              <w:t>2</w:t>
            </w:r>
            <w:r>
              <w:t xml:space="preserve">% and </w:t>
            </w:r>
            <w:r w:rsidR="00254EED">
              <w:t>4</w:t>
            </w:r>
            <w:r>
              <w:t>%. (RAND</w:t>
            </w:r>
            <w:r w:rsidR="007F4E3B">
              <w:t xml:space="preserve"> </w:t>
            </w:r>
            <w:r>
              <w:t>() used in this case to generate %)</w:t>
            </w:r>
            <w:r w:rsidR="00254EED">
              <w:t xml:space="preserve"> from $ 4,911.50 which was expected in Year 6-10.</w:t>
            </w:r>
          </w:p>
        </w:tc>
      </w:tr>
    </w:tbl>
    <w:p w14:paraId="455EC901" w14:textId="5C9B08E8" w:rsidR="00482EBC" w:rsidRDefault="00482EBC" w:rsidP="00005426">
      <w:pPr>
        <w:spacing w:line="360" w:lineRule="auto"/>
      </w:pPr>
    </w:p>
    <w:p w14:paraId="42B1879E" w14:textId="02DC36F1" w:rsidR="00482EBC" w:rsidRDefault="00482EBC" w:rsidP="00005426">
      <w:pPr>
        <w:pStyle w:val="Heading3"/>
        <w:spacing w:line="360" w:lineRule="auto"/>
      </w:pPr>
      <w:r>
        <w:t>Property 2</w:t>
      </w:r>
    </w:p>
    <w:p w14:paraId="55347279" w14:textId="4B120466" w:rsidR="00482EBC" w:rsidRDefault="00482EBC" w:rsidP="00005426">
      <w:pPr>
        <w:spacing w:line="360" w:lineRule="auto"/>
      </w:pPr>
      <w:r>
        <w:t xml:space="preserve">Property 2 has been built in 2019. </w:t>
      </w:r>
      <w:r w:rsidR="00082631">
        <w:t>Hence,</w:t>
      </w:r>
      <w:r>
        <w:t xml:space="preserve"> we have not set aside </w:t>
      </w:r>
      <w:r w:rsidR="00797D84">
        <w:t xml:space="preserve">any re-modelling cost upfront. </w:t>
      </w:r>
      <w:r w:rsidR="008C5D51">
        <w:t>From Year 1 through Year 5, we expect the maintenance cost to follow the Sq. Ft rule</w:t>
      </w:r>
      <w:r w:rsidR="00F30F96">
        <w:t xml:space="preserve">. From Year 6 through Year </w:t>
      </w:r>
      <w:r w:rsidR="00A3366C">
        <w:t>1</w:t>
      </w:r>
      <w:r w:rsidR="00CE27B0">
        <w:t>0</w:t>
      </w:r>
      <w:r w:rsidR="00A3366C">
        <w:t>, we assume a maintenance cost as Average of 1% rule and Sq. ft rule with an additional 5% increase for miscellaneous maintenance expenses</w:t>
      </w:r>
      <w:r w:rsidR="00CE27B0">
        <w:t xml:space="preserve"> as the age of the building is comparably low to </w:t>
      </w:r>
      <w:r w:rsidR="00CE27B0">
        <w:lastRenderedPageBreak/>
        <w:t>Property 1</w:t>
      </w:r>
      <w:r w:rsidR="00A3366C">
        <w:t>. From Year 1</w:t>
      </w:r>
      <w:r w:rsidR="00CE27B0">
        <w:t>1</w:t>
      </w:r>
      <w:r w:rsidR="00A3366C">
        <w:t xml:space="preserve"> through Year 30, we assume that the maintenance cost increases </w:t>
      </w:r>
      <w:r w:rsidR="0054262B">
        <w:t>from</w:t>
      </w:r>
      <w:r w:rsidR="00A3366C">
        <w:t xml:space="preserve"> 2%</w:t>
      </w:r>
      <w:r w:rsidR="0054262B">
        <w:t xml:space="preserve"> to 4%</w:t>
      </w:r>
      <w:r w:rsidR="00A3366C">
        <w:t xml:space="preserve"> from the price we estimated for the years 6 through 1</w:t>
      </w:r>
      <w:r w:rsidR="00CE27B0">
        <w:t>0</w:t>
      </w:r>
      <w:r w:rsidR="00A3366C">
        <w:t xml:space="preserve">. </w:t>
      </w:r>
    </w:p>
    <w:p w14:paraId="1785BB0D" w14:textId="3E179223" w:rsidR="00CE27B0" w:rsidRPr="00CE27B0" w:rsidRDefault="00CE27B0" w:rsidP="00005426">
      <w:pPr>
        <w:spacing w:line="360" w:lineRule="auto"/>
        <w:rPr>
          <w:b/>
          <w:bCs/>
        </w:rPr>
      </w:pPr>
      <w:r w:rsidRPr="00CE27B0">
        <w:rPr>
          <w:b/>
          <w:bCs/>
        </w:rPr>
        <w:t>Summary:</w:t>
      </w:r>
    </w:p>
    <w:tbl>
      <w:tblPr>
        <w:tblStyle w:val="TableGrid"/>
        <w:tblW w:w="0" w:type="auto"/>
        <w:tblLook w:val="04A0" w:firstRow="1" w:lastRow="0" w:firstColumn="1" w:lastColumn="0" w:noHBand="0" w:noVBand="1"/>
      </w:tblPr>
      <w:tblGrid>
        <w:gridCol w:w="3055"/>
        <w:gridCol w:w="6295"/>
      </w:tblGrid>
      <w:tr w:rsidR="00CE27B0" w14:paraId="29D26D0E" w14:textId="77777777" w:rsidTr="000F0B7B">
        <w:tc>
          <w:tcPr>
            <w:tcW w:w="3055" w:type="dxa"/>
            <w:shd w:val="clear" w:color="auto" w:fill="D9E2F3" w:themeFill="accent1" w:themeFillTint="33"/>
          </w:tcPr>
          <w:p w14:paraId="339969E4" w14:textId="77777777" w:rsidR="00CE27B0" w:rsidRPr="00482EBC" w:rsidRDefault="00CE27B0" w:rsidP="00005426">
            <w:pPr>
              <w:spacing w:line="360" w:lineRule="auto"/>
              <w:rPr>
                <w:b/>
                <w:bCs/>
              </w:rPr>
            </w:pPr>
            <w:r w:rsidRPr="00482EBC">
              <w:rPr>
                <w:b/>
                <w:bCs/>
              </w:rPr>
              <w:t>Year 1 to Year 5 after purchase</w:t>
            </w:r>
          </w:p>
        </w:tc>
        <w:tc>
          <w:tcPr>
            <w:tcW w:w="6295" w:type="dxa"/>
          </w:tcPr>
          <w:p w14:paraId="1F802181" w14:textId="77777777" w:rsidR="00CE27B0" w:rsidRDefault="00CE27B0" w:rsidP="00005426">
            <w:pPr>
              <w:spacing w:line="360" w:lineRule="auto"/>
            </w:pPr>
            <w:r>
              <w:t>Maintenance cost follows Sq. Ft rule</w:t>
            </w:r>
          </w:p>
          <w:p w14:paraId="119204E5" w14:textId="2BB3F497" w:rsidR="00CE27B0" w:rsidRDefault="00CE27B0" w:rsidP="00005426">
            <w:pPr>
              <w:spacing w:line="360" w:lineRule="auto"/>
            </w:pPr>
            <w:r>
              <w:t>Cost = $ 1,645</w:t>
            </w:r>
          </w:p>
        </w:tc>
      </w:tr>
      <w:tr w:rsidR="00CE27B0" w14:paraId="3F22BCD1" w14:textId="77777777" w:rsidTr="000F0B7B">
        <w:tc>
          <w:tcPr>
            <w:tcW w:w="3055" w:type="dxa"/>
            <w:shd w:val="clear" w:color="auto" w:fill="D9E2F3" w:themeFill="accent1" w:themeFillTint="33"/>
          </w:tcPr>
          <w:p w14:paraId="08AE7DD8" w14:textId="44DBBC8B" w:rsidR="00CE27B0" w:rsidRPr="00482EBC" w:rsidRDefault="00CE27B0" w:rsidP="00005426">
            <w:pPr>
              <w:spacing w:line="360" w:lineRule="auto"/>
              <w:rPr>
                <w:b/>
                <w:bCs/>
              </w:rPr>
            </w:pPr>
            <w:r w:rsidRPr="00482EBC">
              <w:rPr>
                <w:b/>
                <w:bCs/>
              </w:rPr>
              <w:t>Year 6 through Year 1</w:t>
            </w:r>
            <w:r>
              <w:rPr>
                <w:b/>
                <w:bCs/>
              </w:rPr>
              <w:t>0</w:t>
            </w:r>
          </w:p>
        </w:tc>
        <w:tc>
          <w:tcPr>
            <w:tcW w:w="6295" w:type="dxa"/>
          </w:tcPr>
          <w:p w14:paraId="291E6D16" w14:textId="77777777" w:rsidR="00CE27B0" w:rsidRDefault="00CE27B0" w:rsidP="00005426">
            <w:pPr>
              <w:spacing w:line="360" w:lineRule="auto"/>
            </w:pPr>
            <w:r>
              <w:t xml:space="preserve">Maintenance cost </w:t>
            </w:r>
          </w:p>
          <w:p w14:paraId="0F4B9F84" w14:textId="0DA77562" w:rsidR="00CE27B0" w:rsidRDefault="00CE27B0" w:rsidP="00005426">
            <w:pPr>
              <w:spacing w:line="360" w:lineRule="auto"/>
            </w:pPr>
            <w:r>
              <w:t>= AVERAGE</w:t>
            </w:r>
            <w:r w:rsidR="00103F7B">
              <w:t xml:space="preserve"> </w:t>
            </w:r>
            <w:r>
              <w:t>(1% rule, Sq. Ft rule) + (1 + 5%)</w:t>
            </w:r>
          </w:p>
          <w:p w14:paraId="6333391B" w14:textId="020AF7C7" w:rsidR="00CE27B0" w:rsidRDefault="00CE27B0" w:rsidP="00005426">
            <w:pPr>
              <w:spacing w:line="360" w:lineRule="auto"/>
            </w:pPr>
            <w:r>
              <w:t>= $ 3,488.57</w:t>
            </w:r>
          </w:p>
        </w:tc>
      </w:tr>
      <w:tr w:rsidR="00CE27B0" w14:paraId="396CCD4E" w14:textId="77777777" w:rsidTr="000F0B7B">
        <w:tc>
          <w:tcPr>
            <w:tcW w:w="3055" w:type="dxa"/>
            <w:shd w:val="clear" w:color="auto" w:fill="D9E2F3" w:themeFill="accent1" w:themeFillTint="33"/>
          </w:tcPr>
          <w:p w14:paraId="32B26901" w14:textId="77777777" w:rsidR="00CE27B0" w:rsidRPr="00482EBC" w:rsidRDefault="00CE27B0" w:rsidP="00005426">
            <w:pPr>
              <w:spacing w:line="360" w:lineRule="auto"/>
              <w:rPr>
                <w:b/>
                <w:bCs/>
              </w:rPr>
            </w:pPr>
            <w:r w:rsidRPr="00482EBC">
              <w:rPr>
                <w:b/>
                <w:bCs/>
              </w:rPr>
              <w:t>Year 11 through Year 30</w:t>
            </w:r>
          </w:p>
        </w:tc>
        <w:tc>
          <w:tcPr>
            <w:tcW w:w="6295" w:type="dxa"/>
          </w:tcPr>
          <w:p w14:paraId="0173255B" w14:textId="4087A0CC" w:rsidR="00CE27B0" w:rsidRDefault="00CE27B0" w:rsidP="00005426">
            <w:pPr>
              <w:spacing w:line="360" w:lineRule="auto"/>
            </w:pPr>
            <w:r>
              <w:t>Maintenance cost rate of increase between 2% and 4%. (RAND</w:t>
            </w:r>
            <w:r w:rsidR="00150C91">
              <w:t xml:space="preserve"> </w:t>
            </w:r>
            <w:r>
              <w:t xml:space="preserve">() used in this case to generate %) from $ </w:t>
            </w:r>
            <w:r w:rsidR="0054262B">
              <w:t xml:space="preserve">3,488.57 </w:t>
            </w:r>
            <w:r>
              <w:t>which was expected in Year 6-10.</w:t>
            </w:r>
          </w:p>
        </w:tc>
      </w:tr>
    </w:tbl>
    <w:p w14:paraId="231E9234" w14:textId="77777777" w:rsidR="00CE27B0" w:rsidRDefault="00CE27B0" w:rsidP="00005426">
      <w:pPr>
        <w:spacing w:line="360" w:lineRule="auto"/>
      </w:pPr>
    </w:p>
    <w:p w14:paraId="4A08CEE4" w14:textId="4A1DDE77" w:rsidR="00A3366C" w:rsidRPr="00482EBC" w:rsidRDefault="00A3366C" w:rsidP="00005426">
      <w:pPr>
        <w:spacing w:line="360" w:lineRule="auto"/>
      </w:pPr>
      <w:r w:rsidRPr="00A3366C">
        <w:rPr>
          <w:b/>
          <w:bCs/>
        </w:rPr>
        <w:t>Note:</w:t>
      </w:r>
      <w:r>
        <w:t xml:space="preserve"> To accommodate for any unexpected maintenance expense in any year, we have included a record ‘Maintenance Over-ride’. The Operating expense will be recalculated automatically if there is an override.</w:t>
      </w:r>
    </w:p>
    <w:p w14:paraId="70D1BB0A" w14:textId="774E54B2" w:rsidR="00F40A6C" w:rsidRDefault="003A44C9" w:rsidP="00005426">
      <w:pPr>
        <w:pStyle w:val="Heading2"/>
        <w:spacing w:line="360" w:lineRule="auto"/>
      </w:pPr>
      <w:r>
        <w:t>Mortgage rate</w:t>
      </w:r>
    </w:p>
    <w:p w14:paraId="38213ADC" w14:textId="77777777" w:rsidR="001554D6" w:rsidRDefault="003A44C9" w:rsidP="00005426">
      <w:pPr>
        <w:spacing w:line="360" w:lineRule="auto"/>
      </w:pPr>
      <w:r>
        <w:t xml:space="preserve">The initially assumed mortgage rate is based on the estimate obtained from </w:t>
      </w:r>
      <w:hyperlink r:id="rId24" w:history="1">
        <w:r w:rsidR="00E70B16" w:rsidRPr="00E70B16">
          <w:rPr>
            <w:rStyle w:val="Hyperlink"/>
          </w:rPr>
          <w:t>bankrate.com</w:t>
        </w:r>
      </w:hyperlink>
      <w:r w:rsidR="00E70B16">
        <w:t xml:space="preserve"> site</w:t>
      </w:r>
      <w:r>
        <w:t>.</w:t>
      </w:r>
    </w:p>
    <w:p w14:paraId="615E8C8F" w14:textId="77777777" w:rsidR="001554D6" w:rsidRDefault="001554D6" w:rsidP="00005426">
      <w:pPr>
        <w:spacing w:line="360" w:lineRule="auto"/>
      </w:pPr>
      <w:r>
        <w:t>Mortgage Rate for Property 1 = 3.26%</w:t>
      </w:r>
    </w:p>
    <w:p w14:paraId="455B848B" w14:textId="1550D757" w:rsidR="001554D6" w:rsidRDefault="001554D6" w:rsidP="001554D6">
      <w:pPr>
        <w:spacing w:line="360" w:lineRule="auto"/>
      </w:pPr>
      <w:r>
        <w:t xml:space="preserve">Mortgage Rate for Property </w:t>
      </w:r>
      <w:r>
        <w:t>2</w:t>
      </w:r>
      <w:r>
        <w:t xml:space="preserve"> = 3.</w:t>
      </w:r>
      <w:r>
        <w:t>0</w:t>
      </w:r>
      <w:r>
        <w:t>6%</w:t>
      </w:r>
    </w:p>
    <w:p w14:paraId="29109D52" w14:textId="18BFB9E8" w:rsidR="00E6408B" w:rsidRDefault="00E6408B" w:rsidP="00D01A6C">
      <w:pPr>
        <w:pStyle w:val="Heading2"/>
        <w:spacing w:line="360" w:lineRule="auto"/>
      </w:pPr>
      <w:r>
        <w:t>Vacancy rate</w:t>
      </w:r>
    </w:p>
    <w:p w14:paraId="46B15F3E" w14:textId="3758CF8A" w:rsidR="00E6408B" w:rsidRDefault="00E6408B" w:rsidP="00005426">
      <w:pPr>
        <w:spacing w:line="360" w:lineRule="auto"/>
      </w:pPr>
      <w:r>
        <w:t xml:space="preserve">Vacancy rate </w:t>
      </w:r>
      <w:r w:rsidR="0031771B">
        <w:t>is the percent of time the property is expected to be vacant. This measure fo</w:t>
      </w:r>
      <w:r>
        <w:t>r rental property has been estimated based on the statistics supplied by UC Census Bureau.</w:t>
      </w:r>
      <w:r w:rsidR="00D817EB" w:rsidRPr="00D817EB">
        <w:rPr>
          <w:rStyle w:val="FootnoteReference"/>
          <w:b/>
          <w:bCs/>
          <w:color w:val="0033CC"/>
          <w:sz w:val="28"/>
          <w:szCs w:val="28"/>
        </w:rPr>
        <w:footnoteReference w:id="5"/>
      </w:r>
      <w:r>
        <w:t xml:space="preserve"> We have approximated the vacancy rate to be roughly around </w:t>
      </w:r>
      <w:r w:rsidR="00E70B16">
        <w:t>5</w:t>
      </w:r>
      <w:r>
        <w:t xml:space="preserve">%. This value is based on the </w:t>
      </w:r>
      <w:r w:rsidR="00E70B16">
        <w:t>2</w:t>
      </w:r>
      <w:r w:rsidR="0031771B">
        <w:t>-</w:t>
      </w:r>
      <w:r>
        <w:t>year average annual vacancy rates</w:t>
      </w:r>
      <w:r w:rsidR="00E70B16">
        <w:t xml:space="preserve"> provided by the US Census Bureau for the West coast in 2018 and 2019</w:t>
      </w:r>
      <w:r w:rsidR="0031771B">
        <w:t>.</w:t>
      </w:r>
    </w:p>
    <w:p w14:paraId="5ED3C7FE" w14:textId="75E99D6A" w:rsidR="0031771B" w:rsidRDefault="0031771B" w:rsidP="00005426">
      <w:pPr>
        <w:spacing w:line="360" w:lineRule="auto"/>
      </w:pPr>
      <w:r>
        <w:t xml:space="preserve">Snapshot of the </w:t>
      </w:r>
      <w:r w:rsidR="007007FE">
        <w:t>information is</w:t>
      </w:r>
      <w:r>
        <w:t xml:space="preserve"> shown below.</w:t>
      </w:r>
    </w:p>
    <w:p w14:paraId="785F3BE0" w14:textId="5C165338" w:rsidR="003E719F" w:rsidRDefault="003E719F" w:rsidP="00005426">
      <w:pPr>
        <w:pStyle w:val="Caption"/>
        <w:keepNext/>
        <w:spacing w:line="360" w:lineRule="auto"/>
        <w:jc w:val="center"/>
      </w:pPr>
      <w:r>
        <w:lastRenderedPageBreak/>
        <w:t xml:space="preserve">Figure </w:t>
      </w:r>
      <w:fldSimple w:instr=" SEQ Figure \* ARABIC ">
        <w:r w:rsidR="00BC5CD4">
          <w:rPr>
            <w:noProof/>
          </w:rPr>
          <w:t>1</w:t>
        </w:r>
      </w:fldSimple>
      <w:r>
        <w:t>: Rental Vacancy rates for West Coast US</w:t>
      </w:r>
    </w:p>
    <w:p w14:paraId="6A898371" w14:textId="0B21B6FA" w:rsidR="0031771B" w:rsidRDefault="00E70B16" w:rsidP="00005426">
      <w:pPr>
        <w:spacing w:line="360" w:lineRule="auto"/>
        <w:jc w:val="center"/>
      </w:pPr>
      <w:r w:rsidRPr="003E719F">
        <w:rPr>
          <w:noProof/>
          <w:bdr w:val="single" w:sz="4" w:space="0" w:color="auto"/>
        </w:rPr>
        <w:drawing>
          <wp:inline distT="0" distB="0" distL="0" distR="0" wp14:anchorId="0435CC2D" wp14:editId="18B359C4">
            <wp:extent cx="3524250"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24250" cy="2952750"/>
                    </a:xfrm>
                    <a:prstGeom prst="rect">
                      <a:avLst/>
                    </a:prstGeom>
                  </pic:spPr>
                </pic:pic>
              </a:graphicData>
            </a:graphic>
          </wp:inline>
        </w:drawing>
      </w:r>
    </w:p>
    <w:p w14:paraId="27753CE9" w14:textId="2F42DB6D" w:rsidR="003E719F" w:rsidRDefault="00CD7D29" w:rsidP="00005426">
      <w:pPr>
        <w:pStyle w:val="Heading1"/>
        <w:spacing w:line="360" w:lineRule="auto"/>
      </w:pPr>
      <w:r>
        <w:t>Model Results</w:t>
      </w:r>
    </w:p>
    <w:p w14:paraId="32E8ABB5" w14:textId="4524B228" w:rsidR="00CD7D29" w:rsidRDefault="00CD7D29" w:rsidP="00005426">
      <w:pPr>
        <w:spacing w:line="360" w:lineRule="auto"/>
      </w:pPr>
      <w:r>
        <w:t>We built a Cash-flow model for both the properties and the results have been summarized below.</w:t>
      </w:r>
    </w:p>
    <w:p w14:paraId="620BBE10" w14:textId="746F4226" w:rsidR="00CD7D29" w:rsidRDefault="00CD7D29" w:rsidP="00005426">
      <w:pPr>
        <w:pStyle w:val="ListParagraph"/>
        <w:numPr>
          <w:ilvl w:val="0"/>
          <w:numId w:val="5"/>
        </w:numPr>
        <w:spacing w:line="360" w:lineRule="auto"/>
      </w:pPr>
      <w:r>
        <w:t>Property 1 (priced at $ 643,000) has a negative NPV for a discount rate of 12%</w:t>
      </w:r>
      <w:r w:rsidR="008032CD">
        <w:t xml:space="preserve"> for 30 years Mortgage payments</w:t>
      </w:r>
    </w:p>
    <w:p w14:paraId="214197E8" w14:textId="1D81B411" w:rsidR="00CD7D29" w:rsidRDefault="00CD7D29" w:rsidP="00005426">
      <w:pPr>
        <w:spacing w:line="360" w:lineRule="auto"/>
        <w:ind w:left="360"/>
      </w:pPr>
      <w:r>
        <w:t>After recreating the NPV 1000 times through simulation, the average NPV is still negative.</w:t>
      </w:r>
      <w:r w:rsidR="007F405E">
        <w:t xml:space="preserve"> So its not an attractive investment opportunity. </w:t>
      </w:r>
    </w:p>
    <w:p w14:paraId="3D7CABE9" w14:textId="480614D7" w:rsidR="00CA6090" w:rsidRPr="00CA6090" w:rsidRDefault="00CA6090" w:rsidP="00005426">
      <w:pPr>
        <w:spacing w:line="360" w:lineRule="auto"/>
        <w:ind w:left="360"/>
        <w:jc w:val="center"/>
        <w:rPr>
          <w:b/>
          <w:bCs/>
        </w:rPr>
      </w:pPr>
      <w:r w:rsidRPr="00CA6090">
        <w:rPr>
          <w:b/>
          <w:bCs/>
        </w:rPr>
        <w:t>Average NPV after simulation = $ (78,000)</w:t>
      </w:r>
    </w:p>
    <w:p w14:paraId="63093295" w14:textId="739AAF1A" w:rsidR="00CD7D29" w:rsidRDefault="00CD7D29" w:rsidP="00005426">
      <w:pPr>
        <w:pStyle w:val="ListParagraph"/>
        <w:numPr>
          <w:ilvl w:val="0"/>
          <w:numId w:val="5"/>
        </w:numPr>
        <w:spacing w:line="360" w:lineRule="auto"/>
      </w:pPr>
      <w:r>
        <w:t>Property 2 (priced at $ 499,990) has a positive NPV for the same discount rate of 12%</w:t>
      </w:r>
      <w:r w:rsidR="00BE2C89">
        <w:t xml:space="preserve"> </w:t>
      </w:r>
      <w:r w:rsidR="00BE2C89">
        <w:t>for 30 years Mortgage payments</w:t>
      </w:r>
    </w:p>
    <w:p w14:paraId="74BB5D3D" w14:textId="558D7932" w:rsidR="00CD7D29" w:rsidRDefault="00CD7D29" w:rsidP="00005426">
      <w:pPr>
        <w:spacing w:line="360" w:lineRule="auto"/>
        <w:ind w:left="360"/>
      </w:pPr>
      <w:r>
        <w:t>The distribution of NPV for Property 2 is shown below.</w:t>
      </w:r>
    </w:p>
    <w:p w14:paraId="1D6C1DDB" w14:textId="7E3B5E3B" w:rsidR="00CD7D29" w:rsidRDefault="00CD7D29" w:rsidP="00005426">
      <w:pPr>
        <w:spacing w:line="360" w:lineRule="auto"/>
        <w:ind w:left="360"/>
      </w:pPr>
      <w:r>
        <w:rPr>
          <w:noProof/>
        </w:rPr>
        <w:lastRenderedPageBreak/>
        <w:drawing>
          <wp:inline distT="0" distB="0" distL="0" distR="0" wp14:anchorId="6DD67E49" wp14:editId="44D36E4D">
            <wp:extent cx="5038725" cy="2771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38725" cy="2771775"/>
                    </a:xfrm>
                    <a:prstGeom prst="rect">
                      <a:avLst/>
                    </a:prstGeom>
                  </pic:spPr>
                </pic:pic>
              </a:graphicData>
            </a:graphic>
          </wp:inline>
        </w:drawing>
      </w:r>
    </w:p>
    <w:p w14:paraId="2EADB30D" w14:textId="18563E9C" w:rsidR="00CD7D29" w:rsidRDefault="00CD7D29" w:rsidP="00005426">
      <w:pPr>
        <w:spacing w:line="360" w:lineRule="auto"/>
        <w:ind w:left="360"/>
      </w:pPr>
      <w:r>
        <w:t xml:space="preserve">It is clear that there is 90% certainty that we will get an average of $ 14,985 as NPV </w:t>
      </w:r>
      <w:r w:rsidR="00B30003">
        <w:t xml:space="preserve">after </w:t>
      </w:r>
      <w:r>
        <w:t>accounting for Uncertainty in Maintenance costs and initial Closing cost that are randomized in the model for a discount rate of 12%.</w:t>
      </w:r>
    </w:p>
    <w:p w14:paraId="017122F4" w14:textId="704A0E75" w:rsidR="00CA6090" w:rsidRDefault="00CA6090" w:rsidP="00005426">
      <w:pPr>
        <w:spacing w:line="360" w:lineRule="auto"/>
        <w:ind w:left="360"/>
        <w:jc w:val="center"/>
        <w:rPr>
          <w:b/>
          <w:bCs/>
        </w:rPr>
      </w:pPr>
      <w:r w:rsidRPr="00CA6090">
        <w:rPr>
          <w:b/>
          <w:bCs/>
        </w:rPr>
        <w:t xml:space="preserve">The average NPV after simulation = </w:t>
      </w:r>
      <w:r w:rsidRPr="00CA6090">
        <w:rPr>
          <w:b/>
          <w:bCs/>
        </w:rPr>
        <w:tab/>
        <w:t xml:space="preserve">$ </w:t>
      </w:r>
      <w:r w:rsidR="00770428">
        <w:rPr>
          <w:b/>
          <w:bCs/>
        </w:rPr>
        <w:t>15,0</w:t>
      </w:r>
      <w:r w:rsidR="00827524">
        <w:rPr>
          <w:b/>
          <w:bCs/>
        </w:rPr>
        <w:t>70</w:t>
      </w:r>
    </w:p>
    <w:p w14:paraId="0DF23474" w14:textId="0346B897" w:rsidR="00CA6090" w:rsidRDefault="00CA6090" w:rsidP="00005426">
      <w:pPr>
        <w:spacing w:line="360" w:lineRule="auto"/>
        <w:ind w:left="360"/>
      </w:pPr>
      <w:r>
        <w:t xml:space="preserve">At this stage, we realize that Property 2 is a better investment </w:t>
      </w:r>
      <w:r w:rsidR="00E16BF7">
        <w:t xml:space="preserve">opportunity </w:t>
      </w:r>
      <w:r>
        <w:t>than Property 1 considering the positive NPV at the end of the mortgage period.</w:t>
      </w:r>
    </w:p>
    <w:p w14:paraId="4F7B8533" w14:textId="6A2D6A74" w:rsidR="00CA6090" w:rsidRDefault="00CA6090" w:rsidP="00005426">
      <w:pPr>
        <w:pStyle w:val="Heading1"/>
        <w:spacing w:line="360" w:lineRule="auto"/>
      </w:pPr>
      <w:r>
        <w:t>Sensitivity Analysis for the property of our choice</w:t>
      </w:r>
    </w:p>
    <w:p w14:paraId="6B59D1D5" w14:textId="62EECA69" w:rsidR="00CA6090" w:rsidRDefault="00CA6090" w:rsidP="00005426">
      <w:pPr>
        <w:spacing w:line="360" w:lineRule="auto"/>
      </w:pPr>
      <w:r>
        <w:t xml:space="preserve">Now that we have finalized that </w:t>
      </w:r>
      <w:r w:rsidR="00F262B4">
        <w:t xml:space="preserve">Property 2 is the </w:t>
      </w:r>
      <w:r>
        <w:t>attractive investment</w:t>
      </w:r>
      <w:r w:rsidR="00BA15CC">
        <w:t xml:space="preserve"> opportunity</w:t>
      </w:r>
      <w:r>
        <w:t>, we conduct a sensitivity analysis on the NPV randomizing the Annual Expected rate of rent increase</w:t>
      </w:r>
      <w:r w:rsidR="003F5CD2">
        <w:t xml:space="preserve"> and considering different values for the starting rent</w:t>
      </w:r>
      <w:r>
        <w:t>.</w:t>
      </w:r>
    </w:p>
    <w:p w14:paraId="1A83B212" w14:textId="0ED41162" w:rsidR="00CA6090" w:rsidRDefault="00CA6090" w:rsidP="00005426">
      <w:pPr>
        <w:spacing w:line="360" w:lineRule="auto"/>
      </w:pPr>
      <w:r>
        <w:t>The reasons for choosing these variables are</w:t>
      </w:r>
    </w:p>
    <w:p w14:paraId="7C9D07CD" w14:textId="746A406B" w:rsidR="00C0527B" w:rsidRDefault="00C0527B" w:rsidP="00005426">
      <w:pPr>
        <w:pStyle w:val="ListParagraph"/>
        <w:numPr>
          <w:ilvl w:val="0"/>
          <w:numId w:val="6"/>
        </w:numPr>
        <w:spacing w:line="360" w:lineRule="auto"/>
      </w:pPr>
      <w:r>
        <w:t>Annual Expected rate of increase in rent is considered as a random variable that can take any value between 3% and 7%.</w:t>
      </w:r>
      <w:r w:rsidR="003F5CD2">
        <w:t xml:space="preserve"> We would like to know how sensitive is our NPV in case there is no consequent increase in the rent during uncertain market conditions.</w:t>
      </w:r>
    </w:p>
    <w:p w14:paraId="7F09EA8A" w14:textId="3FBD3E33" w:rsidR="003F5CD2" w:rsidRDefault="003F5CD2" w:rsidP="00005426">
      <w:pPr>
        <w:pStyle w:val="ListParagraph"/>
        <w:numPr>
          <w:ilvl w:val="0"/>
          <w:numId w:val="6"/>
        </w:numPr>
        <w:spacing w:line="360" w:lineRule="auto"/>
      </w:pPr>
      <w:r>
        <w:t xml:space="preserve">We initially set the starting rent as $ 2,300 for our Property </w:t>
      </w:r>
      <w:r w:rsidR="006B5944">
        <w:t>2</w:t>
      </w:r>
      <w:r>
        <w:t>. We would like to know what would happen to our NPV for other values of the rent.</w:t>
      </w:r>
    </w:p>
    <w:p w14:paraId="2C2CAB34" w14:textId="4C148F6A" w:rsidR="00C0527B" w:rsidRDefault="00C0527B" w:rsidP="00005426">
      <w:pPr>
        <w:pStyle w:val="Heading1"/>
        <w:spacing w:line="360" w:lineRule="auto"/>
      </w:pPr>
      <w:r>
        <w:lastRenderedPageBreak/>
        <w:t>Results of Sensitivity Analysis</w:t>
      </w:r>
    </w:p>
    <w:p w14:paraId="4BCEA4A2" w14:textId="13E1ED42" w:rsidR="00C0527B" w:rsidRDefault="00E03E7B" w:rsidP="00005426">
      <w:pPr>
        <w:spacing w:line="360" w:lineRule="auto"/>
      </w:pPr>
      <w:r>
        <w:t>After doing a sensitivity analysis using data table, we observed that the NPV of Property 2 is still positive even after accounting for uncertainties in Rental increase rates and starting rent prices.</w:t>
      </w:r>
    </w:p>
    <w:p w14:paraId="5D57AAE8" w14:textId="72F88C12" w:rsidR="00E03E7B" w:rsidRDefault="00E03E7B" w:rsidP="00005426">
      <w:pPr>
        <w:spacing w:line="360" w:lineRule="auto"/>
      </w:pPr>
      <w:r>
        <w:t>Also, for the initial price that we chose in the beginning (i.e. $ 2,300), the rental increase has to be at least 4.5% annually.</w:t>
      </w:r>
    </w:p>
    <w:p w14:paraId="44228167" w14:textId="3566E7FE" w:rsidR="00E03E7B" w:rsidRDefault="00E03E7B" w:rsidP="00005426">
      <w:pPr>
        <w:spacing w:line="360" w:lineRule="auto"/>
      </w:pPr>
      <w:r>
        <w:t>Average NPV from the sensitivity table is given below.</w:t>
      </w:r>
    </w:p>
    <w:tbl>
      <w:tblPr>
        <w:tblW w:w="41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7"/>
      </w:tblGrid>
      <w:tr w:rsidR="00E03E7B" w:rsidRPr="00E03E7B" w14:paraId="7EFFEE08" w14:textId="77777777" w:rsidTr="00E03E7B">
        <w:trPr>
          <w:trHeight w:val="300"/>
          <w:jc w:val="center"/>
        </w:trPr>
        <w:tc>
          <w:tcPr>
            <w:tcW w:w="4107" w:type="dxa"/>
            <w:shd w:val="clear" w:color="000000" w:fill="F8CBAD"/>
            <w:noWrap/>
            <w:vAlign w:val="bottom"/>
            <w:hideMark/>
          </w:tcPr>
          <w:p w14:paraId="67E95F75" w14:textId="77777777" w:rsidR="00E03E7B" w:rsidRPr="00E03E7B" w:rsidRDefault="00E03E7B" w:rsidP="00005426">
            <w:pPr>
              <w:spacing w:after="0" w:line="360" w:lineRule="auto"/>
              <w:jc w:val="center"/>
              <w:rPr>
                <w:rFonts w:ascii="Calibri" w:eastAsia="Times New Roman" w:hAnsi="Calibri" w:cs="Calibri"/>
                <w:b/>
                <w:bCs/>
                <w:color w:val="000000"/>
              </w:rPr>
            </w:pPr>
            <w:r w:rsidRPr="00E03E7B">
              <w:rPr>
                <w:rFonts w:ascii="Calibri" w:eastAsia="Times New Roman" w:hAnsi="Calibri" w:cs="Calibri"/>
                <w:b/>
                <w:bCs/>
                <w:color w:val="000000"/>
              </w:rPr>
              <w:t>Average NPV from the Sensitivity table</w:t>
            </w:r>
          </w:p>
        </w:tc>
      </w:tr>
      <w:tr w:rsidR="00E03E7B" w:rsidRPr="00E03E7B" w14:paraId="47C9799B" w14:textId="77777777" w:rsidTr="00E03E7B">
        <w:trPr>
          <w:trHeight w:val="315"/>
          <w:jc w:val="center"/>
        </w:trPr>
        <w:tc>
          <w:tcPr>
            <w:tcW w:w="4107" w:type="dxa"/>
            <w:shd w:val="clear" w:color="auto" w:fill="auto"/>
            <w:noWrap/>
            <w:vAlign w:val="bottom"/>
            <w:hideMark/>
          </w:tcPr>
          <w:p w14:paraId="3B5BB207" w14:textId="35438214" w:rsidR="00E03E7B" w:rsidRPr="00E03E7B" w:rsidRDefault="00E03E7B" w:rsidP="00005426">
            <w:pPr>
              <w:spacing w:after="0" w:line="360" w:lineRule="auto"/>
              <w:jc w:val="center"/>
              <w:rPr>
                <w:rFonts w:ascii="Calibri" w:eastAsia="Times New Roman" w:hAnsi="Calibri" w:cs="Calibri"/>
                <w:color w:val="000000"/>
              </w:rPr>
            </w:pPr>
            <w:r w:rsidRPr="00E03E7B">
              <w:rPr>
                <w:rFonts w:ascii="Calibri" w:eastAsia="Times New Roman" w:hAnsi="Calibri" w:cs="Calibri"/>
                <w:color w:val="000000"/>
              </w:rPr>
              <w:t xml:space="preserve"> $                                                         18,</w:t>
            </w:r>
            <w:r w:rsidR="009D3529">
              <w:rPr>
                <w:rFonts w:ascii="Calibri" w:eastAsia="Times New Roman" w:hAnsi="Calibri" w:cs="Calibri"/>
                <w:color w:val="000000"/>
              </w:rPr>
              <w:t>502</w:t>
            </w:r>
            <w:r w:rsidRPr="00E03E7B">
              <w:rPr>
                <w:rFonts w:ascii="Calibri" w:eastAsia="Times New Roman" w:hAnsi="Calibri" w:cs="Calibri"/>
                <w:color w:val="000000"/>
              </w:rPr>
              <w:t>.</w:t>
            </w:r>
            <w:r w:rsidR="009D3529">
              <w:rPr>
                <w:rFonts w:ascii="Calibri" w:eastAsia="Times New Roman" w:hAnsi="Calibri" w:cs="Calibri"/>
                <w:color w:val="000000"/>
              </w:rPr>
              <w:t>64</w:t>
            </w:r>
            <w:r w:rsidRPr="00E03E7B">
              <w:rPr>
                <w:rFonts w:ascii="Calibri" w:eastAsia="Times New Roman" w:hAnsi="Calibri" w:cs="Calibri"/>
                <w:color w:val="000000"/>
              </w:rPr>
              <w:t xml:space="preserve"> </w:t>
            </w:r>
          </w:p>
        </w:tc>
      </w:tr>
    </w:tbl>
    <w:p w14:paraId="25755BD7" w14:textId="77777777" w:rsidR="00400C63" w:rsidRDefault="00400C63" w:rsidP="00BC5CD4"/>
    <w:p w14:paraId="6C98D74C" w14:textId="623BA6A8" w:rsidR="00BC5CD4" w:rsidRDefault="00BC5CD4" w:rsidP="00BC5CD4">
      <w:r>
        <w:t xml:space="preserve">Furthermore, the sensitivity analysis of NPV with changing annual rate of rent </w:t>
      </w:r>
      <w:r w:rsidR="00512092">
        <w:t xml:space="preserve">for initial rent as $2,300 </w:t>
      </w:r>
      <w:r>
        <w:t>showed the following trend.</w:t>
      </w:r>
    </w:p>
    <w:p w14:paraId="0FBCB241" w14:textId="77777777" w:rsidR="00BC5CD4" w:rsidRDefault="00BC5CD4" w:rsidP="00BC5CD4">
      <w:pPr>
        <w:keepNext/>
        <w:jc w:val="center"/>
      </w:pPr>
      <w:r w:rsidRPr="00BC5CD4">
        <w:rPr>
          <w:noProof/>
          <w:bdr w:val="single" w:sz="4" w:space="0" w:color="auto"/>
        </w:rPr>
        <w:drawing>
          <wp:inline distT="0" distB="0" distL="0" distR="0" wp14:anchorId="71FD5B7F" wp14:editId="34282F0D">
            <wp:extent cx="4572000" cy="2743200"/>
            <wp:effectExtent l="0" t="0" r="0" b="0"/>
            <wp:docPr id="3" name="Chart 3">
              <a:extLst xmlns:a="http://schemas.openxmlformats.org/drawingml/2006/main">
                <a:ext uri="{FF2B5EF4-FFF2-40B4-BE49-F238E27FC236}">
                  <a16:creationId xmlns:a16="http://schemas.microsoft.com/office/drawing/2014/main" id="{773FEFF1-D3C0-438F-B147-2BF2BA6115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5C60F64" w14:textId="2F6AD17C" w:rsidR="00BC5CD4" w:rsidRDefault="00BC5CD4" w:rsidP="00BC5CD4">
      <w:pPr>
        <w:pStyle w:val="Caption"/>
        <w:jc w:val="center"/>
      </w:pPr>
      <w:r>
        <w:t xml:space="preserve">Figure </w:t>
      </w:r>
      <w:fldSimple w:instr=" SEQ Figure \* ARABIC ">
        <w:r>
          <w:rPr>
            <w:noProof/>
          </w:rPr>
          <w:t>2</w:t>
        </w:r>
      </w:fldSimple>
      <w:r>
        <w:t>: NPV vs Rental increase rate per annum</w:t>
      </w:r>
    </w:p>
    <w:p w14:paraId="2FF353A5" w14:textId="0B1D6CBE" w:rsidR="00512092" w:rsidRPr="00512092" w:rsidRDefault="00512092" w:rsidP="00512092"/>
    <w:p w14:paraId="47DEDCD4" w14:textId="3F29316C" w:rsidR="00E03E7B" w:rsidRDefault="00005426" w:rsidP="00005426">
      <w:pPr>
        <w:pStyle w:val="Heading1"/>
        <w:spacing w:line="360" w:lineRule="auto"/>
      </w:pPr>
      <w:r>
        <w:t>Conclusion</w:t>
      </w:r>
    </w:p>
    <w:p w14:paraId="52F00D63" w14:textId="1F3E1A21" w:rsidR="00005426" w:rsidRDefault="00005426" w:rsidP="00005426">
      <w:pPr>
        <w:spacing w:line="360" w:lineRule="auto"/>
      </w:pPr>
      <w:r>
        <w:t xml:space="preserve">Thus, based on the simulation modelling and analysis, we see that </w:t>
      </w:r>
      <w:hyperlink r:id="rId28" w:anchor="property-details" w:history="1">
        <w:r w:rsidRPr="00005426">
          <w:rPr>
            <w:rStyle w:val="Hyperlink"/>
          </w:rPr>
          <w:t>Property 2</w:t>
        </w:r>
      </w:hyperlink>
      <w:r>
        <w:t xml:space="preserve"> at 14715 B4, Admiralty Way, Lynnwood, WA 98087 is the better investment of the two.</w:t>
      </w:r>
      <w:r w:rsidR="007E63EC">
        <w:t xml:space="preserve"> The model is available in the Appendix section.</w:t>
      </w:r>
    </w:p>
    <w:p w14:paraId="2C7D1A3D" w14:textId="0EE5ED92" w:rsidR="007E63EC" w:rsidRDefault="007E63EC" w:rsidP="007E63EC">
      <w:pPr>
        <w:pStyle w:val="Heading1"/>
      </w:pPr>
      <w:r>
        <w:lastRenderedPageBreak/>
        <w:t>Appendix</w:t>
      </w:r>
    </w:p>
    <w:p w14:paraId="6C1BE56C" w14:textId="77777777" w:rsidR="00606B5E" w:rsidRDefault="00606B5E" w:rsidP="007E63EC"/>
    <w:p w14:paraId="1B9E7D69" w14:textId="1C57051B" w:rsidR="00606B5E" w:rsidRDefault="00606B5E" w:rsidP="007E63EC">
      <w:r>
        <w:t>Attach</w:t>
      </w:r>
      <w:r w:rsidR="002D70BE">
        <w:t>ed</w:t>
      </w:r>
      <w:r>
        <w:t xml:space="preserve"> the Model</w:t>
      </w:r>
      <w:r w:rsidR="00BD2AB3">
        <w:t xml:space="preserve"> below. </w:t>
      </w:r>
    </w:p>
    <w:p w14:paraId="25D7AEB7" w14:textId="33803B1D" w:rsidR="007E63EC" w:rsidRDefault="00BD5AE9" w:rsidP="007E63EC">
      <w:r>
        <w:t>Model</w:t>
      </w:r>
      <w:r w:rsidR="00A14DF0">
        <w:t>:</w:t>
      </w:r>
    </w:p>
    <w:p w14:paraId="2C41E8BE" w14:textId="3F8F3940" w:rsidR="00BD5AE9" w:rsidRPr="007E63EC" w:rsidRDefault="00D036FA" w:rsidP="007E63EC">
      <w:r>
        <w:object w:dxaOrig="1520" w:dyaOrig="988" w14:anchorId="749430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2pt;height:49.2pt" o:ole="">
            <v:imagedata r:id="rId29" o:title=""/>
          </v:shape>
          <o:OLEObject Type="Embed" ProgID="Excel.Sheet.12" ShapeID="_x0000_i1027" DrawAspect="Icon" ObjectID="_1649439502" r:id="rId30"/>
        </w:object>
      </w:r>
      <w:bookmarkStart w:id="0" w:name="_GoBack"/>
      <w:bookmarkEnd w:id="0"/>
    </w:p>
    <w:p w14:paraId="52054875" w14:textId="77777777" w:rsidR="00CA6090" w:rsidRPr="00CA6090" w:rsidRDefault="00CA6090" w:rsidP="00005426">
      <w:pPr>
        <w:spacing w:line="360" w:lineRule="auto"/>
        <w:ind w:left="360"/>
      </w:pPr>
    </w:p>
    <w:p w14:paraId="7EB4FB25" w14:textId="77777777" w:rsidR="00CA6090" w:rsidRDefault="00CA6090" w:rsidP="00005426">
      <w:pPr>
        <w:spacing w:line="360" w:lineRule="auto"/>
        <w:ind w:left="360"/>
      </w:pPr>
    </w:p>
    <w:p w14:paraId="74B2F276" w14:textId="77777777" w:rsidR="00CD7D29" w:rsidRDefault="00CD7D29" w:rsidP="00005426">
      <w:pPr>
        <w:spacing w:line="360" w:lineRule="auto"/>
        <w:ind w:left="360"/>
      </w:pPr>
    </w:p>
    <w:p w14:paraId="798A6EED" w14:textId="77777777" w:rsidR="00CD7D29" w:rsidRPr="00CD7D29" w:rsidRDefault="00CD7D29" w:rsidP="00005426">
      <w:pPr>
        <w:spacing w:line="360" w:lineRule="auto"/>
        <w:ind w:left="360"/>
      </w:pPr>
    </w:p>
    <w:sectPr w:rsidR="00CD7D29" w:rsidRPr="00CD7D29" w:rsidSect="00636DA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9CB25" w14:textId="77777777" w:rsidR="00D006E5" w:rsidRDefault="00D006E5" w:rsidP="00787EF6">
      <w:pPr>
        <w:spacing w:after="0" w:line="240" w:lineRule="auto"/>
      </w:pPr>
      <w:r>
        <w:separator/>
      </w:r>
    </w:p>
  </w:endnote>
  <w:endnote w:type="continuationSeparator" w:id="0">
    <w:p w14:paraId="6763CAC8" w14:textId="77777777" w:rsidR="00D006E5" w:rsidRDefault="00D006E5" w:rsidP="00787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45758" w14:textId="77777777" w:rsidR="00D006E5" w:rsidRDefault="00D006E5" w:rsidP="00787EF6">
      <w:pPr>
        <w:spacing w:after="0" w:line="240" w:lineRule="auto"/>
      </w:pPr>
      <w:r>
        <w:separator/>
      </w:r>
    </w:p>
  </w:footnote>
  <w:footnote w:type="continuationSeparator" w:id="0">
    <w:p w14:paraId="4BA53E37" w14:textId="77777777" w:rsidR="00D006E5" w:rsidRDefault="00D006E5" w:rsidP="00787EF6">
      <w:pPr>
        <w:spacing w:after="0" w:line="240" w:lineRule="auto"/>
      </w:pPr>
      <w:r>
        <w:continuationSeparator/>
      </w:r>
    </w:p>
  </w:footnote>
  <w:footnote w:id="1">
    <w:p w14:paraId="25FC6A88" w14:textId="77777777" w:rsidR="00716DC0" w:rsidRDefault="00716DC0" w:rsidP="00F030D1">
      <w:pPr>
        <w:pStyle w:val="EndnoteText"/>
      </w:pPr>
      <w:r>
        <w:rPr>
          <w:rStyle w:val="FootnoteReference"/>
        </w:rPr>
        <w:footnoteRef/>
      </w:r>
      <w:r>
        <w:t xml:space="preserve"> Source: </w:t>
      </w:r>
      <w:hyperlink r:id="rId1" w:history="1">
        <w:r>
          <w:rPr>
            <w:rStyle w:val="Hyperlink"/>
          </w:rPr>
          <w:t>https://www.rentcafe.com/average-rent-market-trends/us/wa/bothell/</w:t>
        </w:r>
      </w:hyperlink>
    </w:p>
    <w:p w14:paraId="77256CDC" w14:textId="5F8F9C20" w:rsidR="00716DC0" w:rsidRDefault="00716DC0">
      <w:pPr>
        <w:pStyle w:val="FootnoteText"/>
      </w:pPr>
    </w:p>
  </w:footnote>
  <w:footnote w:id="2">
    <w:p w14:paraId="0C035B11" w14:textId="67F4D8FE" w:rsidR="00716DC0" w:rsidRDefault="00716DC0">
      <w:pPr>
        <w:pStyle w:val="FootnoteText"/>
      </w:pPr>
      <w:r>
        <w:rPr>
          <w:rStyle w:val="FootnoteReference"/>
        </w:rPr>
        <w:footnoteRef/>
      </w:r>
      <w:r>
        <w:t xml:space="preserve"> Source: </w:t>
      </w:r>
      <w:hyperlink r:id="rId2" w:history="1">
        <w:r>
          <w:rPr>
            <w:rStyle w:val="Hyperlink"/>
          </w:rPr>
          <w:t>https://www.rentcafe.com/blog/rental-market/apartment-rent-report/january-2020-national-rent-report/</w:t>
        </w:r>
      </w:hyperlink>
    </w:p>
  </w:footnote>
  <w:footnote w:id="3">
    <w:p w14:paraId="50FF440B" w14:textId="51BDC3CC" w:rsidR="00716DC0" w:rsidRDefault="00716DC0">
      <w:pPr>
        <w:pStyle w:val="FootnoteText"/>
      </w:pPr>
      <w:r>
        <w:rPr>
          <w:rStyle w:val="FootnoteReference"/>
        </w:rPr>
        <w:footnoteRef/>
      </w:r>
      <w:r>
        <w:t xml:space="preserve"> Source: </w:t>
      </w:r>
      <w:hyperlink r:id="rId3" w:history="1">
        <w:r>
          <w:rPr>
            <w:rStyle w:val="Hyperlink"/>
          </w:rPr>
          <w:t>https://www.realpropertymgt.com/rental-property-maintenance-myths/</w:t>
        </w:r>
      </w:hyperlink>
    </w:p>
  </w:footnote>
  <w:footnote w:id="4">
    <w:p w14:paraId="4A70A451" w14:textId="21A09C0B" w:rsidR="00482EBC" w:rsidRDefault="00482EBC">
      <w:pPr>
        <w:pStyle w:val="FootnoteText"/>
      </w:pPr>
      <w:r>
        <w:rPr>
          <w:rStyle w:val="FootnoteReference"/>
        </w:rPr>
        <w:footnoteRef/>
      </w:r>
      <w:r>
        <w:t xml:space="preserve"> Source: </w:t>
      </w:r>
      <w:hyperlink r:id="rId4" w:history="1">
        <w:r>
          <w:rPr>
            <w:rStyle w:val="Hyperlink"/>
          </w:rPr>
          <w:t>https://www.thebalance.com/home-maintenance-budget-453820</w:t>
        </w:r>
      </w:hyperlink>
    </w:p>
  </w:footnote>
  <w:footnote w:id="5">
    <w:p w14:paraId="651EAF82" w14:textId="0BA3ACC0" w:rsidR="00D817EB" w:rsidRDefault="00D817EB" w:rsidP="00D817EB">
      <w:pPr>
        <w:tabs>
          <w:tab w:val="left" w:pos="720"/>
        </w:tabs>
        <w:autoSpaceDE w:val="0"/>
        <w:autoSpaceDN w:val="0"/>
        <w:adjustRightInd w:val="0"/>
        <w:spacing w:after="0" w:line="240" w:lineRule="auto"/>
        <w:rPr>
          <w:rFonts w:ascii="Segoe UI" w:hAnsi="Segoe UI" w:cs="Segoe UI"/>
          <w:sz w:val="18"/>
          <w:szCs w:val="18"/>
        </w:rPr>
      </w:pPr>
      <w:r>
        <w:rPr>
          <w:rStyle w:val="FootnoteReference"/>
        </w:rPr>
        <w:footnoteRef/>
      </w:r>
      <w:r>
        <w:t xml:space="preserve"> </w:t>
      </w:r>
      <w:r>
        <w:rPr>
          <w:rFonts w:ascii="Segoe UI" w:hAnsi="Segoe UI" w:cs="Segoe UI"/>
          <w:sz w:val="18"/>
          <w:szCs w:val="18"/>
        </w:rPr>
        <w:t xml:space="preserve">Source: </w:t>
      </w:r>
      <w:hyperlink r:id="rId5" w:history="1">
        <w:r w:rsidRPr="00852504">
          <w:rPr>
            <w:rStyle w:val="Hyperlink"/>
            <w:rFonts w:ascii="Segoe UI" w:hAnsi="Segoe UI" w:cs="Segoe UI"/>
            <w:sz w:val="18"/>
            <w:szCs w:val="18"/>
          </w:rPr>
          <w:t>https://www.census.gov/housing/hvs/files/currenthvspress.pdf</w:t>
        </w:r>
      </w:hyperlink>
    </w:p>
    <w:p w14:paraId="191CA231" w14:textId="77777777" w:rsidR="00D817EB" w:rsidRPr="00D817EB" w:rsidRDefault="00D817EB" w:rsidP="00D817EB">
      <w:pPr>
        <w:tabs>
          <w:tab w:val="left" w:pos="720"/>
        </w:tabs>
        <w:autoSpaceDE w:val="0"/>
        <w:autoSpaceDN w:val="0"/>
        <w:adjustRightInd w:val="0"/>
        <w:spacing w:after="0" w:line="240" w:lineRule="auto"/>
        <w:rPr>
          <w:rFonts w:ascii="Segoe UI" w:hAnsi="Segoe UI" w:cs="Segoe UI"/>
          <w:sz w:val="18"/>
          <w:szCs w:val="18"/>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16EDE"/>
    <w:multiLevelType w:val="hybridMultilevel"/>
    <w:tmpl w:val="075471EE"/>
    <w:lvl w:ilvl="0" w:tplc="CC626B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F0B80"/>
    <w:multiLevelType w:val="hybridMultilevel"/>
    <w:tmpl w:val="C7849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9182C"/>
    <w:multiLevelType w:val="hybridMultilevel"/>
    <w:tmpl w:val="CDE2EFF6"/>
    <w:lvl w:ilvl="0" w:tplc="28E8D3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FE61BA"/>
    <w:multiLevelType w:val="hybridMultilevel"/>
    <w:tmpl w:val="626406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8213F"/>
    <w:multiLevelType w:val="hybridMultilevel"/>
    <w:tmpl w:val="25CEB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976043"/>
    <w:multiLevelType w:val="hybridMultilevel"/>
    <w:tmpl w:val="8C30AF30"/>
    <w:lvl w:ilvl="0" w:tplc="86B65E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DAB"/>
    <w:rsid w:val="00005426"/>
    <w:rsid w:val="00024C3C"/>
    <w:rsid w:val="00064E81"/>
    <w:rsid w:val="00076DF5"/>
    <w:rsid w:val="00082631"/>
    <w:rsid w:val="000C023A"/>
    <w:rsid w:val="000E2FED"/>
    <w:rsid w:val="00103F7B"/>
    <w:rsid w:val="00150C91"/>
    <w:rsid w:val="001554D6"/>
    <w:rsid w:val="00161A71"/>
    <w:rsid w:val="001C1F00"/>
    <w:rsid w:val="002377D0"/>
    <w:rsid w:val="00251D29"/>
    <w:rsid w:val="00254EED"/>
    <w:rsid w:val="00261310"/>
    <w:rsid w:val="002D70BE"/>
    <w:rsid w:val="003024D6"/>
    <w:rsid w:val="0031771B"/>
    <w:rsid w:val="003178D4"/>
    <w:rsid w:val="003A44C9"/>
    <w:rsid w:val="003E719F"/>
    <w:rsid w:val="003F5CD2"/>
    <w:rsid w:val="00400C63"/>
    <w:rsid w:val="004011B3"/>
    <w:rsid w:val="00407A11"/>
    <w:rsid w:val="00454614"/>
    <w:rsid w:val="00463AC4"/>
    <w:rsid w:val="00482EBC"/>
    <w:rsid w:val="00512092"/>
    <w:rsid w:val="00527F5A"/>
    <w:rsid w:val="0054262B"/>
    <w:rsid w:val="00555637"/>
    <w:rsid w:val="005E73EE"/>
    <w:rsid w:val="00606B5E"/>
    <w:rsid w:val="00636DAB"/>
    <w:rsid w:val="006B5944"/>
    <w:rsid w:val="006E29A8"/>
    <w:rsid w:val="007007FE"/>
    <w:rsid w:val="00715CB5"/>
    <w:rsid w:val="00716DC0"/>
    <w:rsid w:val="00730DFB"/>
    <w:rsid w:val="00743523"/>
    <w:rsid w:val="00756028"/>
    <w:rsid w:val="00770428"/>
    <w:rsid w:val="00787EF6"/>
    <w:rsid w:val="00791542"/>
    <w:rsid w:val="00797D84"/>
    <w:rsid w:val="007E63EC"/>
    <w:rsid w:val="007F405E"/>
    <w:rsid w:val="007F4E3B"/>
    <w:rsid w:val="008032CD"/>
    <w:rsid w:val="00827524"/>
    <w:rsid w:val="00836A07"/>
    <w:rsid w:val="008A0E7D"/>
    <w:rsid w:val="008C5D51"/>
    <w:rsid w:val="008E6BC3"/>
    <w:rsid w:val="009319D4"/>
    <w:rsid w:val="00944313"/>
    <w:rsid w:val="0096583D"/>
    <w:rsid w:val="009D3529"/>
    <w:rsid w:val="009F1ED2"/>
    <w:rsid w:val="00A14DF0"/>
    <w:rsid w:val="00A17414"/>
    <w:rsid w:val="00A3366C"/>
    <w:rsid w:val="00A40022"/>
    <w:rsid w:val="00AB1483"/>
    <w:rsid w:val="00AD3C57"/>
    <w:rsid w:val="00B17B08"/>
    <w:rsid w:val="00B20D8B"/>
    <w:rsid w:val="00B24ACB"/>
    <w:rsid w:val="00B30003"/>
    <w:rsid w:val="00B50CEF"/>
    <w:rsid w:val="00BA15CC"/>
    <w:rsid w:val="00BC5CD4"/>
    <w:rsid w:val="00BD2AB3"/>
    <w:rsid w:val="00BD5AE9"/>
    <w:rsid w:val="00BE2C89"/>
    <w:rsid w:val="00C0527B"/>
    <w:rsid w:val="00C223FD"/>
    <w:rsid w:val="00C53120"/>
    <w:rsid w:val="00C8614D"/>
    <w:rsid w:val="00CA6090"/>
    <w:rsid w:val="00CB442F"/>
    <w:rsid w:val="00CD7D29"/>
    <w:rsid w:val="00CE114F"/>
    <w:rsid w:val="00CE27B0"/>
    <w:rsid w:val="00CE656C"/>
    <w:rsid w:val="00D006E5"/>
    <w:rsid w:val="00D01A6C"/>
    <w:rsid w:val="00D036FA"/>
    <w:rsid w:val="00D20005"/>
    <w:rsid w:val="00D36AF3"/>
    <w:rsid w:val="00D817EB"/>
    <w:rsid w:val="00DA12E6"/>
    <w:rsid w:val="00DC58AC"/>
    <w:rsid w:val="00E03E7B"/>
    <w:rsid w:val="00E16BF7"/>
    <w:rsid w:val="00E2196D"/>
    <w:rsid w:val="00E51860"/>
    <w:rsid w:val="00E6408B"/>
    <w:rsid w:val="00E70B16"/>
    <w:rsid w:val="00E77DE4"/>
    <w:rsid w:val="00EA22C1"/>
    <w:rsid w:val="00ED7D25"/>
    <w:rsid w:val="00EF7A9F"/>
    <w:rsid w:val="00F01DEA"/>
    <w:rsid w:val="00F030D1"/>
    <w:rsid w:val="00F20299"/>
    <w:rsid w:val="00F262B4"/>
    <w:rsid w:val="00F30F96"/>
    <w:rsid w:val="00F40A6C"/>
    <w:rsid w:val="00F418F4"/>
    <w:rsid w:val="00F83FEC"/>
    <w:rsid w:val="00F87EAD"/>
    <w:rsid w:val="00FC41A5"/>
    <w:rsid w:val="00FD6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9C234"/>
  <w15:chartTrackingRefBased/>
  <w15:docId w15:val="{121F68CC-3A5B-4C6D-9BAC-ECCCA79D1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D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6D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7E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6DAB"/>
    <w:pPr>
      <w:spacing w:after="0" w:line="240" w:lineRule="auto"/>
    </w:pPr>
    <w:rPr>
      <w:rFonts w:eastAsiaTheme="minorEastAsia"/>
    </w:rPr>
  </w:style>
  <w:style w:type="character" w:customStyle="1" w:styleId="NoSpacingChar">
    <w:name w:val="No Spacing Char"/>
    <w:basedOn w:val="DefaultParagraphFont"/>
    <w:link w:val="NoSpacing"/>
    <w:uiPriority w:val="1"/>
    <w:rsid w:val="00636DAB"/>
    <w:rPr>
      <w:rFonts w:eastAsiaTheme="minorEastAsia"/>
    </w:rPr>
  </w:style>
  <w:style w:type="character" w:customStyle="1" w:styleId="Heading1Char">
    <w:name w:val="Heading 1 Char"/>
    <w:basedOn w:val="DefaultParagraphFont"/>
    <w:link w:val="Heading1"/>
    <w:uiPriority w:val="9"/>
    <w:rsid w:val="00636D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6DA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F7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eet-address">
    <w:name w:val="street-address"/>
    <w:basedOn w:val="DefaultParagraphFont"/>
    <w:rsid w:val="00EF7A9F"/>
  </w:style>
  <w:style w:type="character" w:customStyle="1" w:styleId="citystatezip">
    <w:name w:val="citystatezip"/>
    <w:basedOn w:val="DefaultParagraphFont"/>
    <w:rsid w:val="00EF7A9F"/>
  </w:style>
  <w:style w:type="character" w:customStyle="1" w:styleId="locality">
    <w:name w:val="locality"/>
    <w:basedOn w:val="DefaultParagraphFont"/>
    <w:rsid w:val="00EF7A9F"/>
  </w:style>
  <w:style w:type="character" w:customStyle="1" w:styleId="region">
    <w:name w:val="region"/>
    <w:basedOn w:val="DefaultParagraphFont"/>
    <w:rsid w:val="00EF7A9F"/>
  </w:style>
  <w:style w:type="character" w:customStyle="1" w:styleId="postal-code">
    <w:name w:val="postal-code"/>
    <w:basedOn w:val="DefaultParagraphFont"/>
    <w:rsid w:val="00EF7A9F"/>
  </w:style>
  <w:style w:type="character" w:styleId="Hyperlink">
    <w:name w:val="Hyperlink"/>
    <w:basedOn w:val="DefaultParagraphFont"/>
    <w:uiPriority w:val="99"/>
    <w:unhideWhenUsed/>
    <w:rsid w:val="00EF7A9F"/>
    <w:rPr>
      <w:color w:val="0563C1" w:themeColor="hyperlink"/>
      <w:u w:val="single"/>
    </w:rPr>
  </w:style>
  <w:style w:type="character" w:styleId="UnresolvedMention">
    <w:name w:val="Unresolved Mention"/>
    <w:basedOn w:val="DefaultParagraphFont"/>
    <w:uiPriority w:val="99"/>
    <w:semiHidden/>
    <w:unhideWhenUsed/>
    <w:rsid w:val="00EF7A9F"/>
    <w:rPr>
      <w:color w:val="605E5C"/>
      <w:shd w:val="clear" w:color="auto" w:fill="E1DFDD"/>
    </w:rPr>
  </w:style>
  <w:style w:type="character" w:styleId="FollowedHyperlink">
    <w:name w:val="FollowedHyperlink"/>
    <w:basedOn w:val="DefaultParagraphFont"/>
    <w:uiPriority w:val="99"/>
    <w:semiHidden/>
    <w:unhideWhenUsed/>
    <w:rsid w:val="00024C3C"/>
    <w:rPr>
      <w:color w:val="954F72" w:themeColor="followedHyperlink"/>
      <w:u w:val="single"/>
    </w:rPr>
  </w:style>
  <w:style w:type="character" w:customStyle="1" w:styleId="font-size-large">
    <w:name w:val="font-size-large"/>
    <w:basedOn w:val="DefaultParagraphFont"/>
    <w:rsid w:val="00024C3C"/>
  </w:style>
  <w:style w:type="paragraph" w:styleId="ListParagraph">
    <w:name w:val="List Paragraph"/>
    <w:basedOn w:val="Normal"/>
    <w:uiPriority w:val="34"/>
    <w:qFormat/>
    <w:rsid w:val="001C1F00"/>
    <w:pPr>
      <w:ind w:left="720"/>
      <w:contextualSpacing/>
    </w:pPr>
  </w:style>
  <w:style w:type="paragraph" w:styleId="EndnoteText">
    <w:name w:val="endnote text"/>
    <w:basedOn w:val="Normal"/>
    <w:link w:val="EndnoteTextChar"/>
    <w:uiPriority w:val="99"/>
    <w:semiHidden/>
    <w:unhideWhenUsed/>
    <w:rsid w:val="00787E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7EF6"/>
    <w:rPr>
      <w:sz w:val="20"/>
      <w:szCs w:val="20"/>
    </w:rPr>
  </w:style>
  <w:style w:type="character" w:styleId="EndnoteReference">
    <w:name w:val="endnote reference"/>
    <w:basedOn w:val="DefaultParagraphFont"/>
    <w:uiPriority w:val="99"/>
    <w:semiHidden/>
    <w:unhideWhenUsed/>
    <w:rsid w:val="00787EF6"/>
    <w:rPr>
      <w:vertAlign w:val="superscript"/>
    </w:rPr>
  </w:style>
  <w:style w:type="character" w:styleId="PlaceholderText">
    <w:name w:val="Placeholder Text"/>
    <w:basedOn w:val="DefaultParagraphFont"/>
    <w:uiPriority w:val="99"/>
    <w:semiHidden/>
    <w:rsid w:val="00F40A6C"/>
    <w:rPr>
      <w:color w:val="808080"/>
    </w:rPr>
  </w:style>
  <w:style w:type="paragraph" w:styleId="FootnoteText">
    <w:name w:val="footnote text"/>
    <w:basedOn w:val="Normal"/>
    <w:link w:val="FootnoteTextChar"/>
    <w:uiPriority w:val="99"/>
    <w:semiHidden/>
    <w:unhideWhenUsed/>
    <w:rsid w:val="00F030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30D1"/>
    <w:rPr>
      <w:sz w:val="20"/>
      <w:szCs w:val="20"/>
    </w:rPr>
  </w:style>
  <w:style w:type="character" w:styleId="FootnoteReference">
    <w:name w:val="footnote reference"/>
    <w:basedOn w:val="DefaultParagraphFont"/>
    <w:uiPriority w:val="99"/>
    <w:semiHidden/>
    <w:unhideWhenUsed/>
    <w:rsid w:val="00F030D1"/>
    <w:rPr>
      <w:vertAlign w:val="superscript"/>
    </w:rPr>
  </w:style>
  <w:style w:type="character" w:customStyle="1" w:styleId="Heading3Char">
    <w:name w:val="Heading 3 Char"/>
    <w:basedOn w:val="DefaultParagraphFont"/>
    <w:link w:val="Heading3"/>
    <w:uiPriority w:val="9"/>
    <w:rsid w:val="00F87EAD"/>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E719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06459">
      <w:bodyDiv w:val="1"/>
      <w:marLeft w:val="0"/>
      <w:marRight w:val="0"/>
      <w:marTop w:val="0"/>
      <w:marBottom w:val="0"/>
      <w:divBdr>
        <w:top w:val="none" w:sz="0" w:space="0" w:color="auto"/>
        <w:left w:val="none" w:sz="0" w:space="0" w:color="auto"/>
        <w:bottom w:val="none" w:sz="0" w:space="0" w:color="auto"/>
        <w:right w:val="none" w:sz="0" w:space="0" w:color="auto"/>
      </w:divBdr>
    </w:div>
    <w:div w:id="293559099">
      <w:bodyDiv w:val="1"/>
      <w:marLeft w:val="0"/>
      <w:marRight w:val="0"/>
      <w:marTop w:val="0"/>
      <w:marBottom w:val="0"/>
      <w:divBdr>
        <w:top w:val="none" w:sz="0" w:space="0" w:color="auto"/>
        <w:left w:val="none" w:sz="0" w:space="0" w:color="auto"/>
        <w:bottom w:val="none" w:sz="0" w:space="0" w:color="auto"/>
        <w:right w:val="none" w:sz="0" w:space="0" w:color="auto"/>
      </w:divBdr>
    </w:div>
    <w:div w:id="177478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edfin.com/WA/Bothell/302-172nd-Pl-SE-98012/home/2882496" TargetMode="External"/><Relationship Id="rId18" Type="http://schemas.openxmlformats.org/officeDocument/2006/relationships/hyperlink" Target="https://www.redfin.com/WA/Lynnwood/14715-Admiralty-Way-98087/home/167339120" TargetMode="External"/><Relationship Id="rId26"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hyperlink" Target="https://www.fool.com/millionacres/real-estate-market/homebuying/what-are-seller-concessions-and-should-you-ask-any-your-next-home-purchase/" TargetMode="External"/><Relationship Id="rId7" Type="http://schemas.openxmlformats.org/officeDocument/2006/relationships/footnotes" Target="footnotes.xml"/><Relationship Id="rId12" Type="http://schemas.openxmlformats.org/officeDocument/2006/relationships/hyperlink" Target="https://www.investopedia.com/articles/investing/060815/how-rental-property-depreciation-works.asp" TargetMode="External"/><Relationship Id="rId17" Type="http://schemas.openxmlformats.org/officeDocument/2006/relationships/hyperlink" Target="https://www.investopedia.com/articles/investing/060815/how-rental-property-depreciation-works.asp" TargetMode="External"/><Relationship Id="rId25"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www.census.gov/housing/hvs/files/currenthvspress.pdf" TargetMode="External"/><Relationship Id="rId20" Type="http://schemas.openxmlformats.org/officeDocument/2006/relationships/hyperlink" Target="https://www.redfin.com/WA/Lynnwood/14715-Admiralty-Way-98087/home/167339120" TargetMode="External"/><Relationship Id="rId29"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ensus.gov/housing/hvs/files/currenthvspress.pdf" TargetMode="External"/><Relationship Id="rId24" Type="http://schemas.openxmlformats.org/officeDocument/2006/relationships/hyperlink" Target="https://www.bankrate.com/mortgages/current-interest-rates/"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bankrate.com/mortgages/current-interest-rates/" TargetMode="External"/><Relationship Id="rId23" Type="http://schemas.openxmlformats.org/officeDocument/2006/relationships/hyperlink" Target="https://www.redfin.com/WA/Lynnwood/14715-Admiralty-Way-98087/home/167339120" TargetMode="External"/><Relationship Id="rId28" Type="http://schemas.openxmlformats.org/officeDocument/2006/relationships/hyperlink" Target="https://www.redfin.com/WA/Lynnwood/14715-Admiralty-Way-98087/home/167339120" TargetMode="External"/><Relationship Id="rId10" Type="http://schemas.openxmlformats.org/officeDocument/2006/relationships/hyperlink" Target="https://www.bankrate.com/mortgages/current-interest-rates/" TargetMode="External"/><Relationship Id="rId19" Type="http://schemas.openxmlformats.org/officeDocument/2006/relationships/hyperlink" Target="https://www.redfin.com/WA/Bothell/302-172nd-Pl-SE-98012/home/2882496"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redfin.com/WA/Bothell/302-172nd-Pl-SE-98012/home/2882496" TargetMode="External"/><Relationship Id="rId14" Type="http://schemas.openxmlformats.org/officeDocument/2006/relationships/hyperlink" Target="https://www.redfin.com/WA/Lynnwood/14715-Admiralty-Way-98087/home/167339120" TargetMode="External"/><Relationship Id="rId22" Type="http://schemas.openxmlformats.org/officeDocument/2006/relationships/hyperlink" Target="https://www.redfin.com/WA/Bothell/302-172nd-Pl-SE-98012/home/2882496" TargetMode="External"/><Relationship Id="rId27" Type="http://schemas.openxmlformats.org/officeDocument/2006/relationships/chart" Target="charts/chart1.xml"/><Relationship Id="rId30" Type="http://schemas.openxmlformats.org/officeDocument/2006/relationships/package" Target="embeddings/Microsoft_Excel_Worksheet.xlsx"/></Relationships>
</file>

<file path=word/_rels/footnotes.xml.rels><?xml version="1.0" encoding="UTF-8" standalone="yes"?>
<Relationships xmlns="http://schemas.openxmlformats.org/package/2006/relationships"><Relationship Id="rId3" Type="http://schemas.openxmlformats.org/officeDocument/2006/relationships/hyperlink" Target="https://www.realpropertymgt.com/rental-property-maintenance-myths/" TargetMode="External"/><Relationship Id="rId2" Type="http://schemas.openxmlformats.org/officeDocument/2006/relationships/hyperlink" Target="https://www.rentcafe.com/blog/rental-market/apartment-rent-report/january-2020-national-rent-report/" TargetMode="External"/><Relationship Id="rId1" Type="http://schemas.openxmlformats.org/officeDocument/2006/relationships/hyperlink" Target="https://www.rentcafe.com/average-rent-market-trends/us/wa/bothell/" TargetMode="External"/><Relationship Id="rId5" Type="http://schemas.openxmlformats.org/officeDocument/2006/relationships/hyperlink" Target="https://www.census.gov/housing/hvs/files/currenthvspress.pdf" TargetMode="External"/><Relationship Id="rId4" Type="http://schemas.openxmlformats.org/officeDocument/2006/relationships/hyperlink" Target="https://www.thebalance.com/home-maintenance-budget-45382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rkrishn10\Documents\UnivOfCincinnati\Assignments\Simulation\Final%20Project%20V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NPV</a:t>
            </a:r>
            <a:r>
              <a:rPr lang="en-US" baseline="0"/>
              <a:t> versus Annual rate of Rent Increase</a:t>
            </a:r>
            <a:endParaRPr lang="en-US"/>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'Property 2'!$K$45:$K$61</c:f>
              <c:numCache>
                <c:formatCode>0.00%</c:formatCode>
                <c:ptCount val="17"/>
                <c:pt idx="0" formatCode="0%">
                  <c:v>0.03</c:v>
                </c:pt>
                <c:pt idx="1">
                  <c:v>3.2500000000000001E-2</c:v>
                </c:pt>
                <c:pt idx="2">
                  <c:v>3.5000000000000003E-2</c:v>
                </c:pt>
                <c:pt idx="3">
                  <c:v>3.7500000000000006E-2</c:v>
                </c:pt>
                <c:pt idx="4">
                  <c:v>4.0000000000000008E-2</c:v>
                </c:pt>
                <c:pt idx="5">
                  <c:v>4.250000000000001E-2</c:v>
                </c:pt>
                <c:pt idx="6">
                  <c:v>4.5000000000000012E-2</c:v>
                </c:pt>
                <c:pt idx="7">
                  <c:v>4.7500000000000014E-2</c:v>
                </c:pt>
                <c:pt idx="8">
                  <c:v>5.0000000000000017E-2</c:v>
                </c:pt>
                <c:pt idx="9">
                  <c:v>5.2500000000000019E-2</c:v>
                </c:pt>
                <c:pt idx="10">
                  <c:v>5.5000000000000021E-2</c:v>
                </c:pt>
                <c:pt idx="11">
                  <c:v>5.7500000000000023E-2</c:v>
                </c:pt>
                <c:pt idx="12">
                  <c:v>6.0000000000000026E-2</c:v>
                </c:pt>
                <c:pt idx="13">
                  <c:v>6.2500000000000028E-2</c:v>
                </c:pt>
                <c:pt idx="14">
                  <c:v>6.500000000000003E-2</c:v>
                </c:pt>
                <c:pt idx="15">
                  <c:v>6.7500000000000032E-2</c:v>
                </c:pt>
                <c:pt idx="16">
                  <c:v>7.0000000000000034E-2</c:v>
                </c:pt>
              </c:numCache>
            </c:numRef>
          </c:cat>
          <c:val>
            <c:numRef>
              <c:f>'Property 2'!$L$45:$L$61</c:f>
              <c:numCache>
                <c:formatCode>_("$"* #,##0.00_);_("$"* \(#,##0.00\);_("$"* "-"??_);_(@_)</c:formatCode>
                <c:ptCount val="17"/>
                <c:pt idx="0">
                  <c:v>-43065.185942018492</c:v>
                </c:pt>
                <c:pt idx="1">
                  <c:v>-38064.403836671641</c:v>
                </c:pt>
                <c:pt idx="2">
                  <c:v>-27654.512872289182</c:v>
                </c:pt>
                <c:pt idx="3">
                  <c:v>-27068.517121132041</c:v>
                </c:pt>
                <c:pt idx="4">
                  <c:v>-8044.1955194313487</c:v>
                </c:pt>
                <c:pt idx="5">
                  <c:v>-2508.5490843630687</c:v>
                </c:pt>
                <c:pt idx="6">
                  <c:v>1752.4236478317907</c:v>
                </c:pt>
                <c:pt idx="7">
                  <c:v>9145.8994218932639</c:v>
                </c:pt>
                <c:pt idx="8">
                  <c:v>18265.061181888756</c:v>
                </c:pt>
                <c:pt idx="9">
                  <c:v>23630.028222171386</c:v>
                </c:pt>
                <c:pt idx="10">
                  <c:v>30542.515400453849</c:v>
                </c:pt>
                <c:pt idx="11">
                  <c:v>40106.19407779719</c:v>
                </c:pt>
                <c:pt idx="12">
                  <c:v>40672.185032656198</c:v>
                </c:pt>
                <c:pt idx="13">
                  <c:v>59952.135969077091</c:v>
                </c:pt>
                <c:pt idx="14">
                  <c:v>68310.092796299519</c:v>
                </c:pt>
                <c:pt idx="15">
                  <c:v>70946.450120560083</c:v>
                </c:pt>
                <c:pt idx="16">
                  <c:v>86409.578470979759</c:v>
                </c:pt>
              </c:numCache>
            </c:numRef>
          </c:val>
          <c:extLst>
            <c:ext xmlns:c16="http://schemas.microsoft.com/office/drawing/2014/chart" uri="{C3380CC4-5D6E-409C-BE32-E72D297353CC}">
              <c16:uniqueId val="{00000000-5A22-4F58-A5C4-A6939E476998}"/>
            </c:ext>
          </c:extLst>
        </c:ser>
        <c:dLbls>
          <c:showLegendKey val="0"/>
          <c:showVal val="0"/>
          <c:showCatName val="0"/>
          <c:showSerName val="0"/>
          <c:showPercent val="0"/>
          <c:showBubbleSize val="0"/>
        </c:dLbls>
        <c:gapWidth val="219"/>
        <c:overlap val="-27"/>
        <c:axId val="1691321311"/>
        <c:axId val="1602173871"/>
      </c:barChart>
      <c:catAx>
        <c:axId val="1691321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Annual Rate of Rent</a:t>
                </a:r>
              </a:p>
              <a:p>
                <a:pPr>
                  <a:defRPr/>
                </a:pPr>
                <a:r>
                  <a:rPr lang="en-US"/>
                  <a:t> increase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2173871"/>
        <c:crosses val="autoZero"/>
        <c:auto val="1"/>
        <c:lblAlgn val="ctr"/>
        <c:lblOffset val="100"/>
        <c:noMultiLvlLbl val="0"/>
      </c:catAx>
      <c:valAx>
        <c:axId val="16021738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NPV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13213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jayaraka@mail.uc.edu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5DE8DA-F355-4E54-B229-0C3D5EB01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1756</TotalTime>
  <Pages>11</Pages>
  <Words>1832</Words>
  <Characters>10447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Rental property cashflow analysis</vt:lpstr>
    </vt:vector>
  </TitlesOfParts>
  <Company/>
  <LinksUpToDate>false</LinksUpToDate>
  <CharactersWithSpaces>12255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Rental property cashflow analysis</dc:title>
  <dc:subject/>
  <dc:creator>Jayaraman, Krithika (jayaraka)</dc:creator>
  <cp:keywords/>
  <dc:description/>
  <cp:lastModifiedBy>Krishnan, Rajesh</cp:lastModifiedBy>
  <cp:revision>103</cp:revision>
  <dcterms:created xsi:type="dcterms:W3CDTF">2020-04-25T21:15:00Z</dcterms:created>
  <dcterms:modified xsi:type="dcterms:W3CDTF">2020-04-27T03:51:00Z</dcterms:modified>
</cp:coreProperties>
</file>