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T12 - Read Author - Initial API Contract</w:t>
      </w:r>
    </w:p>
    <w:p>
      <w:pPr>
        <w:jc w:val="center"/>
      </w:pPr>
      <w:r>
        <w:rPr>
          <w:b/>
        </w:rPr>
        <w:t>Student 12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T12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12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Author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/rest/authors/{id}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AuthorResponseDto readAuthor(Long id)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Author Read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"12",</w:t>
        <w:br/>
        <w:t xml:space="preserve">  "responseCode": "00",</w:t>
        <w:br/>
        <w:t xml:space="preserve">  "message": "Author Read Successfully",</w:t>
        <w:br/>
        <w:t xml:space="preserve">  "data": { }</w:t>
        <w:br/>
        <w:t>}</w:t>
      </w:r>
    </w:p>
    <w:p>
      <w:pPr>
        <w:pStyle w:val="Heading1"/>
      </w:pPr>
      <w:r>
        <w:t>3. Author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authorCode</w:t>
            </w:r>
          </w:p>
        </w:tc>
        <w:tc>
          <w:tcPr>
            <w:tcW w:type="dxa" w:w="5083"/>
          </w:tcPr>
          <w:p>
            <w:r>
              <w:t>Business key, e.g. AUT-001</w:t>
            </w:r>
          </w:p>
        </w:tc>
      </w:tr>
      <w:tr>
        <w:tc>
          <w:tcPr>
            <w:tcW w:type="dxa" w:w="5083"/>
          </w:tcPr>
          <w:p>
            <w:r>
              <w:t>authorName</w:t>
            </w:r>
          </w:p>
        </w:tc>
        <w:tc>
          <w:tcPr>
            <w:tcW w:type="dxa" w:w="5083"/>
          </w:tcPr>
          <w:p>
            <w:r>
              <w:t>Author display name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Database identifier in response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 in response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AUT-001 / Robert C. Martin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AUT-002 / Joshua Bloch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AUT-OLD / Archived Author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AUT-004 / Unused Author / ACTIVE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The REST Controller is Presenter-owned. The student implements the assigned service and tests without renaming the endpoint or service code.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